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20039号开放式净值型银行理财计划产品说明书》、《温州银行“金鹿理财-温盈”20039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2020年4月15日</w:t>
            </w:r>
            <w:r>
              <w:rPr>
                <w:rFonts w:hint="eastAsia"/>
                <w:sz w:val="18"/>
                <w:szCs w:val="18"/>
                <w:u w:val="single"/>
              </w:rPr>
              <w:t>至</w:t>
            </w:r>
            <w:r>
              <w:rPr>
                <w:rFonts w:hint="eastAsia"/>
                <w:color w:val="000000"/>
                <w:sz w:val="18"/>
                <w:szCs w:val="18"/>
                <w:u w:val="single"/>
                <w:lang w:val="en-US" w:eastAsia="zh-CN"/>
              </w:rPr>
              <w:t>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20039号开放式净值型银行理财计划风险揭示书》、《温州银行“金鹿理财”银行理财计划合约》、《温州银行“金鹿理财-温盈”20039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It339LLvxCrLsDrYsxoxGK5dRU=" w:salt="EUr418jxk2g6W6rKA1d60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C47E8E"/>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2026-05-22T06:58:04Z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