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20058号开放式净值型银行理财计划产品说明书》、《温州银行“金鹿理财-温盈”20058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2020年6月10日</w:t>
            </w:r>
            <w:r>
              <w:rPr>
                <w:rFonts w:hint="eastAsia"/>
                <w:sz w:val="18"/>
                <w:szCs w:val="18"/>
                <w:u w:val="single"/>
              </w:rPr>
              <w:t>至</w:t>
            </w:r>
            <w:r>
              <w:rPr>
                <w:rFonts w:hint="eastAsia"/>
                <w:color w:val="000000"/>
                <w:sz w:val="18"/>
                <w:szCs w:val="18"/>
                <w:u w:val="single"/>
                <w:lang w:val="en-US" w:eastAsia="zh-CN"/>
              </w:rPr>
              <w:t>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20058号开放式净值型银行理财计划风险揭示书》、《温州银行“金鹿理财”银行理财计划合约》、《温州银行“金鹿理财-温盈”20058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gAUEmP7/cWJN+BHfKWuG2xWtew=" w:salt="Be+KNxkfq9EnMv4DmsYxB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0F543911"/>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2026-05-29T09:30:20Z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