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w:t>
      </w:r>
      <w:bookmarkStart w:id="0" w:name="_GoBack"/>
      <w:bookmarkEnd w:id="0"/>
      <w:r>
        <w:rPr>
          <w:rFonts w:hint="eastAsia"/>
          <w:szCs w:val="21"/>
        </w:rPr>
        <w:t>理财期限、理财起始日、理财到期日及业绩比较基准等要素以《温州银行</w:t>
      </w:r>
      <w:r>
        <w:rPr>
          <w:rFonts w:hint="eastAsia" w:ascii="宋体" w:hAnsi="宋体"/>
          <w:color w:val="000000"/>
          <w:szCs w:val="21"/>
        </w:rPr>
        <w:t>“金鹿理财-温盈”19003号开放式净值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19003号开放式净值型银行理财计划产品说明书》、《温州银行“金鹿理财-温盈”19003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2019年6月13日</w:t>
            </w:r>
            <w:r>
              <w:rPr>
                <w:rFonts w:hint="eastAsia"/>
                <w:sz w:val="18"/>
                <w:szCs w:val="18"/>
                <w:u w:val="single"/>
              </w:rPr>
              <w:t>至</w:t>
            </w:r>
            <w:r>
              <w:rPr>
                <w:rFonts w:hint="eastAsia"/>
                <w:color w:val="000000"/>
                <w:sz w:val="18"/>
                <w:szCs w:val="18"/>
                <w:u w:val="single"/>
                <w:lang w:val="en-US" w:eastAsia="zh-CN"/>
              </w:rPr>
              <w:t>2019年6月18日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：本理财计划成立日为2019年6月19日，从成立日起，每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本产品预计到期终止日为2029年6月19日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19003号开放式净值型银行理财计划风险揭示书》、《温州银行“金鹿理财”银行理财计划合约》、《温州银行“金鹿理财-温盈”19003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6ypt81euvXJ/WcSCQCSdEGgGs=" w:salt="kK9Z32GTKxZzAsFZSIAoA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B186462"/>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2026-06-05T07:09:35Z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