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bookmarkStart w:id="0" w:name="_GoBack"/>
      <w:bookmarkEnd w:id="0"/>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19012号开放式净值型银行理财计划产品说明书》、《温州银行“金鹿理财-温盈”19012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2019年7月25日</w:t>
            </w:r>
            <w:r>
              <w:rPr>
                <w:rFonts w:hint="eastAsia"/>
                <w:sz w:val="18"/>
                <w:szCs w:val="18"/>
                <w:u w:val="single"/>
              </w:rPr>
              <w:t>至</w:t>
            </w:r>
            <w:r>
              <w:rPr>
                <w:rFonts w:hint="eastAsia"/>
                <w:color w:val="000000"/>
                <w:sz w:val="18"/>
                <w:szCs w:val="18"/>
                <w:u w:val="single"/>
                <w:lang w:val="en-US" w:eastAsia="zh-CN"/>
              </w:rPr>
              <w:t>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273</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：本理财计划成立日为2019年7月31日，从成立日起，每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19012号开放式净值型银行理财计划风险揭示书》、《温州银行“金鹿理财”银行理财计划合约》、《温州银行“金鹿理财-温盈”19012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1Lt7bJBG+GGQGcQHCHwi4dlf3A=" w:salt="UfZ5S48WNeWx4x3yLBCs3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B6D7E"/>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3</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2026-06-05T07:13:22Z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