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ascii="黑体" w:hAnsi="Times New Roman" w:eastAsia="黑体"/>
          <w:sz w:val="30"/>
          <w:szCs w:val="30"/>
          <w:lang w:eastAsia="zh-Hans"/>
        </w:rPr>
      </w:pPr>
      <w:bookmarkStart w:id="0" w:name="_GoBack"/>
      <w:bookmarkEnd w:id="0"/>
      <w:r>
        <w:rPr>
          <w:rFonts w:hint="eastAsia" w:ascii="黑体" w:hAnsi="Times New Roman" w:eastAsia="黑体"/>
          <w:sz w:val="30"/>
          <w:szCs w:val="30"/>
        </w:rPr>
        <w:t>温州银行</w:t>
      </w:r>
      <w:r>
        <w:rPr>
          <w:rFonts w:hint="eastAsia" w:ascii="黑体" w:hAnsi="Times New Roman" w:eastAsia="黑体"/>
          <w:sz w:val="30"/>
          <w:szCs w:val="30"/>
          <w:lang w:eastAsia="zh-Hans"/>
        </w:rPr>
        <w:t>“金鹿理财</w:t>
      </w:r>
      <w:r>
        <w:rPr>
          <w:rFonts w:ascii="黑体" w:hAnsi="Times New Roman" w:eastAsia="黑体"/>
          <w:sz w:val="30"/>
          <w:szCs w:val="30"/>
          <w:lang w:eastAsia="zh-Hans"/>
        </w:rPr>
        <w:t>-</w:t>
      </w:r>
      <w:r>
        <w:rPr>
          <w:rFonts w:hint="eastAsia" w:ascii="黑体" w:hAnsi="Times New Roman" w:eastAsia="黑体"/>
          <w:color w:val="000000"/>
          <w:sz w:val="30"/>
          <w:szCs w:val="30"/>
          <w:lang w:eastAsia="zh-Hans"/>
        </w:rPr>
        <w:t>普惠</w:t>
      </w:r>
      <w:r>
        <w:rPr>
          <w:rFonts w:hint="eastAsia" w:ascii="黑体" w:hAnsi="Times New Roman" w:eastAsia="黑体"/>
          <w:color w:val="000000"/>
          <w:sz w:val="30"/>
          <w:szCs w:val="30"/>
          <w:lang w:eastAsia="zh-CN"/>
        </w:rPr>
        <w:t>月享”</w:t>
      </w:r>
      <w:r>
        <w:rPr>
          <w:rFonts w:hint="eastAsia" w:ascii="黑体" w:hAnsi="Times New Roman" w:eastAsia="黑体"/>
          <w:color w:val="000000"/>
          <w:sz w:val="30"/>
          <w:szCs w:val="30"/>
          <w:u w:val="none"/>
          <w:lang w:val="en-US" w:eastAsia="zh-CN"/>
        </w:rPr>
        <w:t>3</w:t>
      </w:r>
      <w:r>
        <w:rPr>
          <w:rFonts w:hint="eastAsia" w:ascii="黑体" w:hAnsi="Times New Roman" w:eastAsia="黑体"/>
          <w:color w:val="000000"/>
          <w:sz w:val="30"/>
          <w:szCs w:val="30"/>
          <w:lang w:eastAsia="zh-CN"/>
        </w:rPr>
        <w:t>号</w:t>
      </w:r>
      <w:r>
        <w:rPr>
          <w:rFonts w:hint="eastAsia" w:ascii="黑体" w:hAnsi="Times New Roman" w:eastAsia="黑体"/>
          <w:color w:val="000000"/>
          <w:sz w:val="30"/>
          <w:szCs w:val="30"/>
          <w:lang w:eastAsia="zh-Hans"/>
        </w:rPr>
        <w:t>开放式净值型</w:t>
      </w:r>
    </w:p>
    <w:p>
      <w:pPr>
        <w:spacing w:line="372" w:lineRule="auto"/>
        <w:jc w:val="center"/>
        <w:outlineLvl w:val="0"/>
        <w:rPr>
          <w:rFonts w:ascii="黑体" w:hAnsi="Times New Roman" w:eastAsia="黑体"/>
          <w:sz w:val="30"/>
          <w:szCs w:val="30"/>
        </w:rPr>
      </w:pPr>
      <w:r>
        <w:rPr>
          <w:rFonts w:ascii="黑体" w:hAnsi="Times New Roman" w:eastAsia="黑体"/>
          <w:sz w:val="30"/>
          <w:szCs w:val="30"/>
          <w:lang w:eastAsia="zh-Hans"/>
        </w:rPr>
        <w:t>（</w:t>
      </w:r>
      <w:r>
        <w:rPr>
          <w:rFonts w:hint="eastAsia" w:ascii="黑体" w:hAnsi="Times New Roman" w:eastAsia="黑体"/>
          <w:color w:val="000000"/>
          <w:sz w:val="30"/>
          <w:szCs w:val="30"/>
          <w:lang w:eastAsia="zh-CN"/>
        </w:rPr>
        <w:t>第</w:t>
      </w:r>
      <w:r>
        <w:rPr>
          <w:rFonts w:hint="eastAsia" w:ascii="黑体" w:hAnsi="Times New Roman" w:eastAsia="黑体"/>
          <w:color w:val="000000"/>
          <w:sz w:val="30"/>
          <w:szCs w:val="30"/>
          <w:u w:val="none"/>
          <w:lang w:val="en-US" w:eastAsia="zh-CN"/>
        </w:rPr>
        <w:t>68</w:t>
      </w:r>
      <w:r>
        <w:rPr>
          <w:rFonts w:hint="eastAsia" w:ascii="黑体" w:hAnsi="Times New Roman" w:eastAsia="黑体"/>
          <w:color w:val="000000"/>
          <w:sz w:val="30"/>
          <w:szCs w:val="30"/>
          <w:lang w:eastAsia="zh-CN"/>
        </w:rPr>
        <w:t>期</w:t>
      </w:r>
      <w:r>
        <w:rPr>
          <w:rFonts w:hint="eastAsia" w:ascii="黑体" w:hAnsi="Times New Roman" w:eastAsia="黑体"/>
          <w:color w:val="000000"/>
          <w:sz w:val="30"/>
          <w:szCs w:val="30"/>
          <w:u w:val="none"/>
          <w:lang w:val="en-US" w:eastAsia="zh-CN"/>
        </w:rPr>
        <w:t>28</w:t>
      </w:r>
      <w:r>
        <w:rPr>
          <w:rFonts w:hint="eastAsia" w:ascii="黑体" w:hAnsi="Times New Roman" w:eastAsia="黑体"/>
          <w:color w:val="000000"/>
          <w:sz w:val="30"/>
          <w:szCs w:val="30"/>
          <w:lang w:eastAsia="zh-CN"/>
        </w:rPr>
        <w:t>天</w:t>
      </w:r>
      <w:r>
        <w:rPr>
          <w:rFonts w:ascii="黑体" w:hAnsi="Times New Roman" w:eastAsia="黑体"/>
          <w:sz w:val="30"/>
          <w:szCs w:val="30"/>
          <w:lang w:eastAsia="zh-Hans"/>
        </w:rPr>
        <w:t>）</w:t>
      </w:r>
      <w:r>
        <w:rPr>
          <w:rFonts w:hint="eastAsia" w:ascii="黑体" w:hAnsi="Times New Roman" w:eastAsia="黑体"/>
          <w:sz w:val="30"/>
          <w:szCs w:val="30"/>
          <w:lang w:eastAsia="zh-Hans"/>
        </w:rPr>
        <w:t>银行理财计划开放</w:t>
      </w:r>
      <w:r>
        <w:rPr>
          <w:rFonts w:hint="eastAsia" w:ascii="黑体" w:hAnsi="Times New Roman" w:eastAsia="黑体"/>
          <w:sz w:val="30"/>
          <w:szCs w:val="30"/>
        </w:rPr>
        <w:t>认购（申购）申请书</w:t>
      </w:r>
    </w:p>
    <w:tbl>
      <w:tblPr>
        <w:tblStyle w:val="4"/>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产品名称</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“金鹿理财-普惠月享”</w:t>
            </w:r>
            <w:r>
              <w:rPr>
                <w:rFonts w:hint="eastAsia" w:ascii="宋体" w:hAnsi="宋体" w:eastAsia="宋体"/>
                <w:color w:val="000000"/>
                <w:kern w:val="0"/>
                <w:sz w:val="18"/>
                <w:szCs w:val="18"/>
                <w:u w:val="single"/>
                <w:lang w:val="en-US" w:eastAsia="zh-CN"/>
              </w:rPr>
              <w:t>3</w:t>
            </w:r>
            <w:r>
              <w:rPr>
                <w:rFonts w:hint="eastAsia" w:ascii="宋体" w:hAnsi="宋体" w:eastAsia="宋体"/>
                <w:color w:val="000000"/>
                <w:kern w:val="0"/>
                <w:sz w:val="18"/>
                <w:szCs w:val="18"/>
                <w:u w:val="none"/>
              </w:rPr>
              <w:t>号</w:t>
            </w:r>
            <w:r>
              <w:rPr>
                <w:rFonts w:hint="eastAsia" w:ascii="宋体" w:hAnsi="宋体" w:eastAsia="宋体"/>
                <w:kern w:val="0"/>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产品编号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u w:val="none"/>
                <w:lang w:val="en-US" w:eastAsia="zh-CN"/>
              </w:rPr>
              <w:t>YX0003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投资运作期次</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第68期28天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投资类型</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适合客户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default" w:ascii="宋体" w:hAnsi="宋体" w:eastAsia="宋体"/>
                <w:kern w:val="0"/>
                <w:sz w:val="18"/>
                <w:szCs w:val="18"/>
                <w:lang w:val="en-US" w:eastAsia="zh-CN"/>
              </w:rPr>
            </w:pPr>
            <w:r>
              <w:rPr>
                <w:rFonts w:hint="eastAsia" w:ascii="宋体" w:hAnsi="宋体" w:eastAsia="宋体"/>
                <w:kern w:val="0"/>
                <w:sz w:val="18"/>
                <w:szCs w:val="18"/>
                <w:lang w:eastAsia="zh-Hans"/>
              </w:rPr>
              <w:t>经温州银行评估为稳健型</w:t>
            </w:r>
            <w:r>
              <w:rPr>
                <w:rFonts w:ascii="宋体" w:hAnsi="宋体" w:eastAsia="宋体"/>
                <w:kern w:val="0"/>
                <w:sz w:val="18"/>
                <w:szCs w:val="18"/>
                <w:lang w:eastAsia="zh-Hans"/>
              </w:rPr>
              <w:t>、</w:t>
            </w:r>
            <w:r>
              <w:rPr>
                <w:rFonts w:hint="eastAsia" w:ascii="宋体" w:hAnsi="宋体" w:eastAsia="宋体"/>
                <w:kern w:val="0"/>
                <w:sz w:val="18"/>
                <w:szCs w:val="18"/>
                <w:lang w:eastAsia="zh-Hans"/>
              </w:rPr>
              <w:t>平衡型</w:t>
            </w:r>
            <w:r>
              <w:rPr>
                <w:rFonts w:ascii="宋体" w:hAnsi="宋体" w:eastAsia="宋体"/>
                <w:kern w:val="0"/>
                <w:sz w:val="18"/>
                <w:szCs w:val="18"/>
                <w:lang w:eastAsia="zh-Hans"/>
              </w:rPr>
              <w:t>、</w:t>
            </w:r>
            <w:r>
              <w:rPr>
                <w:rFonts w:hint="eastAsia" w:ascii="宋体" w:hAnsi="宋体" w:eastAsia="宋体"/>
                <w:kern w:val="0"/>
                <w:sz w:val="18"/>
                <w:szCs w:val="18"/>
                <w:lang w:eastAsia="zh-Hans"/>
              </w:rPr>
              <w:t>进取型</w:t>
            </w:r>
            <w:r>
              <w:rPr>
                <w:rFonts w:ascii="宋体" w:hAnsi="宋体" w:eastAsia="宋体"/>
                <w:kern w:val="0"/>
                <w:sz w:val="18"/>
                <w:szCs w:val="18"/>
                <w:lang w:eastAsia="zh-Hans"/>
              </w:rPr>
              <w:t>、</w:t>
            </w:r>
            <w:r>
              <w:rPr>
                <w:rFonts w:hint="eastAsia" w:ascii="宋体" w:hAnsi="宋体" w:eastAsia="宋体"/>
                <w:kern w:val="0"/>
                <w:sz w:val="18"/>
                <w:szCs w:val="18"/>
                <w:lang w:eastAsia="zh-Hans"/>
              </w:rPr>
              <w:t>激进型的个人投资者</w:t>
            </w:r>
            <w:r>
              <w:rPr>
                <w:rFonts w:hint="eastAsia" w:ascii="宋体" w:hAnsi="宋体" w:eastAsia="宋体"/>
                <w:kern w:val="0"/>
                <w:sz w:val="18"/>
                <w:szCs w:val="18"/>
                <w:lang w:eastAsia="zh-CN"/>
              </w:rPr>
              <w:t>，</w:t>
            </w:r>
            <w:r>
              <w:rPr>
                <w:rFonts w:hint="eastAsia" w:ascii="宋体" w:hAnsi="宋体" w:eastAsia="宋体"/>
                <w:kern w:val="0"/>
                <w:sz w:val="18"/>
                <w:szCs w:val="18"/>
                <w:lang w:val="en-US" w:eastAsia="zh-CN"/>
              </w:rPr>
              <w:t>及机构投资者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业绩比较基准</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lang w:eastAsia="zh-Hans"/>
              </w:rPr>
              <w:t>1.75%-2.05%</w:t>
            </w:r>
            <w:r>
              <w:rPr>
                <w:rFonts w:hint="eastAsia" w:ascii="宋体" w:hAnsi="宋体" w:eastAsia="宋体"/>
                <w:kern w:val="0"/>
                <w:sz w:val="18"/>
                <w:szCs w:val="18"/>
              </w:rPr>
              <w:t>（年化）</w:t>
            </w:r>
          </w:p>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kern w:val="0"/>
                <w:sz w:val="18"/>
                <w:szCs w:val="18"/>
              </w:rPr>
              <w:t>参考过往投资经验，依据近期货币市场工具、债券等资产</w:t>
            </w:r>
            <w:r>
              <w:rPr>
                <w:rFonts w:hint="eastAsia" w:ascii="宋体" w:hAnsi="宋体" w:eastAsia="宋体"/>
                <w:kern w:val="0"/>
                <w:sz w:val="18"/>
                <w:szCs w:val="18"/>
              </w:rPr>
              <w:t>投资</w:t>
            </w:r>
            <w:r>
              <w:rPr>
                <w:rFonts w:ascii="宋体" w:hAnsi="宋体" w:eastAsia="宋体"/>
                <w:kern w:val="0"/>
                <w:sz w:val="18"/>
                <w:szCs w:val="18"/>
              </w:rPr>
              <w:t>收益水平，在产品说明书约定的投资范围和投资比例内</w:t>
            </w:r>
            <w:r>
              <w:rPr>
                <w:rFonts w:hint="eastAsia" w:ascii="宋体" w:hAnsi="宋体" w:eastAsia="宋体"/>
                <w:kern w:val="0"/>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kern w:val="0"/>
                <w:sz w:val="18"/>
                <w:szCs w:val="18"/>
              </w:rPr>
            </w:pPr>
            <w:r>
              <w:rPr>
                <w:rFonts w:hint="eastAsia" w:ascii="宋体" w:hAnsi="宋体" w:eastAsia="宋体"/>
                <w:kern w:val="0"/>
                <w:sz w:val="18"/>
                <w:szCs w:val="18"/>
              </w:rPr>
              <w:t>认购（申购）起点</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cs="宋体"/>
                <w:kern w:val="0"/>
                <w:sz w:val="18"/>
                <w:szCs w:val="24"/>
              </w:rPr>
              <w:t>1元人民币为1份，首次投资最低</w:t>
            </w:r>
            <w:r>
              <w:rPr>
                <w:rFonts w:hint="eastAsia" w:ascii="宋体" w:hAnsi="宋体" w:eastAsia="宋体" w:cs="宋体"/>
                <w:kern w:val="0"/>
                <w:sz w:val="18"/>
                <w:szCs w:val="24"/>
                <w:lang w:val="en-US" w:eastAsia="zh-CN"/>
              </w:rPr>
              <w:t>份额为1万份</w:t>
            </w:r>
            <w:r>
              <w:rPr>
                <w:rFonts w:hint="eastAsia" w:ascii="宋体" w:hAnsi="宋体" w:eastAsia="宋体" w:cs="宋体"/>
                <w:kern w:val="0"/>
                <w:sz w:val="18"/>
                <w:szCs w:val="24"/>
              </w:rPr>
              <w:t>；超出首次投资最低</w:t>
            </w:r>
            <w:r>
              <w:rPr>
                <w:rFonts w:hint="eastAsia" w:ascii="宋体" w:hAnsi="宋体" w:eastAsia="宋体" w:cs="宋体"/>
                <w:kern w:val="0"/>
                <w:sz w:val="18"/>
                <w:szCs w:val="24"/>
                <w:lang w:val="en-US" w:eastAsia="zh-CN"/>
              </w:rPr>
              <w:t>份额</w:t>
            </w:r>
            <w:r>
              <w:rPr>
                <w:rFonts w:hint="eastAsia" w:ascii="宋体" w:hAnsi="宋体" w:eastAsia="宋体" w:cs="宋体"/>
                <w:kern w:val="0"/>
                <w:sz w:val="18"/>
                <w:szCs w:val="24"/>
              </w:rPr>
              <w:t>部分，须为</w:t>
            </w:r>
            <w:r>
              <w:rPr>
                <w:rFonts w:ascii="宋体" w:hAnsi="宋体" w:eastAsia="宋体" w:cs="宋体"/>
                <w:kern w:val="0"/>
                <w:sz w:val="18"/>
                <w:szCs w:val="24"/>
              </w:rPr>
              <w:t>1</w:t>
            </w:r>
            <w:r>
              <w:rPr>
                <w:rFonts w:hint="eastAsia" w:ascii="宋体" w:hAnsi="宋体" w:eastAsia="宋体" w:cs="宋体"/>
                <w:kern w:val="0"/>
                <w:sz w:val="18"/>
                <w:szCs w:val="24"/>
              </w:rPr>
              <w:t>千</w:t>
            </w:r>
            <w:r>
              <w:rPr>
                <w:rFonts w:hint="eastAsia" w:ascii="宋体" w:hAnsi="宋体" w:eastAsia="宋体" w:cs="宋体"/>
                <w:kern w:val="0"/>
                <w:sz w:val="18"/>
                <w:szCs w:val="24"/>
                <w:lang w:val="en-US" w:eastAsia="zh-CN"/>
              </w:rPr>
              <w:t>份</w:t>
            </w:r>
            <w:r>
              <w:rPr>
                <w:rFonts w:hint="eastAsia" w:ascii="宋体" w:hAnsi="宋体" w:eastAsia="宋体" w:cs="宋体"/>
                <w:kern w:val="0"/>
                <w:sz w:val="18"/>
                <w:szCs w:val="24"/>
              </w:rPr>
              <w:t>或</w:t>
            </w:r>
            <w:r>
              <w:rPr>
                <w:rFonts w:ascii="宋体" w:hAnsi="宋体" w:eastAsia="宋体" w:cs="宋体"/>
                <w:kern w:val="0"/>
                <w:sz w:val="18"/>
                <w:szCs w:val="24"/>
              </w:rPr>
              <w:t>1</w:t>
            </w:r>
            <w:r>
              <w:rPr>
                <w:rFonts w:hint="eastAsia" w:ascii="宋体" w:hAnsi="宋体" w:eastAsia="宋体" w:cs="宋体"/>
                <w:kern w:val="0"/>
                <w:sz w:val="18"/>
                <w:szCs w:val="24"/>
              </w:rPr>
              <w:t>千</w:t>
            </w:r>
            <w:r>
              <w:rPr>
                <w:rFonts w:hint="eastAsia" w:ascii="宋体" w:hAnsi="宋体" w:eastAsia="宋体" w:cs="宋体"/>
                <w:kern w:val="0"/>
                <w:sz w:val="18"/>
                <w:szCs w:val="24"/>
                <w:lang w:val="en-US" w:eastAsia="zh-CN"/>
              </w:rPr>
              <w:t>份</w:t>
            </w:r>
            <w:r>
              <w:rPr>
                <w:rFonts w:hint="eastAsia" w:ascii="宋体" w:hAnsi="宋体" w:eastAsia="宋体" w:cs="宋体"/>
                <w:kern w:val="0"/>
                <w:sz w:val="18"/>
                <w:szCs w:val="24"/>
              </w:rPr>
              <w:t>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lang w:val="en-US" w:eastAsia="zh-CN"/>
              </w:rPr>
              <w:t>2026年6月25日</w:t>
            </w:r>
            <w:r>
              <w:rPr>
                <w:rFonts w:hint="eastAsia" w:ascii="宋体" w:hAnsi="宋体" w:eastAsia="宋体"/>
                <w:color w:val="000000"/>
                <w:kern w:val="0"/>
                <w:sz w:val="18"/>
                <w:szCs w:val="18"/>
                <w:u w:val="single"/>
                <w:lang w:eastAsia="zh-Hans"/>
              </w:rPr>
              <w:t>至</w:t>
            </w:r>
            <w:r>
              <w:rPr>
                <w:rFonts w:hint="eastAsia" w:ascii="宋体" w:hAnsi="宋体" w:eastAsia="宋体"/>
                <w:color w:val="000000"/>
                <w:kern w:val="0"/>
                <w:sz w:val="18"/>
                <w:szCs w:val="18"/>
                <w:u w:val="single"/>
                <w:lang w:val="en-US" w:eastAsia="zh-CN"/>
              </w:rPr>
              <w:t>2026年7月1日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u w:val="single"/>
                <w:lang w:eastAsia="zh-Hans"/>
              </w:rPr>
              <w:t>2026年7月2日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投资运作周期期限</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28天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赎回期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rPr>
              <w:t>2026年7月23日</w:t>
            </w:r>
            <w:r>
              <w:rPr>
                <w:rFonts w:hint="eastAsia" w:ascii="宋体" w:hAnsi="宋体" w:eastAsia="宋体"/>
                <w:color w:val="000000"/>
                <w:kern w:val="0"/>
                <w:sz w:val="18"/>
                <w:szCs w:val="18"/>
                <w:u w:val="single"/>
                <w:lang w:eastAsia="zh-Hans"/>
              </w:rPr>
              <w:t>至2026年7月29日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24"/>
              </w:rPr>
            </w:pPr>
            <w:r>
              <w:rPr>
                <w:rFonts w:ascii="宋体" w:hAnsi="宋体" w:eastAsia="宋体" w:cs="宋体"/>
                <w:kern w:val="0"/>
                <w:sz w:val="18"/>
                <w:szCs w:val="24"/>
              </w:rPr>
              <w:t>投资</w:t>
            </w:r>
            <w:r>
              <w:rPr>
                <w:rFonts w:hint="eastAsia" w:ascii="宋体" w:hAnsi="宋体" w:eastAsia="宋体" w:cs="宋体"/>
                <w:kern w:val="0"/>
                <w:sz w:val="18"/>
                <w:szCs w:val="24"/>
              </w:rPr>
              <w:t>运作</w:t>
            </w:r>
            <w:r>
              <w:rPr>
                <w:rFonts w:ascii="宋体" w:hAnsi="宋体" w:eastAsia="宋体" w:cs="宋体"/>
                <w:kern w:val="0"/>
                <w:sz w:val="18"/>
                <w:szCs w:val="24"/>
              </w:rPr>
              <w:t>周期</w:t>
            </w:r>
            <w:r>
              <w:rPr>
                <w:rFonts w:hint="eastAsia" w:ascii="宋体" w:hAnsi="宋体" w:eastAsia="宋体" w:cs="宋体"/>
                <w:kern w:val="0"/>
                <w:sz w:val="18"/>
                <w:szCs w:val="24"/>
              </w:rPr>
              <w:t>终止</w:t>
            </w:r>
            <w:r>
              <w:rPr>
                <w:rFonts w:ascii="宋体" w:hAnsi="宋体" w:eastAsia="宋体" w:cs="宋体"/>
                <w:kern w:val="0"/>
                <w:sz w:val="18"/>
                <w:szCs w:val="24"/>
              </w:rPr>
              <w:t>日</w:t>
            </w:r>
          </w:p>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（赎回清算日）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color w:val="000000"/>
                <w:kern w:val="0"/>
                <w:sz w:val="18"/>
                <w:szCs w:val="18"/>
                <w:u w:val="single"/>
              </w:rPr>
              <w:t>2026年7月30日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b/>
                <w:kern w:val="0"/>
                <w:sz w:val="18"/>
                <w:szCs w:val="18"/>
              </w:rPr>
            </w:pPr>
            <w:r>
              <w:rPr>
                <w:rFonts w:hint="eastAsia" w:ascii="宋体" w:hAnsi="宋体" w:eastAsia="宋体"/>
                <w:b/>
                <w:kern w:val="0"/>
                <w:sz w:val="18"/>
                <w:szCs w:val="18"/>
              </w:rPr>
              <w:t>提前终止权</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b/>
                <w:kern w:val="0"/>
                <w:sz w:val="18"/>
                <w:szCs w:val="18"/>
              </w:rPr>
            </w:pPr>
            <w:r>
              <w:rPr>
                <w:rFonts w:hint="eastAsia" w:ascii="宋体" w:hAnsi="宋体" w:eastAsia="宋体"/>
                <w:b/>
                <w:kern w:val="0"/>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工作日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其他规定</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理财本金在理财计划成立日/投资周期起始日前交存于温州银行的，按当时实行的活期利率计息。赎回清算日到理财资金返还到账日为</w:t>
            </w:r>
            <w:r>
              <w:rPr>
                <w:rFonts w:hint="eastAsia" w:ascii="宋体" w:hAnsi="宋体" w:eastAsia="宋体"/>
                <w:kern w:val="0"/>
                <w:sz w:val="18"/>
                <w:szCs w:val="18"/>
                <w:lang w:val="en-US" w:eastAsia="zh-CN"/>
              </w:rPr>
              <w:t>资金</w:t>
            </w:r>
            <w:r>
              <w:rPr>
                <w:rFonts w:hint="eastAsia" w:ascii="宋体" w:hAnsi="宋体" w:eastAsia="宋体"/>
                <w:kern w:val="0"/>
                <w:sz w:val="18"/>
                <w:szCs w:val="18"/>
              </w:rPr>
              <w:t>清算期，</w:t>
            </w:r>
            <w:r>
              <w:rPr>
                <w:rFonts w:hint="eastAsia" w:ascii="宋体" w:hAnsi="宋体" w:eastAsia="宋体"/>
                <w:kern w:val="0"/>
                <w:sz w:val="18"/>
                <w:szCs w:val="18"/>
                <w:lang w:val="en-US" w:eastAsia="zh-CN"/>
              </w:rPr>
              <w:t>资金</w:t>
            </w:r>
            <w:r>
              <w:rPr>
                <w:rFonts w:hint="eastAsia" w:ascii="宋体" w:hAnsi="宋体" w:eastAsia="宋体"/>
                <w:kern w:val="0"/>
                <w:sz w:val="18"/>
                <w:szCs w:val="18"/>
              </w:rPr>
              <w:t>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客户须知</w:t>
            </w:r>
          </w:p>
        </w:tc>
        <w:tc>
          <w:tcPr>
            <w:tcW w:w="7315"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val="0"/>
              <w:bidi w:val="0"/>
              <w:adjustRightInd/>
              <w:snapToGrid w:val="0"/>
              <w:ind w:firstLine="360" w:firstLineChars="200"/>
              <w:jc w:val="left"/>
              <w:textAlignment w:val="auto"/>
              <w:rPr>
                <w:rFonts w:ascii="宋体" w:hAnsi="宋体" w:eastAsia="宋体"/>
                <w:sz w:val="18"/>
                <w:szCs w:val="20"/>
              </w:rPr>
            </w:pPr>
            <w:r>
              <w:rPr>
                <w:rFonts w:hint="eastAsia" w:ascii="宋体" w:hAnsi="宋体" w:eastAsia="宋体"/>
                <w:sz w:val="18"/>
                <w:szCs w:val="20"/>
                <w:lang w:eastAsia="zh-CN"/>
              </w:rPr>
              <w:t>本人/本机构</w:t>
            </w:r>
            <w:r>
              <w:rPr>
                <w:rFonts w:ascii="宋体" w:hAnsi="宋体" w:eastAsia="宋体"/>
                <w:sz w:val="18"/>
                <w:szCs w:val="20"/>
              </w:rPr>
              <w:t>已认真阅读并充分理解</w:t>
            </w:r>
            <w:r>
              <w:rPr>
                <w:rFonts w:hint="eastAsia" w:ascii="宋体" w:hAnsi="宋体" w:eastAsia="宋体"/>
                <w:sz w:val="18"/>
                <w:szCs w:val="20"/>
              </w:rPr>
              <w:t>《</w:t>
            </w:r>
            <w:r>
              <w:rPr>
                <w:rFonts w:hint="eastAsia" w:ascii="宋体" w:hAnsi="宋体" w:eastAsia="宋体"/>
                <w:sz w:val="18"/>
                <w:szCs w:val="20"/>
                <w:lang w:eastAsia="zh-Hans"/>
              </w:rPr>
              <w:t>温州银行</w:t>
            </w:r>
            <w:r>
              <w:rPr>
                <w:rFonts w:hint="eastAsia" w:ascii="宋体" w:hAnsi="宋体" w:eastAsia="宋体"/>
                <w:color w:val="000000"/>
                <w:sz w:val="18"/>
                <w:szCs w:val="20"/>
              </w:rPr>
              <w:t>“金鹿理财-普惠</w:t>
            </w:r>
            <w:r>
              <w:rPr>
                <w:rFonts w:hint="eastAsia" w:ascii="宋体" w:hAnsi="宋体" w:eastAsia="宋体"/>
                <w:color w:val="000000"/>
                <w:sz w:val="18"/>
                <w:szCs w:val="20"/>
                <w:lang w:eastAsia="zh-CN"/>
              </w:rPr>
              <w:t>月享”</w:t>
            </w:r>
            <w:r>
              <w:rPr>
                <w:rFonts w:hint="eastAsia" w:ascii="宋体" w:hAnsi="宋体" w:eastAsia="宋体"/>
                <w:color w:val="000000"/>
                <w:sz w:val="18"/>
                <w:szCs w:val="20"/>
                <w:lang w:val="en-US" w:eastAsia="zh-CN"/>
              </w:rPr>
              <w:t>3</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开放式净值型银行理财计划风险揭示书》、《温州银行“金鹿理财-普惠</w:t>
            </w:r>
            <w:r>
              <w:rPr>
                <w:rFonts w:hint="eastAsia" w:ascii="宋体" w:hAnsi="宋体" w:eastAsia="宋体"/>
                <w:color w:val="000000"/>
                <w:sz w:val="18"/>
                <w:szCs w:val="20"/>
                <w:lang w:eastAsia="zh-CN"/>
              </w:rPr>
              <w:t>月享”</w:t>
            </w:r>
            <w:r>
              <w:rPr>
                <w:rFonts w:hint="eastAsia" w:ascii="宋体" w:hAnsi="宋体" w:eastAsia="宋体"/>
                <w:color w:val="000000"/>
                <w:sz w:val="18"/>
                <w:szCs w:val="20"/>
                <w:lang w:val="en-US" w:eastAsia="zh-CN"/>
              </w:rPr>
              <w:t>3</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开放式净值型银行理财计划产品说明书》、《温州银行“金鹿理财-普惠</w:t>
            </w:r>
            <w:r>
              <w:rPr>
                <w:rFonts w:hint="eastAsia" w:ascii="宋体" w:hAnsi="宋体" w:eastAsia="宋体"/>
                <w:color w:val="000000"/>
                <w:sz w:val="18"/>
                <w:szCs w:val="20"/>
                <w:lang w:eastAsia="zh-CN"/>
              </w:rPr>
              <w:t>月享”</w:t>
            </w:r>
            <w:r>
              <w:rPr>
                <w:rFonts w:hint="eastAsia" w:ascii="宋体" w:hAnsi="宋体" w:eastAsia="宋体"/>
                <w:color w:val="000000"/>
                <w:sz w:val="18"/>
                <w:szCs w:val="20"/>
                <w:lang w:val="en-US" w:eastAsia="zh-CN"/>
              </w:rPr>
              <w:t>3</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第68期28天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w:t>
            </w:r>
            <w:r>
              <w:rPr>
                <w:rFonts w:hint="eastAsia" w:ascii="宋体" w:hAnsi="宋体" w:eastAsia="宋体"/>
                <w:sz w:val="18"/>
                <w:szCs w:val="20"/>
                <w:lang w:eastAsia="zh-CN"/>
              </w:rPr>
              <w:t>本人/本机构</w:t>
            </w:r>
            <w:r>
              <w:rPr>
                <w:rFonts w:ascii="宋体" w:hAnsi="宋体" w:eastAsia="宋体"/>
                <w:sz w:val="18"/>
                <w:szCs w:val="20"/>
              </w:rPr>
              <w:t>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autoSpaceDN w:val="0"/>
              <w:snapToGrid w:val="0"/>
              <w:ind w:firstLine="360"/>
              <w:jc w:val="left"/>
              <w:rPr>
                <w:rFonts w:ascii="宋体" w:hAnsi="宋体" w:eastAsia="宋体"/>
                <w:sz w:val="18"/>
                <w:szCs w:val="20"/>
              </w:rPr>
            </w:pPr>
          </w:p>
          <w:p>
            <w:pPr>
              <w:autoSpaceDN w:val="0"/>
              <w:snapToGrid w:val="0"/>
              <w:jc w:val="both"/>
              <w:rPr>
                <w:rFonts w:hint="eastAsia" w:ascii="宋体" w:hAnsi="宋体" w:eastAsia="宋体"/>
                <w:sz w:val="18"/>
                <w:szCs w:val="20"/>
              </w:rPr>
            </w:pPr>
            <w:r>
              <w:rPr>
                <w:rFonts w:hint="eastAsia" w:ascii="宋体" w:hAnsi="宋体" w:eastAsia="宋体"/>
                <w:sz w:val="18"/>
                <w:szCs w:val="20"/>
              </w:rPr>
              <w:t>个人投资者（签字）：</w:t>
            </w:r>
          </w:p>
          <w:p>
            <w:pPr>
              <w:autoSpaceDN w:val="0"/>
              <w:snapToGrid w:val="0"/>
              <w:jc w:val="both"/>
              <w:rPr>
                <w:rFonts w:hint="eastAsia" w:ascii="宋体" w:hAnsi="宋体" w:eastAsia="宋体"/>
                <w:sz w:val="18"/>
                <w:szCs w:val="20"/>
              </w:rPr>
            </w:pPr>
          </w:p>
          <w:p>
            <w:pPr>
              <w:autoSpaceDN w:val="0"/>
              <w:snapToGrid w:val="0"/>
              <w:jc w:val="both"/>
              <w:rPr>
                <w:rFonts w:hint="eastAsia" w:ascii="宋体" w:hAnsi="宋体" w:eastAsia="宋体"/>
                <w:sz w:val="18"/>
                <w:szCs w:val="20"/>
              </w:rPr>
            </w:pPr>
            <w:r>
              <w:rPr>
                <w:rFonts w:hint="eastAsia" w:ascii="宋体" w:hAnsi="宋体" w:eastAsia="宋体"/>
                <w:sz w:val="18"/>
                <w:szCs w:val="20"/>
              </w:rPr>
              <w:t>机构投资者（盖章）：</w:t>
            </w:r>
          </w:p>
          <w:p>
            <w:pPr>
              <w:autoSpaceDN w:val="0"/>
              <w:snapToGrid w:val="0"/>
              <w:jc w:val="both"/>
              <w:rPr>
                <w:rFonts w:hint="eastAsia" w:ascii="宋体" w:hAnsi="宋体" w:eastAsia="宋体"/>
                <w:sz w:val="18"/>
                <w:szCs w:val="20"/>
              </w:rPr>
            </w:pPr>
          </w:p>
          <w:p>
            <w:pPr>
              <w:autoSpaceDN w:val="0"/>
              <w:snapToGrid w:val="0"/>
              <w:jc w:val="both"/>
              <w:rPr>
                <w:rFonts w:hint="eastAsia" w:ascii="宋体" w:hAnsi="宋体" w:eastAsia="宋体"/>
                <w:sz w:val="18"/>
                <w:szCs w:val="20"/>
              </w:rPr>
            </w:pPr>
            <w:r>
              <w:rPr>
                <w:rFonts w:hint="eastAsia" w:ascii="宋体" w:hAnsi="宋体" w:eastAsia="宋体"/>
                <w:sz w:val="18"/>
                <w:szCs w:val="20"/>
              </w:rPr>
              <w:t xml:space="preserve">机构投资者法定代表人或授权代表（签名或盖章）： </w:t>
            </w:r>
          </w:p>
          <w:p>
            <w:pPr>
              <w:autoSpaceDN w:val="0"/>
              <w:snapToGrid w:val="0"/>
              <w:jc w:val="both"/>
              <w:rPr>
                <w:rFonts w:hint="eastAsia" w:ascii="宋体" w:hAnsi="宋体" w:eastAsia="宋体"/>
                <w:sz w:val="18"/>
                <w:szCs w:val="20"/>
              </w:rPr>
            </w:pPr>
          </w:p>
          <w:p>
            <w:pPr>
              <w:autoSpaceDN w:val="0"/>
              <w:snapToGrid w:val="0"/>
              <w:ind w:firstLine="360"/>
              <w:jc w:val="right"/>
              <w:rPr>
                <w:rFonts w:hint="eastAsia" w:ascii="宋体" w:hAnsi="宋体" w:eastAsia="宋体"/>
                <w:kern w:val="0"/>
                <w:sz w:val="18"/>
                <w:szCs w:val="18"/>
                <w:lang w:eastAsia="zh-CN"/>
              </w:rPr>
            </w:pPr>
            <w:r>
              <w:rPr>
                <w:rFonts w:hint="eastAsia" w:ascii="宋体" w:hAnsi="宋体" w:eastAsia="宋体"/>
                <w:sz w:val="18"/>
                <w:szCs w:val="20"/>
              </w:rPr>
              <w:t>日期：     年    月    日</w:t>
            </w:r>
          </w:p>
        </w:tc>
      </w:tr>
    </w:tbl>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3"/>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doNotDisplayPageBoundaries w:val="1"/>
  <w:bordersDoNotSurroundHeader w:val="1"/>
  <w:bordersDoNotSurroundFooter w:val="1"/>
  <w:documentProtection w:edit="readOnly" w:enforcement="1" w:cryptProviderType="rsaFull" w:cryptAlgorithmClass="hash" w:cryptAlgorithmType="typeAny" w:cryptAlgorithmSid="4" w:cryptSpinCount="0" w:hash="GlQswCe0FvwDz8CHIa0Wk+Kaa+E=" w:salt="Jl4GHEwH+3y5M7655ljLbA=="/>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2A27"/>
    <w:rsid w:val="00107E6F"/>
    <w:rsid w:val="001F45FA"/>
    <w:rsid w:val="00216859"/>
    <w:rsid w:val="0037444F"/>
    <w:rsid w:val="003C4F1E"/>
    <w:rsid w:val="004048F3"/>
    <w:rsid w:val="00573DF2"/>
    <w:rsid w:val="006231F7"/>
    <w:rsid w:val="006B1124"/>
    <w:rsid w:val="006C178D"/>
    <w:rsid w:val="00727ECA"/>
    <w:rsid w:val="007E3EE5"/>
    <w:rsid w:val="007E483C"/>
    <w:rsid w:val="009B5133"/>
    <w:rsid w:val="00BB77D3"/>
    <w:rsid w:val="00BF5A7D"/>
    <w:rsid w:val="00C00D5A"/>
    <w:rsid w:val="00D66F43"/>
    <w:rsid w:val="00DA363C"/>
    <w:rsid w:val="00E36316"/>
    <w:rsid w:val="00E41ADC"/>
    <w:rsid w:val="00E850D0"/>
    <w:rsid w:val="02E304E4"/>
    <w:rsid w:val="02F6674A"/>
    <w:rsid w:val="04BD5681"/>
    <w:rsid w:val="04C41107"/>
    <w:rsid w:val="064138B5"/>
    <w:rsid w:val="0EDE31A4"/>
    <w:rsid w:val="12105614"/>
    <w:rsid w:val="124D7D92"/>
    <w:rsid w:val="14BC2984"/>
    <w:rsid w:val="1BB41932"/>
    <w:rsid w:val="1C905CE2"/>
    <w:rsid w:val="1CB9778E"/>
    <w:rsid w:val="22E37681"/>
    <w:rsid w:val="24936F58"/>
    <w:rsid w:val="25143F64"/>
    <w:rsid w:val="257E343A"/>
    <w:rsid w:val="27952CFE"/>
    <w:rsid w:val="27D24D61"/>
    <w:rsid w:val="2A447973"/>
    <w:rsid w:val="2DBD6096"/>
    <w:rsid w:val="2E9A4A29"/>
    <w:rsid w:val="35695A58"/>
    <w:rsid w:val="3989549A"/>
    <w:rsid w:val="3AEF5917"/>
    <w:rsid w:val="3BEF0754"/>
    <w:rsid w:val="3E0D656E"/>
    <w:rsid w:val="40391347"/>
    <w:rsid w:val="432B38F3"/>
    <w:rsid w:val="45044EE2"/>
    <w:rsid w:val="474649A8"/>
    <w:rsid w:val="476E7FBC"/>
    <w:rsid w:val="4DE10ED6"/>
    <w:rsid w:val="4EBD27B5"/>
    <w:rsid w:val="50D51AC8"/>
    <w:rsid w:val="511E88BC"/>
    <w:rsid w:val="57EF6646"/>
    <w:rsid w:val="5AD05E8B"/>
    <w:rsid w:val="5F0F485B"/>
    <w:rsid w:val="608554D1"/>
    <w:rsid w:val="664C1B99"/>
    <w:rsid w:val="667C0C41"/>
    <w:rsid w:val="685314B5"/>
    <w:rsid w:val="6B486A87"/>
    <w:rsid w:val="6B56263E"/>
    <w:rsid w:val="6C1904BA"/>
    <w:rsid w:val="70866212"/>
    <w:rsid w:val="72FD61DA"/>
    <w:rsid w:val="73F929FA"/>
    <w:rsid w:val="7B0730F6"/>
    <w:rsid w:val="7F7EC3B3"/>
    <w:rsid w:val="9DF34336"/>
    <w:rsid w:val="BBDDF786"/>
    <w:rsid w:val="E7EC35E9"/>
    <w:rsid w:val="EAFE285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5">
    <w:name w:val="Default Paragraph Font"/>
    <w:semiHidden/>
    <w:unhideWhenUsed/>
    <w:qFormat/>
    <w:uiPriority w:val="1"/>
  </w:style>
  <w:style w:type="table" w:default="1" w:styleId="4">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semiHidden/>
    <w:unhideWhenUsed/>
    <w:qFormat/>
    <w:uiPriority w:val="99"/>
    <w:pPr>
      <w:jc w:val="left"/>
    </w:pPr>
  </w:style>
  <w:style w:type="paragraph" w:styleId="3">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1007</Words>
  <Characters>1007</Characters>
  <Lines>7</Lines>
  <Paragraphs>2</Paragraphs>
  <TotalTime>2</TotalTime>
  <ScaleCrop>false</ScaleCrop>
  <LinksUpToDate>false</LinksUpToDate>
  <CharactersWithSpaces>1048</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应心茹</cp:lastModifiedBy>
  <dcterms:modified xsi:type="dcterms:W3CDTF">2026-06-18T06:41:18Z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y fmtid="{D5CDD505-2E9C-101B-9397-08002B2CF9AE}" pid="4" name="KSOTemplateDocerSaveRecord">
    <vt:lpwstr>eyJoZGlkIjoiZWNlNjU5NjliMTgyYzBmZjRiNGFhMjFmOTUwYjlmZDgiLCJ1c2VySWQiOiIzOTQzMjAxMTgifQ==</vt:lpwstr>
  </property>
</Properties>
</file>