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color w:val="000000"/>
          <w:sz w:val="30"/>
          <w:szCs w:val="30"/>
          <w:u w:val="single"/>
        </w:rPr>
        <w:t>19014</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0" w:lineRule="auto"/>
        <w:rPr>
          <w:rFonts w:ascii="宋体" w:hAnsi="宋体"/>
          <w:b/>
          <w:szCs w:val="21"/>
        </w:rPr>
      </w:pPr>
      <w:r>
        <w:rPr>
          <w:rFonts w:hint="eastAsia" w:ascii="宋体" w:hAnsi="宋体"/>
          <w:b/>
          <w:szCs w:val="21"/>
        </w:rPr>
        <w:t>尊敬的客户：</w:t>
      </w:r>
    </w:p>
    <w:p>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0"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温盈”</w:t>
      </w:r>
      <w:r>
        <w:rPr>
          <w:rFonts w:hint="eastAsia"/>
          <w:color w:val="000000"/>
          <w:szCs w:val="21"/>
          <w:u w:val="single"/>
        </w:rPr>
        <w:t>19014</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color w:val="000000"/>
          <w:szCs w:val="21"/>
        </w:rPr>
        <w:t>“金鹿理财-温盈”19014号开放式净值</w:t>
      </w:r>
      <w:r>
        <w:rPr>
          <w:rFonts w:hint="eastAsia"/>
          <w:szCs w:val="21"/>
        </w:rPr>
        <w:t>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bookmarkStart w:id="0" w:name="_GoBack"/>
      <w:bookmarkEnd w:id="0"/>
    </w:p>
    <w:p>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rPr>
      </w:pPr>
      <w:r>
        <w:rPr>
          <w:rFonts w:hint="eastAsia" w:ascii="宋体" w:hAnsi="宋体"/>
          <w:color w:val="000000"/>
          <w:szCs w:val="21"/>
        </w:rPr>
        <w:t>三、本风险揭示书及《温州银行“金鹿理财-温盈”19014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温盈”19014号开放式净值型银行理财计划产品说明书》、《温州银行“金鹿理财-温盈”19014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0" w:lineRule="auto"/>
        <w:rPr>
          <w:b/>
          <w:szCs w:val="21"/>
        </w:rPr>
      </w:pPr>
      <w:r>
        <w:rPr>
          <w:rFonts w:hint="eastAsia"/>
          <w:b/>
          <w:szCs w:val="21"/>
        </w:rPr>
        <w:t>本人经温州银行评估的风险承受能力等级为（客户填写）：</w:t>
      </w:r>
    </w:p>
    <w:p>
      <w:pPr>
        <w:adjustRightInd w:val="0"/>
        <w:snapToGrid w:val="0"/>
        <w:spacing w:line="30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0" w:lineRule="auto"/>
        <w:rPr>
          <w:b/>
          <w:szCs w:val="21"/>
        </w:rPr>
      </w:pPr>
      <w:r>
        <w:rPr>
          <w:rFonts w:hint="eastAsia"/>
          <w:b/>
          <w:szCs w:val="21"/>
          <w:u w:val="single"/>
        </w:rPr>
        <w:t xml:space="preserve">                                                                                 </w:t>
      </w:r>
      <w:r>
        <w:rPr>
          <w:rFonts w:hint="eastAsia"/>
          <w:szCs w:val="21"/>
        </w:rPr>
        <w:t>。</w:t>
      </w:r>
    </w:p>
    <w:p>
      <w:pPr>
        <w:adjustRightInd w:val="0"/>
        <w:snapToGrid w:val="0"/>
        <w:spacing w:line="30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0"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color w:val="000000"/>
          <w:sz w:val="30"/>
          <w:szCs w:val="30"/>
          <w:u w:val="single"/>
        </w:rPr>
        <w:t>19014</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color w:val="000000"/>
          <w:sz w:val="18"/>
          <w:szCs w:val="18"/>
        </w:rPr>
        <w:t>温盈”19014号开放式净值型银行理财计划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在本理财产品存续期内，本理财产品风险等级可能会进行调整</w:t>
      </w:r>
      <w:r>
        <w:rPr>
          <w:rFonts w:hint="eastAsia"/>
          <w:sz w:val="18"/>
          <w:szCs w:val="18"/>
          <w:lang w:eastAsia="zh-CN"/>
        </w:rPr>
        <w:t>。</w:t>
      </w:r>
      <w:r>
        <w:rPr>
          <w:rFonts w:hint="eastAsia"/>
          <w:sz w:val="18"/>
          <w:szCs w:val="18"/>
        </w:rPr>
        <w:t>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“金鹿理财-温盈”</w:t>
            </w:r>
            <w:r>
              <w:rPr>
                <w:rFonts w:hint="eastAsia"/>
                <w:color w:val="000000"/>
                <w:sz w:val="18"/>
                <w:szCs w:val="18"/>
                <w:u w:val="single"/>
              </w:rPr>
              <w:t>19014</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color w:val="000000"/>
                <w:sz w:val="18"/>
                <w:szCs w:val="18"/>
              </w:rPr>
              <w:t>YJ1014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C1092219000308</w:t>
            </w:r>
          </w:p>
          <w:p>
            <w:pPr>
              <w:pStyle w:val="13"/>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lang w:val="en-US" w:eastAsia="zh-CN"/>
              </w:rPr>
              <w:t>2019年8月1日</w:t>
            </w:r>
            <w:r>
              <w:rPr>
                <w:rFonts w:hint="eastAsia"/>
                <w:sz w:val="18"/>
                <w:szCs w:val="18"/>
                <w:u w:val="single"/>
              </w:rPr>
              <w:t>至</w:t>
            </w:r>
            <w:r>
              <w:rPr>
                <w:rFonts w:hint="eastAsia"/>
                <w:color w:val="000000"/>
                <w:sz w:val="18"/>
                <w:szCs w:val="18"/>
                <w:u w:val="single"/>
                <w:lang w:val="en-US" w:eastAsia="zh-CN"/>
              </w:rPr>
              <w:t>2019年8月6日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首个投资运作周期的业绩比较基准为</w:t>
            </w:r>
            <w:r>
              <w:rPr>
                <w:rFonts w:hint="eastAsia" w:cs="Times New Roman"/>
                <w:color w:val="000000"/>
                <w:sz w:val="18"/>
                <w:szCs w:val="18"/>
              </w:rPr>
              <w:t>4.65%（年化）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olor w:val="000000"/>
                <w:sz w:val="18"/>
                <w:szCs w:val="18"/>
              </w:rPr>
              <w:t>本理财计划成立日为2019年8月7日。温州银行有权根据实际募集情况选择产品提前成立，若温州银行采取以上措施，温州银行将就产品相应要素的调整事宜于提前成立日前的一个工作日在温州银行网站予以公告。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color w:val="000000"/>
                <w:sz w:val="18"/>
              </w:rPr>
              <w:t>280</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w:t>
            </w:r>
            <w:r>
              <w:rPr>
                <w:rFonts w:hint="eastAsia" w:ascii="宋体" w:hAnsi="宋体"/>
                <w:sz w:val="18"/>
                <w:lang w:val="en-US" w:eastAsia="zh-CN"/>
              </w:rPr>
              <w:t>交易</w:t>
            </w:r>
            <w:r>
              <w:rPr>
                <w:rFonts w:ascii="宋体" w:hAnsi="宋体"/>
                <w:sz w:val="18"/>
              </w:rPr>
              <w:t>日调整大于或小于【</w:t>
            </w:r>
            <w:r>
              <w:rPr>
                <w:rFonts w:hint="eastAsia" w:ascii="宋体" w:hAnsi="宋体"/>
                <w:color w:val="000000"/>
                <w:sz w:val="18"/>
              </w:rPr>
              <w:t>280</w:t>
            </w:r>
            <w:r>
              <w:rPr>
                <w:rFonts w:ascii="宋体" w:hAnsi="宋体"/>
                <w:sz w:val="18"/>
              </w:rPr>
              <w:t>】天。投资周期终止日如遇非</w:t>
            </w:r>
            <w:r>
              <w:rPr>
                <w:rFonts w:hint="eastAsia" w:ascii="宋体" w:hAnsi="宋体"/>
                <w:sz w:val="18"/>
                <w:lang w:val="en-US" w:eastAsia="zh-CN"/>
              </w:rPr>
              <w:t>交易</w:t>
            </w:r>
            <w:r>
              <w:rPr>
                <w:rFonts w:ascii="宋体" w:hAnsi="宋体"/>
                <w:sz w:val="18"/>
              </w:rPr>
              <w:t>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color w:val="000000"/>
                <w:sz w:val="18"/>
                <w:szCs w:val="18"/>
              </w:rPr>
              <w:t>《温州银行“金鹿理财-温盈”19014号开放式净值型（第i期）银行理财计划开放认购（申购）申请书》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单一投资者持有份额最高不超2000万</w:t>
            </w:r>
            <w:r>
              <w:rPr>
                <w:rFonts w:hint="eastAsia" w:ascii="宋体" w:hAnsi="宋体"/>
                <w:sz w:val="18"/>
                <w:lang w:eastAsia="zh-CN"/>
              </w:rPr>
              <w:t>，</w:t>
            </w:r>
            <w:r>
              <w:rPr>
                <w:rFonts w:hint="eastAsia" w:ascii="宋体" w:hAnsi="宋体"/>
                <w:sz w:val="18"/>
                <w:lang w:val="en-US" w:eastAsia="zh-CN"/>
              </w:rPr>
              <w:t>且</w:t>
            </w:r>
            <w:r>
              <w:rPr>
                <w:rFonts w:hint="eastAsia" w:ascii="宋体" w:hAnsi="宋体"/>
                <w:sz w:val="18"/>
              </w:rPr>
              <w:t>不得超过总份额的50%，非因投资管理人主观因素导致突破前款规定比例限制的，管理人有权不再接受该投资者对该理财产品的申购申请，投资者持有份额的计算以管理人登记为准。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rFonts w:hint="eastAsia"/>
                <w:sz w:val="18"/>
                <w:szCs w:val="18"/>
                <w:lang w:eastAsia="zh-CN"/>
              </w:rPr>
              <w:t>0.6</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w:t>
            </w:r>
            <w:r>
              <w:rPr>
                <w:rFonts w:hint="eastAsia" w:ascii="宋体" w:hAnsi="宋体"/>
                <w:kern w:val="0"/>
                <w:sz w:val="18"/>
                <w:szCs w:val="18"/>
                <w:lang w:eastAsia="zh-CN"/>
              </w:rPr>
              <w:t>、</w:t>
            </w:r>
            <w:r>
              <w:rPr>
                <w:rFonts w:hint="eastAsia"/>
                <w:sz w:val="18"/>
                <w:szCs w:val="18"/>
              </w:rPr>
              <w:t>税费</w:t>
            </w:r>
            <w:r>
              <w:rPr>
                <w:rFonts w:hint="eastAsia"/>
                <w:sz w:val="18"/>
                <w:szCs w:val="18"/>
                <w:lang w:val="en-US" w:eastAsia="zh-CN"/>
              </w:rPr>
              <w:t>及</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int="eastAsia" w:cs="Times New Roman"/>
                <w:b/>
                <w:sz w:val="18"/>
                <w:szCs w:val="18"/>
              </w:rPr>
            </w:pPr>
            <w:r>
              <w:rPr>
                <w:rFonts w:hint="eastAsia" w:cs="Times New Roman"/>
                <w:b w:val="0"/>
                <w:bCs/>
                <w:sz w:val="18"/>
                <w:szCs w:val="18"/>
                <w:lang w:val="en-US" w:eastAsia="zh-CN"/>
              </w:rPr>
              <w:t>交易日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hint="eastAsia" w:cs="Times New Roman"/>
                <w:b/>
                <w:sz w:val="18"/>
                <w:szCs w:val="18"/>
              </w:rPr>
            </w:pPr>
            <w:r>
              <w:rPr>
                <w:rFonts w:hint="eastAsia"/>
                <w:sz w:val="18"/>
                <w:szCs w:val="18"/>
              </w:rPr>
              <w:t>指上海证券交易所</w:t>
            </w:r>
            <w:r>
              <w:rPr>
                <w:rFonts w:hint="eastAsia"/>
                <w:sz w:val="18"/>
                <w:szCs w:val="18"/>
                <w:lang w:eastAsia="zh-CN"/>
              </w:rPr>
              <w:t>、</w:t>
            </w:r>
            <w:r>
              <w:rPr>
                <w:rFonts w:hint="eastAsia"/>
                <w:sz w:val="18"/>
                <w:szCs w:val="18"/>
                <w:lang w:val="en-US" w:eastAsia="zh-CN"/>
              </w:rPr>
              <w:t>深圳证券交易所</w:t>
            </w:r>
            <w:r>
              <w:rPr>
                <w:rFonts w:hint="eastAsia"/>
                <w:sz w:val="18"/>
                <w:szCs w:val="18"/>
              </w:rPr>
              <w:t>的正常交易日。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指除国家法定节假日和公休日外的其他日期。本理财产品说明书所述之日期如遇非工作日自动顺延至下一个工作日。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w:t>
            </w:r>
            <w:r>
              <w:rPr>
                <w:rFonts w:hint="eastAsia" w:cs="Times New Roman"/>
                <w:sz w:val="18"/>
                <w:szCs w:val="18"/>
                <w:lang w:val="en-US" w:eastAsia="zh-CN"/>
              </w:rPr>
              <w:t>资金</w:t>
            </w:r>
            <w:r>
              <w:rPr>
                <w:rFonts w:hint="eastAsia" w:cs="Times New Roman"/>
                <w:sz w:val="18"/>
                <w:szCs w:val="18"/>
              </w:rPr>
              <w:t>清算期，</w:t>
            </w:r>
            <w:r>
              <w:rPr>
                <w:rFonts w:hint="eastAsia" w:cs="Times New Roman"/>
                <w:sz w:val="18"/>
                <w:szCs w:val="18"/>
                <w:lang w:val="en-US" w:eastAsia="zh-CN"/>
              </w:rPr>
              <w:t>资金</w:t>
            </w:r>
            <w:r>
              <w:rPr>
                <w:rFonts w:hint="eastAsia" w:cs="Times New Roman"/>
                <w:sz w:val="18"/>
                <w:szCs w:val="18"/>
              </w:rPr>
              <w:t>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w:t>
      </w:r>
      <w:r>
        <w:rPr>
          <w:rFonts w:hint="eastAsia"/>
          <w:sz w:val="18"/>
          <w:szCs w:val="18"/>
          <w:lang w:val="en-US" w:eastAsia="zh-CN"/>
        </w:rPr>
        <w:t>债权</w:t>
      </w:r>
      <w:r>
        <w:rPr>
          <w:rFonts w:hint="eastAsia"/>
          <w:sz w:val="18"/>
          <w:szCs w:val="18"/>
        </w:rPr>
        <w:t>类资产，部分可投资于权益类资产</w:t>
      </w:r>
      <w:r>
        <w:rPr>
          <w:rFonts w:hint="eastAsia"/>
          <w:sz w:val="18"/>
          <w:szCs w:val="18"/>
          <w:lang w:eastAsia="zh-CN"/>
        </w:rPr>
        <w:t>、</w:t>
      </w:r>
      <w:r>
        <w:rPr>
          <w:rFonts w:hint="eastAsia"/>
          <w:sz w:val="18"/>
          <w:szCs w:val="18"/>
          <w:lang w:val="en-US" w:eastAsia="zh-CN"/>
        </w:rPr>
        <w:t>商品及金融衍生品类资产</w:t>
      </w:r>
      <w:r>
        <w:rPr>
          <w:rFonts w:hint="eastAsia"/>
          <w:sz w:val="18"/>
          <w:szCs w:val="18"/>
        </w:rPr>
        <w:t>。具体包括但不限于银行间市场和证券交易所市场债权性资产、非标准化债权资产、资产管理计划、信托计划、各类受（收）益权、资产支持证券、票据资产、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9400" w:type="dxa"/>
        <w:jc w:val="center"/>
        <w:tblLayout w:type="fixed"/>
        <w:tblCellMar>
          <w:top w:w="0" w:type="dxa"/>
          <w:left w:w="108" w:type="dxa"/>
          <w:bottom w:w="0" w:type="dxa"/>
          <w:right w:w="108" w:type="dxa"/>
        </w:tblCellMar>
      </w:tblPr>
      <w:tblGrid>
        <w:gridCol w:w="2251"/>
        <w:gridCol w:w="5446"/>
        <w:gridCol w:w="1703"/>
      </w:tblGrid>
      <w:tr>
        <w:tblPrEx>
          <w:tblCellMar>
            <w:top w:w="0" w:type="dxa"/>
            <w:left w:w="108" w:type="dxa"/>
            <w:bottom w:w="0" w:type="dxa"/>
            <w:right w:w="108" w:type="dxa"/>
          </w:tblCellMar>
        </w:tblPrEx>
        <w:trPr>
          <w:trHeight w:val="270" w:hRule="atLeast"/>
          <w:jc w:val="center"/>
        </w:trPr>
        <w:tc>
          <w:tcPr>
            <w:tcW w:w="225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4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25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债券回购、</w:t>
            </w: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tcBorders>
              <w:top w:val="nil"/>
              <w:left w:val="single" w:color="auto" w:sz="4" w:space="0"/>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lang w:val="en-US" w:eastAsia="zh-CN"/>
              </w:rPr>
              <w:t>其他类资产</w:t>
            </w:r>
          </w:p>
        </w:tc>
        <w:tc>
          <w:tcPr>
            <w:tcW w:w="5446" w:type="dxa"/>
            <w:tcBorders>
              <w:top w:val="nil"/>
              <w:left w:val="nil"/>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rPr>
              <w:t>证券投资基金</w:t>
            </w:r>
            <w:r>
              <w:rPr>
                <w:rFonts w:hint="eastAsia"/>
                <w:sz w:val="18"/>
                <w:szCs w:val="18"/>
              </w:rPr>
              <w:t>以及其他符合监管要求的权益类</w:t>
            </w:r>
            <w:r>
              <w:rPr>
                <w:rFonts w:hint="eastAsia" w:ascii="宋体" w:hAnsi="宋体" w:cs="宋体"/>
                <w:color w:val="000000"/>
                <w:kern w:val="0"/>
                <w:sz w:val="18"/>
                <w:szCs w:val="18"/>
                <w:lang w:eastAsia="zh-CN"/>
              </w:rPr>
              <w:t>、</w:t>
            </w:r>
            <w:r>
              <w:rPr>
                <w:rFonts w:hint="eastAsia" w:ascii="宋体" w:hAnsi="宋体" w:cs="宋体"/>
                <w:color w:val="000000"/>
                <w:kern w:val="0"/>
                <w:sz w:val="18"/>
                <w:szCs w:val="18"/>
                <w:lang w:val="en-US" w:eastAsia="zh-CN"/>
              </w:rPr>
              <w:t>商品及金融衍生品类</w:t>
            </w:r>
            <w:r>
              <w:rPr>
                <w:rFonts w:hint="eastAsia"/>
                <w:sz w:val="18"/>
                <w:szCs w:val="18"/>
              </w:rPr>
              <w:t>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本理财产品估值日为每个</w:t>
      </w:r>
      <w:r>
        <w:rPr>
          <w:rFonts w:hint="eastAsia"/>
          <w:sz w:val="18"/>
          <w:szCs w:val="18"/>
          <w:lang w:val="en-US" w:eastAsia="zh-CN"/>
        </w:rPr>
        <w:t>自然</w:t>
      </w:r>
      <w:r>
        <w:rPr>
          <w:rFonts w:hint="eastAsia"/>
          <w:sz w:val="18"/>
          <w:szCs w:val="18"/>
        </w:rPr>
        <w:t>日，投资管理人和理财托管人核对估值结果，每个开放周期结束后2</w:t>
      </w:r>
      <w:r>
        <w:rPr>
          <w:rFonts w:hint="eastAsia"/>
          <w:sz w:val="18"/>
          <w:szCs w:val="18"/>
          <w:lang w:val="en-US" w:eastAsia="zh-CN"/>
        </w:rPr>
        <w:t>个工作</w:t>
      </w:r>
      <w:r>
        <w:rPr>
          <w:rFonts w:hint="eastAsia"/>
          <w:sz w:val="18"/>
          <w:szCs w:val="18"/>
        </w:rPr>
        <w:t xml:space="preserve">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color w:val="000000"/>
          <w:sz w:val="18"/>
          <w:szCs w:val="18"/>
        </w:rPr>
        <w:t>《温州银行“金鹿理财-温盈”19014号开放式净值型（第i期）银行理财计划开放认购（申购）申请书》。投资运作周期到期时，该周期内的资金收益情况根据所投资资产组合的实际运作情况确定。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color w:val="000000"/>
          <w:sz w:val="18"/>
          <w:szCs w:val="18"/>
        </w:rPr>
        <w:t>：本理财计划成立日为2019年8月7日，从成立日起，每</w:t>
      </w:r>
      <w:r>
        <w:rPr>
          <w:rFonts w:ascii="宋体" w:hAnsi="宋体"/>
          <w:sz w:val="18"/>
        </w:rPr>
        <w:t>【</w:t>
      </w:r>
      <w:r>
        <w:rPr>
          <w:rFonts w:hint="eastAsia" w:ascii="宋体" w:hAnsi="宋体"/>
          <w:color w:val="000000"/>
          <w:sz w:val="18"/>
        </w:rPr>
        <w:t>280</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w:t>
      </w:r>
      <w:r>
        <w:rPr>
          <w:rFonts w:hint="eastAsia" w:ascii="宋体" w:hAnsi="宋体"/>
          <w:sz w:val="18"/>
          <w:lang w:val="en-US" w:eastAsia="zh-CN"/>
        </w:rPr>
        <w:t>交易</w:t>
      </w:r>
      <w:r>
        <w:rPr>
          <w:rFonts w:ascii="宋体" w:hAnsi="宋体"/>
          <w:sz w:val="18"/>
        </w:rPr>
        <w:t>日调整大于或小于【</w:t>
      </w:r>
      <w:r>
        <w:rPr>
          <w:rFonts w:hint="eastAsia" w:ascii="宋体" w:hAnsi="宋体"/>
          <w:color w:val="000000"/>
          <w:sz w:val="18"/>
        </w:rPr>
        <w:t>280</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r>
        <w:rPr>
          <w:sz w:val="18"/>
          <w:szCs w:val="18"/>
        </w:rPr>
        <w:t>。</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lang w:eastAsia="zh-Hans"/>
        </w:rPr>
        <w:t>千</w:t>
      </w:r>
      <w:r>
        <w:rPr>
          <w:rFonts w:hint="eastAsia"/>
          <w:sz w:val="18"/>
          <w:szCs w:val="18"/>
        </w:rPr>
        <w:t>元或人民币</w:t>
      </w:r>
      <w:r>
        <w:rPr>
          <w:sz w:val="18"/>
          <w:szCs w:val="18"/>
        </w:rPr>
        <w:t>1</w:t>
      </w:r>
      <w:r>
        <w:rPr>
          <w:rFonts w:hint="eastAsia"/>
          <w:sz w:val="18"/>
          <w:szCs w:val="18"/>
          <w:lang w:eastAsia="zh-Hans"/>
        </w:rPr>
        <w:t>千</w:t>
      </w:r>
      <w:r>
        <w:rPr>
          <w:rFonts w:hint="eastAsia"/>
          <w:sz w:val="18"/>
          <w:szCs w:val="18"/>
        </w:rPr>
        <w:t>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w:t>
      </w:r>
      <w:r>
        <w:rPr>
          <w:rFonts w:hint="eastAsia"/>
          <w:sz w:val="18"/>
          <w:szCs w:val="18"/>
          <w:lang w:val="en-US" w:eastAsia="zh-CN"/>
        </w:rPr>
        <w:t>前一</w:t>
      </w:r>
      <w:r>
        <w:rPr>
          <w:rFonts w:hint="eastAsia"/>
          <w:sz w:val="18"/>
          <w:szCs w:val="18"/>
        </w:rPr>
        <w:t>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w:t>
      </w:r>
      <w:r>
        <w:rPr>
          <w:rFonts w:hint="eastAsia"/>
          <w:sz w:val="18"/>
          <w:szCs w:val="18"/>
          <w:lang w:val="en-US" w:eastAsia="zh-CN"/>
        </w:rPr>
        <w:t>前一</w:t>
      </w:r>
      <w:r>
        <w:rPr>
          <w:rFonts w:hint="eastAsia"/>
          <w:sz w:val="18"/>
          <w:szCs w:val="18"/>
        </w:rPr>
        <w:t>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w:t>
      </w:r>
      <w:r>
        <w:rPr>
          <w:rFonts w:hint="eastAsia" w:ascii="Calibri" w:hAnsi="Calibri" w:cs="Calibri"/>
          <w:sz w:val="18"/>
          <w:szCs w:val="18"/>
          <w:lang w:val="en-US" w:eastAsia="zh-CN"/>
        </w:rPr>
        <w:t>会</w:t>
      </w:r>
      <w:r>
        <w:rPr>
          <w:rFonts w:hint="eastAsia" w:ascii="Calibri" w:hAnsi="Calibri" w:cs="Calibri"/>
          <w:sz w:val="18"/>
          <w:szCs w:val="18"/>
        </w:rPr>
        <w:t>导致产品流动性风险的其他情形下，管理人可向连续持有少于7日的开放式理财产品投资者收取赎回费，并将上述赎回费全额计入理财产品财产。</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w:t>
      </w:r>
      <w:r>
        <w:rPr>
          <w:rFonts w:hint="eastAsia"/>
          <w:sz w:val="18"/>
          <w:szCs w:val="18"/>
          <w:lang w:val="en-US" w:eastAsia="zh-CN"/>
        </w:rPr>
        <w:t>额</w:t>
      </w:r>
      <w:r>
        <w:rPr>
          <w:rFonts w:hint="eastAsia"/>
          <w:sz w:val="18"/>
          <w:szCs w:val="18"/>
        </w:rPr>
        <w:t>＝100万元人民币÷1.0250＝975609.76份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理财计划采用“份额赎回”方式，赎回价格以赎回确认日前一自然日的理财计划份额净值为基准进行计算,计算公式如下：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r>
        <w:rPr>
          <w:rFonts w:hint="eastAsia"/>
          <w:sz w:val="18"/>
          <w:szCs w:val="18"/>
          <w:lang w:val="en-US" w:eastAsia="zh-CN"/>
        </w:rPr>
        <w:t>%</w:t>
      </w:r>
      <w:r>
        <w:rPr>
          <w:rFonts w:hint="eastAsia"/>
          <w:sz w:val="18"/>
          <w:szCs w:val="18"/>
        </w:rPr>
        <w:t>。</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sz w:val="18"/>
          <w:szCs w:val="18"/>
        </w:rPr>
      </w:pPr>
      <w:r>
        <w:rPr>
          <w:rFonts w:hint="eastAsia"/>
          <w:color w:val="000000"/>
          <w:sz w:val="18"/>
          <w:szCs w:val="18"/>
        </w:rPr>
        <w:t>本产品预计到期终止日为2029年8月7日</w:t>
      </w:r>
      <w:r>
        <w:rPr>
          <w:rFonts w:hint="eastAsia"/>
          <w:color w:val="000000"/>
          <w:sz w:val="18"/>
        </w:rPr>
        <w:t>，</w:t>
      </w:r>
      <w:r>
        <w:rPr>
          <w:rFonts w:hint="eastAsia"/>
          <w:sz w:val="18"/>
          <w:szCs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w:t>
      </w:r>
      <w:r>
        <w:rPr>
          <w:rFonts w:hint="eastAsia"/>
          <w:sz w:val="18"/>
          <w:szCs w:val="18"/>
          <w:lang w:eastAsia="zh-CN"/>
        </w:rPr>
        <w:t>0.6</w:t>
      </w:r>
      <w:r>
        <w:rPr>
          <w:rFonts w:hint="eastAsia"/>
          <w:sz w:val="18"/>
          <w:szCs w:val="18"/>
        </w:rPr>
        <w:t>%（最高），计算方法如下：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理财计划到期日份额净值-</w:t>
      </w:r>
      <w:r>
        <w:rPr>
          <w:rFonts w:hint="eastAsia" w:ascii="宋体" w:hAnsi="宋体"/>
          <w:sz w:val="18"/>
          <w:lang w:val="zh-CN"/>
        </w:rPr>
        <w:t>认购（申购）确认日前一自然日</w:t>
      </w:r>
      <w:r>
        <w:rPr>
          <w:rFonts w:hint="eastAsia"/>
          <w:sz w:val="18"/>
          <w:szCs w:val="18"/>
        </w:rPr>
        <w:t>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w:t>
      </w:r>
      <w:r>
        <w:rPr>
          <w:rFonts w:hint="eastAsia" w:ascii="宋体" w:hAnsi="宋体" w:cs="宋体"/>
          <w:kern w:val="0"/>
          <w:sz w:val="18"/>
          <w:szCs w:val="18"/>
          <w:lang w:eastAsia="zh-CN"/>
        </w:rPr>
        <w:t>，</w:t>
      </w:r>
      <w:r>
        <w:rPr>
          <w:rFonts w:hint="eastAsia" w:ascii="宋体" w:hAnsi="宋体" w:cs="宋体"/>
          <w:kern w:val="0"/>
          <w:sz w:val="18"/>
          <w:szCs w:val="18"/>
        </w:rPr>
        <w:t>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w:t>
      </w:r>
      <w:r>
        <w:rPr>
          <w:rFonts w:hint="default"/>
          <w:sz w:val="18"/>
          <w:szCs w:val="18"/>
          <w:lang w:val="en-US"/>
        </w:rPr>
        <w:t>以及</w:t>
      </w:r>
      <w:r>
        <w:rPr>
          <w:rFonts w:hint="eastAsia"/>
          <w:sz w:val="18"/>
          <w:szCs w:val="18"/>
        </w:rPr>
        <w:t>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w:t>
      </w:r>
      <w:r>
        <w:rPr>
          <w:rFonts w:hint="eastAsia"/>
          <w:sz w:val="18"/>
          <w:szCs w:val="18"/>
          <w:lang w:val="en-US" w:eastAsia="zh-CN"/>
        </w:rPr>
        <w:t>申请</w:t>
      </w:r>
      <w:r>
        <w:rPr>
          <w:rFonts w:hint="eastAsia"/>
          <w:sz w:val="18"/>
          <w:szCs w:val="18"/>
        </w:rPr>
        <w:t>份额合计超过</w:t>
      </w:r>
      <w:r>
        <w:rPr>
          <w:rFonts w:hint="eastAsia"/>
          <w:sz w:val="18"/>
          <w:szCs w:val="18"/>
          <w:lang w:val="en-US" w:eastAsia="zh-CN"/>
        </w:rPr>
        <w:t>前一日终</w:t>
      </w:r>
      <w:r>
        <w:rPr>
          <w:rFonts w:hint="eastAsia"/>
          <w:sz w:val="18"/>
          <w:szCs w:val="18"/>
        </w:rPr>
        <w:t>理财产品总份额的</w:t>
      </w:r>
      <w:r>
        <w:rPr>
          <w:rFonts w:hint="eastAsia"/>
          <w:sz w:val="18"/>
          <w:szCs w:val="18"/>
          <w:lang w:val="en-US" w:eastAsia="zh-CN"/>
        </w:rPr>
        <w:t>1</w:t>
      </w:r>
      <w:r>
        <w:rPr>
          <w:rFonts w:hint="eastAsia"/>
          <w:sz w:val="18"/>
          <w:szCs w:val="18"/>
        </w:rPr>
        <w:t>0%，则发生巨额赎回事件，温州银行有权拒绝接受超过</w:t>
      </w:r>
      <w:r>
        <w:rPr>
          <w:rFonts w:hint="eastAsia"/>
          <w:sz w:val="18"/>
          <w:szCs w:val="18"/>
          <w:lang w:val="en-US" w:eastAsia="zh-CN"/>
        </w:rPr>
        <w:t>1</w:t>
      </w:r>
      <w:r>
        <w:rPr>
          <w:rFonts w:hint="eastAsia"/>
          <w:sz w:val="18"/>
          <w:szCs w:val="18"/>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w:t>
      </w:r>
      <w:r>
        <w:rPr>
          <w:rFonts w:hint="eastAsia" w:ascii="宋体" w:hAnsi="宋体"/>
          <w:sz w:val="18"/>
          <w:szCs w:val="18"/>
          <w:lang w:eastAsia="zh-CN"/>
        </w:rPr>
        <w:t>证券市场造成</w:t>
      </w:r>
      <w:r>
        <w:rPr>
          <w:rFonts w:ascii="宋体" w:hAnsi="宋体"/>
          <w:sz w:val="18"/>
          <w:szCs w:val="18"/>
        </w:rPr>
        <w:t>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lang w:eastAsia="zh-CN"/>
        </w:rPr>
        <w:t>6、延期风险</w:t>
      </w:r>
      <w:r>
        <w:rPr>
          <w:rFonts w:hint="eastAsia" w:ascii="宋体" w:hAnsi="宋体"/>
          <w:sz w:val="18"/>
          <w:szCs w:val="18"/>
        </w:rPr>
        <w:t>：如因理财计划所投资的标的资产因信用风险、市场风险等原因造成理财计划不能按时兑付，理财期限将相应延长。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1"/>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1"/>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w:t>
      </w:r>
      <w:r>
        <w:rPr>
          <w:rFonts w:hint="eastAsia"/>
          <w:sz w:val="18"/>
          <w:szCs w:val="18"/>
          <w:lang w:val="en-US" w:eastAsia="zh-CN"/>
        </w:rPr>
        <w:t>个工作</w:t>
      </w:r>
      <w:r>
        <w:rPr>
          <w:rFonts w:hint="eastAsia"/>
          <w:sz w:val="18"/>
          <w:szCs w:val="18"/>
        </w:rPr>
        <w:t>日内，披露开放式公募理财产品在开放周期清算日的份额净值、份额累计净值、认购（申购）价格和赎回价格。</w:t>
      </w:r>
    </w:p>
    <w:p>
      <w:pPr>
        <w:numPr>
          <w:ilvl w:val="0"/>
          <w:numId w:val="4"/>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5"/>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5"/>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5"/>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5"/>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color w:val="000000"/>
          <w:sz w:val="18"/>
          <w:szCs w:val="18"/>
        </w:rPr>
        <w:t>（3）《温州银行“金鹿理财-温盈”19014号开放式净值型银行理财计划风险揭示书》、《温州银行“金鹿理财”银行理财计划合约》、《温州银行“金鹿理财-温盈”19014号开放式净值型（第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rPr>
      </w:pPr>
    </w:p>
    <w:p>
      <w:pPr>
        <w:spacing w:before="312" w:beforeLines="100" w:line="281" w:lineRule="auto"/>
        <w:rPr>
          <w:rFonts w:ascii="宋体" w:hAnsi="宋体"/>
          <w:szCs w:val="21"/>
        </w:rPr>
      </w:pPr>
      <w:r>
        <w:rPr>
          <w:rFonts w:hint="eastAsia" w:ascii="宋体" w:hAnsi="宋体"/>
          <w:szCs w:val="21"/>
        </w:rPr>
        <w:t xml:space="preserve">         投资者签章：                                 日期：</w:t>
      </w:r>
    </w:p>
    <w:p>
      <w:pPr>
        <w:spacing w:line="372" w:lineRule="auto"/>
        <w:rPr>
          <w:rFonts w:ascii="黑体" w:eastAsia="黑体"/>
          <w:sz w:val="30"/>
          <w:szCs w:val="30"/>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03829B1D"/>
    <w:multiLevelType w:val="singleLevel"/>
    <w:tmpl w:val="03829B1D"/>
    <w:lvl w:ilvl="0" w:tentative="0">
      <w:start w:val="4"/>
      <w:numFmt w:val="decimal"/>
      <w:suff w:val="nothing"/>
      <w:lvlText w:val="%1、"/>
      <w:lvlJc w:val="left"/>
    </w:lvl>
  </w:abstractNum>
  <w:abstractNum w:abstractNumId="3">
    <w:nsid w:val="0DCAC7AF"/>
    <w:multiLevelType w:val="singleLevel"/>
    <w:tmpl w:val="0DCAC7AF"/>
    <w:lvl w:ilvl="0" w:tentative="0">
      <w:start w:val="1"/>
      <w:numFmt w:val="decimal"/>
      <w:suff w:val="nothing"/>
      <w:lvlText w:val="%1）"/>
      <w:lvlJc w:val="left"/>
    </w:lvl>
  </w:abstractNum>
  <w:abstractNum w:abstractNumId="4">
    <w:nsid w:val="63C75758"/>
    <w:multiLevelType w:val="singleLevel"/>
    <w:tmpl w:val="63C75758"/>
    <w:lvl w:ilvl="0" w:tentative="0">
      <w:start w:val="11"/>
      <w:numFmt w:val="decimal"/>
      <w:suff w:val="nothing"/>
      <w:lvlText w:val="（%1）"/>
      <w:lvlJc w:val="left"/>
    </w:lvl>
  </w:abstractNum>
  <w:num w:numId="1">
    <w:abstractNumId w:val="2"/>
  </w:num>
  <w:num w:numId="2">
    <w:abstractNumId w:val="4"/>
  </w:num>
  <w:num w:numId="3">
    <w:abstractNumId w:val="3"/>
  </w:num>
  <w:num w:numId="4">
    <w:abstractNumId w:val="0"/>
  </w:num>
  <w:num w:numId="5">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oNotDisplayPageBoundarie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9mjbGNtp6EwloTQG0DXT6cdJxNE=" w:salt="uqsskFeNR6YFKI8+sjkT+A=="/>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80D74"/>
    <w:rsid w:val="000914E7"/>
    <w:rsid w:val="000A000E"/>
    <w:rsid w:val="000A6768"/>
    <w:rsid w:val="000A76AD"/>
    <w:rsid w:val="000B6643"/>
    <w:rsid w:val="000C4E56"/>
    <w:rsid w:val="000E4DFB"/>
    <w:rsid w:val="001174B1"/>
    <w:rsid w:val="001327C2"/>
    <w:rsid w:val="001357FB"/>
    <w:rsid w:val="001513E8"/>
    <w:rsid w:val="00172A27"/>
    <w:rsid w:val="00174C1E"/>
    <w:rsid w:val="00175BC0"/>
    <w:rsid w:val="001A4FD5"/>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08E"/>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5727"/>
    <w:rsid w:val="004D78AD"/>
    <w:rsid w:val="004F56C1"/>
    <w:rsid w:val="0050183B"/>
    <w:rsid w:val="00514DB5"/>
    <w:rsid w:val="005236A4"/>
    <w:rsid w:val="00526355"/>
    <w:rsid w:val="00541381"/>
    <w:rsid w:val="00543E6B"/>
    <w:rsid w:val="005447D7"/>
    <w:rsid w:val="0054786A"/>
    <w:rsid w:val="00565D6D"/>
    <w:rsid w:val="00595828"/>
    <w:rsid w:val="005D00A7"/>
    <w:rsid w:val="005F0ADF"/>
    <w:rsid w:val="005F5EC0"/>
    <w:rsid w:val="00606B12"/>
    <w:rsid w:val="00635890"/>
    <w:rsid w:val="006371D5"/>
    <w:rsid w:val="00645D61"/>
    <w:rsid w:val="00670ACF"/>
    <w:rsid w:val="00680B55"/>
    <w:rsid w:val="006871D5"/>
    <w:rsid w:val="006940BB"/>
    <w:rsid w:val="006A44DB"/>
    <w:rsid w:val="006A4DCA"/>
    <w:rsid w:val="006C2646"/>
    <w:rsid w:val="006E0989"/>
    <w:rsid w:val="006E7B4A"/>
    <w:rsid w:val="0071552D"/>
    <w:rsid w:val="00716CFC"/>
    <w:rsid w:val="00720A64"/>
    <w:rsid w:val="0072441B"/>
    <w:rsid w:val="007418E8"/>
    <w:rsid w:val="007420B8"/>
    <w:rsid w:val="00751573"/>
    <w:rsid w:val="00762431"/>
    <w:rsid w:val="00781E33"/>
    <w:rsid w:val="007946C3"/>
    <w:rsid w:val="007A0DD0"/>
    <w:rsid w:val="007A2668"/>
    <w:rsid w:val="007B319B"/>
    <w:rsid w:val="007B43C7"/>
    <w:rsid w:val="007B4F0A"/>
    <w:rsid w:val="007D5309"/>
    <w:rsid w:val="007D6AB9"/>
    <w:rsid w:val="007D74E0"/>
    <w:rsid w:val="007E5A98"/>
    <w:rsid w:val="007E78B8"/>
    <w:rsid w:val="0080322B"/>
    <w:rsid w:val="0083490C"/>
    <w:rsid w:val="008507F2"/>
    <w:rsid w:val="00853209"/>
    <w:rsid w:val="008538DA"/>
    <w:rsid w:val="008603CA"/>
    <w:rsid w:val="00864A10"/>
    <w:rsid w:val="00875641"/>
    <w:rsid w:val="00883377"/>
    <w:rsid w:val="00883BDE"/>
    <w:rsid w:val="00884B07"/>
    <w:rsid w:val="008A0854"/>
    <w:rsid w:val="008A277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44DF1"/>
    <w:rsid w:val="00A63935"/>
    <w:rsid w:val="00A7512B"/>
    <w:rsid w:val="00A75676"/>
    <w:rsid w:val="00A85414"/>
    <w:rsid w:val="00A94352"/>
    <w:rsid w:val="00A96B10"/>
    <w:rsid w:val="00AA0BCA"/>
    <w:rsid w:val="00AA235B"/>
    <w:rsid w:val="00AA798B"/>
    <w:rsid w:val="00AB07C5"/>
    <w:rsid w:val="00AB1240"/>
    <w:rsid w:val="00AB1372"/>
    <w:rsid w:val="00AB4C88"/>
    <w:rsid w:val="00AB5E02"/>
    <w:rsid w:val="00AC0326"/>
    <w:rsid w:val="00AC4F2E"/>
    <w:rsid w:val="00AE07D8"/>
    <w:rsid w:val="00AF3269"/>
    <w:rsid w:val="00B13AE6"/>
    <w:rsid w:val="00B1785B"/>
    <w:rsid w:val="00B21C5E"/>
    <w:rsid w:val="00B72700"/>
    <w:rsid w:val="00B9709A"/>
    <w:rsid w:val="00BB746A"/>
    <w:rsid w:val="00BF2243"/>
    <w:rsid w:val="00BF4706"/>
    <w:rsid w:val="00C027A1"/>
    <w:rsid w:val="00C0532A"/>
    <w:rsid w:val="00C059F8"/>
    <w:rsid w:val="00C242A5"/>
    <w:rsid w:val="00C57CDF"/>
    <w:rsid w:val="00C80707"/>
    <w:rsid w:val="00C84D81"/>
    <w:rsid w:val="00C97136"/>
    <w:rsid w:val="00CA13A5"/>
    <w:rsid w:val="00CC2C76"/>
    <w:rsid w:val="00CC765E"/>
    <w:rsid w:val="00CC7760"/>
    <w:rsid w:val="00CE5EBC"/>
    <w:rsid w:val="00D356D1"/>
    <w:rsid w:val="00D36208"/>
    <w:rsid w:val="00D41F07"/>
    <w:rsid w:val="00D512E8"/>
    <w:rsid w:val="00D55DFB"/>
    <w:rsid w:val="00D57AFE"/>
    <w:rsid w:val="00D6260D"/>
    <w:rsid w:val="00D635B2"/>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0FE457F"/>
    <w:rsid w:val="05692ECA"/>
    <w:rsid w:val="06AF5062"/>
    <w:rsid w:val="07B535DA"/>
    <w:rsid w:val="07EC55A4"/>
    <w:rsid w:val="08294507"/>
    <w:rsid w:val="0E697CA7"/>
    <w:rsid w:val="0EAA68C9"/>
    <w:rsid w:val="0F1A3EC9"/>
    <w:rsid w:val="0F3A26CB"/>
    <w:rsid w:val="10D46D68"/>
    <w:rsid w:val="110A015B"/>
    <w:rsid w:val="11AD367A"/>
    <w:rsid w:val="11FC6491"/>
    <w:rsid w:val="12AF54F8"/>
    <w:rsid w:val="12C37B94"/>
    <w:rsid w:val="12C50DEC"/>
    <w:rsid w:val="15217A25"/>
    <w:rsid w:val="15C41643"/>
    <w:rsid w:val="15FF5FA5"/>
    <w:rsid w:val="17277EF5"/>
    <w:rsid w:val="17974DC1"/>
    <w:rsid w:val="17D47E76"/>
    <w:rsid w:val="17EF05B6"/>
    <w:rsid w:val="19BC0843"/>
    <w:rsid w:val="1A0C55B0"/>
    <w:rsid w:val="1B042A21"/>
    <w:rsid w:val="1B791582"/>
    <w:rsid w:val="1B8D49E4"/>
    <w:rsid w:val="1C813061"/>
    <w:rsid w:val="1D5D13BA"/>
    <w:rsid w:val="1D7D329E"/>
    <w:rsid w:val="1E9802D8"/>
    <w:rsid w:val="1F992244"/>
    <w:rsid w:val="1FF86756"/>
    <w:rsid w:val="21716EFD"/>
    <w:rsid w:val="228F020A"/>
    <w:rsid w:val="243D7238"/>
    <w:rsid w:val="25385D7F"/>
    <w:rsid w:val="25D455A1"/>
    <w:rsid w:val="284D2E1D"/>
    <w:rsid w:val="2F9C0B2A"/>
    <w:rsid w:val="30633262"/>
    <w:rsid w:val="306F7311"/>
    <w:rsid w:val="30AB0CE7"/>
    <w:rsid w:val="31253F01"/>
    <w:rsid w:val="33157C11"/>
    <w:rsid w:val="34B42407"/>
    <w:rsid w:val="35EA1207"/>
    <w:rsid w:val="36E42715"/>
    <w:rsid w:val="382F302B"/>
    <w:rsid w:val="38747519"/>
    <w:rsid w:val="388E3C7C"/>
    <w:rsid w:val="38E45900"/>
    <w:rsid w:val="39C8686F"/>
    <w:rsid w:val="3A4851EE"/>
    <w:rsid w:val="3B090C09"/>
    <w:rsid w:val="3BE35F9B"/>
    <w:rsid w:val="3F063D4E"/>
    <w:rsid w:val="3FC979F3"/>
    <w:rsid w:val="40076C80"/>
    <w:rsid w:val="4026664B"/>
    <w:rsid w:val="42526821"/>
    <w:rsid w:val="4275406E"/>
    <w:rsid w:val="42A87CFF"/>
    <w:rsid w:val="450618B8"/>
    <w:rsid w:val="47F32BE2"/>
    <w:rsid w:val="497C717E"/>
    <w:rsid w:val="49815F2A"/>
    <w:rsid w:val="49C633C6"/>
    <w:rsid w:val="4A2E173D"/>
    <w:rsid w:val="4ABC78E8"/>
    <w:rsid w:val="4C8807EB"/>
    <w:rsid w:val="4ED34292"/>
    <w:rsid w:val="4FC865FE"/>
    <w:rsid w:val="51FA7F99"/>
    <w:rsid w:val="524916E3"/>
    <w:rsid w:val="52544188"/>
    <w:rsid w:val="55312E83"/>
    <w:rsid w:val="55CE1987"/>
    <w:rsid w:val="55EF3F6F"/>
    <w:rsid w:val="576363EF"/>
    <w:rsid w:val="58780E48"/>
    <w:rsid w:val="58E62499"/>
    <w:rsid w:val="59647D3E"/>
    <w:rsid w:val="5A250F91"/>
    <w:rsid w:val="5CC812FA"/>
    <w:rsid w:val="5CCC65F5"/>
    <w:rsid w:val="5E821239"/>
    <w:rsid w:val="5F650D3C"/>
    <w:rsid w:val="61AE7F1D"/>
    <w:rsid w:val="637E1589"/>
    <w:rsid w:val="658E5B8D"/>
    <w:rsid w:val="686A13AA"/>
    <w:rsid w:val="6D657193"/>
    <w:rsid w:val="6F0A3BD3"/>
    <w:rsid w:val="72B3716D"/>
    <w:rsid w:val="73E45411"/>
    <w:rsid w:val="74B84FF6"/>
    <w:rsid w:val="75F7452C"/>
    <w:rsid w:val="769A561B"/>
    <w:rsid w:val="77D232A2"/>
    <w:rsid w:val="78115854"/>
    <w:rsid w:val="78BB101F"/>
    <w:rsid w:val="7AF009C2"/>
    <w:rsid w:val="7BF13C4F"/>
    <w:rsid w:val="7C69082B"/>
    <w:rsid w:val="7DDE5540"/>
    <w:rsid w:val="7DE500BC"/>
    <w:rsid w:val="7E1750DA"/>
    <w:rsid w:val="7F9D7069"/>
    <w:rsid w:val="8FFA5ACE"/>
    <w:rsid w:val="F6CDD1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unhideWhenUsed/>
    <w:qFormat/>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unhideWhenUsed/>
    <w:qFormat/>
    <w:uiPriority w:val="99"/>
    <w:rPr>
      <w:b/>
      <w:bCs/>
    </w:rPr>
  </w:style>
  <w:style w:type="character" w:styleId="10">
    <w:name w:val="annotation reference"/>
    <w:unhideWhenUsed/>
    <w:qFormat/>
    <w:uiPriority w:val="99"/>
    <w:rPr>
      <w:sz w:val="21"/>
      <w:szCs w:val="21"/>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4">
    <w:name w:val="批注框文本 字符"/>
    <w:link w:val="3"/>
    <w:semiHidden/>
    <w:qFormat/>
    <w:uiPriority w:val="99"/>
    <w:rPr>
      <w:rFonts w:ascii="Times New Roman" w:hAnsi="Times New Roman"/>
      <w:kern w:val="2"/>
      <w:sz w:val="18"/>
      <w:szCs w:val="18"/>
    </w:rPr>
  </w:style>
  <w:style w:type="character" w:customStyle="1" w:styleId="15">
    <w:name w:val="批注文字 字符"/>
    <w:link w:val="2"/>
    <w:semiHidden/>
    <w:qFormat/>
    <w:uiPriority w:val="99"/>
    <w:rPr>
      <w:rFonts w:ascii="Times New Roman" w:hAnsi="Times New Roman"/>
      <w:kern w:val="2"/>
      <w:sz w:val="21"/>
    </w:rPr>
  </w:style>
  <w:style w:type="character" w:customStyle="1" w:styleId="16">
    <w:name w:val="页眉 字符"/>
    <w:link w:val="5"/>
    <w:semiHidden/>
    <w:qFormat/>
    <w:uiPriority w:val="99"/>
    <w:rPr>
      <w:sz w:val="18"/>
      <w:szCs w:val="18"/>
    </w:rPr>
  </w:style>
  <w:style w:type="character" w:customStyle="1" w:styleId="17">
    <w:name w:val="页脚 字符"/>
    <w:link w:val="4"/>
    <w:qFormat/>
    <w:uiPriority w:val="99"/>
    <w:rPr>
      <w:sz w:val="18"/>
      <w:szCs w:val="18"/>
    </w:rPr>
  </w:style>
  <w:style w:type="character" w:customStyle="1" w:styleId="18">
    <w:name w:val="批注主题 字符"/>
    <w:link w:val="7"/>
    <w:semiHidden/>
    <w:qFormat/>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12</Pages>
  <Words>17706</Words>
  <Characters>18005</Characters>
  <Lines>133</Lines>
  <Paragraphs>37</Paragraphs>
  <TotalTime>1</TotalTime>
  <ScaleCrop>false</ScaleCrop>
  <LinksUpToDate>false</LinksUpToDate>
  <CharactersWithSpaces>18302</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2022-01-17T17:29:00Z</dcterms:created>
  <dc:creator>陈浩01</dc:creator>
  <cp:lastModifiedBy>应心茹</cp:lastModifiedBy>
  <cp:lastPrinted>2016-09-02T23:01:00Z</cp:lastPrinted>
  <dcterms:modified xsi:type="dcterms:W3CDTF">2026-06-18T07:07:22Z</dcterms:modified>
  <dc:title>温州银行“金鹿理财-温盈”1号银行理财计划风险揭示书</dc:title>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D79C527963CA7DEC4491D464EEA356A9_42</vt:lpwstr>
  </property>
  <property fmtid="{D5CDD505-2E9C-101B-9397-08002B2CF9AE}" pid="4" name="KSOTemplateDocerSaveRecord">
    <vt:lpwstr>eyJoZGlkIjoiOWFlMGRmNzM2NmMzYTA5NGU1NWRhNDhiYzdmNjdlMDYiLCJ1c2VySWQiOiIzOTQzMjAxMTgifQ==</vt:lpwstr>
  </property>
</Properties>
</file>