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w:t>
      </w:r>
      <w:bookmarkStart w:id="0" w:name="_GoBack"/>
      <w:bookmarkEnd w:id="0"/>
      <w:r>
        <w:rPr>
          <w:rFonts w:hint="eastAsia" w:ascii="宋体" w:hAnsi="宋体"/>
          <w:b/>
          <w:szCs w:val="21"/>
        </w:rPr>
        <w:t>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20053号开放式净值型银行理财计划产品说明书》、《温州银行“金鹿理财-温盈”20053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2020年5月20日</w:t>
            </w:r>
            <w:r>
              <w:rPr>
                <w:rFonts w:hint="eastAsia"/>
                <w:sz w:val="18"/>
                <w:szCs w:val="18"/>
                <w:u w:val="single"/>
              </w:rPr>
              <w:t>至</w:t>
            </w:r>
            <w:r>
              <w:rPr>
                <w:rFonts w:hint="eastAsia"/>
                <w:color w:val="000000"/>
                <w:sz w:val="18"/>
                <w:szCs w:val="18"/>
                <w:u w:val="single"/>
                <w:lang w:val="en-US" w:eastAsia="zh-CN"/>
              </w:rPr>
              <w:t>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：本理财计划成立日为2020年5月27日，从成立日起，每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20053号开放式净值型银行理财计划风险揭示书》、《温州银行“金鹿理财”银行理财计划合约》、《温州银行“金鹿理财-温盈”20053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Qgh/eMdcZfI9uQvvzaW+i6tJpU=" w:salt="im2G/uyxutVsGZhFa8gmO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A5C5B06"/>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2026-06-26T03:38:30Z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