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20004号开放式净值型银行理财计划产品说明书》、《温州银行“金鹿理财-温盈”20004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2020年1月15日</w:t>
            </w:r>
            <w:r>
              <w:rPr>
                <w:rFonts w:hint="eastAsia"/>
                <w:sz w:val="18"/>
                <w:szCs w:val="18"/>
                <w:u w:val="single"/>
              </w:rPr>
              <w:t>至</w:t>
            </w:r>
            <w:r>
              <w:rPr>
                <w:rFonts w:hint="eastAsia"/>
                <w:color w:val="000000"/>
                <w:sz w:val="18"/>
                <w:szCs w:val="18"/>
                <w:u w:val="single"/>
                <w:lang w:val="en-US" w:eastAsia="zh-CN"/>
              </w:rPr>
              <w:t>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189</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：本理财计划成立日为2020年1月22日，从成立日起，每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20004号开放式净值型银行理财计划风险揭示书》、《温州银行“金鹿理财”银行理财计划合约》、《温州银行“金鹿理财-温盈”20004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WDFrJKjfOJH3ddp8sqFpnTsc=" w:salt="jgcmip2P80DvAC/aex2vh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0F487B"/>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2026-07-10T07:46:35Z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