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w:t>
      </w:r>
      <w:bookmarkStart w:id="0" w:name="_GoBack"/>
      <w:bookmarkEnd w:id="0"/>
      <w:r>
        <w:rPr>
          <w:rFonts w:hint="eastAsia" w:ascii="宋体" w:hAnsi="宋体"/>
          <w:szCs w:val="21"/>
        </w:rPr>
        <w:t>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20016号开放式净值型银行理财计划产品说明书》、《温州银行“金鹿理财-温盈”20016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20016号开放式净值型银行理财计划风险揭示书》、《温州银行“金鹿理财”银行理财计划合约》、《温州银行“金鹿理财-温盈”20016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SthiXiA4HkU0+iHfEIUvhcf+jc=" w:salt="YQewSVxaPLenDdfmuI38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7A05EC2"/>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5</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2026-08-07T08:01:21Z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