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w:t>
      </w:r>
      <w:bookmarkStart w:id="0" w:name="_GoBack"/>
      <w:bookmarkEnd w:id="0"/>
      <w:r>
        <w:rPr>
          <w:rFonts w:hint="eastAsia"/>
          <w:szCs w:val="21"/>
        </w:rPr>
        <w:t>（申购）的温州银行“金鹿理财</w:t>
      </w:r>
      <w:r>
        <w:rPr>
          <w:rFonts w:hint="eastAsia" w:ascii="宋体" w:hAnsi="宋体"/>
          <w:szCs w:val="21"/>
        </w:rPr>
        <w:t>-</w:t>
      </w:r>
      <w:r>
        <w:rPr>
          <w:rFonts w:hint="eastAsia"/>
          <w:szCs w:val="21"/>
        </w:rPr>
        <w:t>温盈”</w:t>
      </w:r>
      <w:r>
        <w:rPr>
          <w:rFonts w:hint="eastAsia"/>
          <w:color w:val="000000"/>
          <w:szCs w:val="21"/>
          <w:u w:val="single"/>
        </w:rPr>
        <w:t>19011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19011号开放式净值型银行理财计划产品说明书》、《温州银行“金鹿理财-温盈”19011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2019年7月18日</w:t>
            </w:r>
            <w:r>
              <w:rPr>
                <w:rFonts w:hint="eastAsia"/>
                <w:sz w:val="18"/>
                <w:szCs w:val="18"/>
                <w:u w:val="single"/>
              </w:rPr>
              <w:t>至</w:t>
            </w:r>
            <w:r>
              <w:rPr>
                <w:rFonts w:hint="eastAsia"/>
                <w:color w:val="000000"/>
                <w:sz w:val="18"/>
                <w:szCs w:val="18"/>
                <w:u w:val="single"/>
                <w:lang w:val="en-US" w:eastAsia="zh-CN"/>
              </w:rPr>
              <w:t>2019年7月23日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365</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：本理财计划成立日为2019年7月24日，从成立日起，每</w:t>
      </w:r>
      <w:r>
        <w:rPr>
          <w:rFonts w:ascii="宋体" w:hAnsi="宋体"/>
          <w:sz w:val="18"/>
        </w:rPr>
        <w:t>【</w:t>
      </w:r>
      <w:r>
        <w:rPr>
          <w:rFonts w:hint="eastAsia" w:ascii="宋体" w:hAnsi="宋体"/>
          <w:color w:val="000000"/>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19011号开放式净值型银行理财计划风险揭示书》、《温州银行“金鹿理财”银行理财计划合约》、《温州银行“金鹿理财-温盈”19011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kheNG9TXmZvuDWrZ6n5SW7Othk=" w:salt="pf+Sl5hHgGAmbza0dXClt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79C010C"/>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2026-08-21T06:55:50Z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