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19025</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19025</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“金鹿理财-温盈”19025号开放式净值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19025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19025号开放式净值型银行理财计划产品说明书》、《温州银行“金鹿理财-温盈”19025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19025</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温盈”19025号开放式净值型银行理财计划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19025</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YJ1025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C1092219000451</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2019年9月26日</w:t>
            </w:r>
            <w:r>
              <w:rPr>
                <w:rFonts w:hint="eastAsia"/>
                <w:sz w:val="18"/>
                <w:szCs w:val="18"/>
                <w:u w:val="single"/>
              </w:rPr>
              <w:t>至</w:t>
            </w:r>
            <w:r>
              <w:rPr>
                <w:rFonts w:hint="eastAsia"/>
                <w:color w:val="000000"/>
                <w:sz w:val="18"/>
                <w:szCs w:val="18"/>
                <w:u w:val="single"/>
                <w:lang w:val="en-US" w:eastAsia="zh-CN"/>
              </w:rPr>
              <w:t>2019年10月8日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4.65%（年化）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本理财计划成立日为2019年10月9日。温州银行有权根据实际募集情况选择产品提前成立，若温州银行采取以上措施，温州银行将就产品相应要素的调整事宜于提前成立日前的一个工作日在温州银行网站予以公告。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280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color w:val="000000"/>
                <w:sz w:val="18"/>
              </w:rPr>
              <w:t>280</w:t>
            </w:r>
            <w:r>
              <w:rPr>
                <w:rFonts w:ascii="宋体" w:hAnsi="宋体"/>
                <w:sz w:val="18"/>
              </w:rPr>
              <w:t>】天。投资周期终止日如遇非</w:t>
            </w:r>
            <w:r>
              <w:rPr>
                <w:rFonts w:hint="eastAsia" w:ascii="宋体" w:hAnsi="宋体"/>
                <w:sz w:val="18"/>
                <w:lang w:val="en-US" w:eastAsia="zh-CN"/>
              </w:rPr>
              <w:t>交易</w:t>
            </w:r>
            <w:r>
              <w:rPr>
                <w:rFonts w:ascii="宋体" w:hAnsi="宋体"/>
                <w:sz w:val="18"/>
              </w:rPr>
              <w:t>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《温州银行“金鹿理财-温盈”19025号开放式净值型（第i期）银行理财计划开放认购（申购）申请书》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单一投资者持有份额最高不超2000万</w:t>
            </w:r>
            <w:r>
              <w:rPr>
                <w:rFonts w:hint="eastAsia" w:ascii="宋体" w:hAnsi="宋体"/>
                <w:sz w:val="18"/>
                <w:lang w:eastAsia="zh-CN"/>
              </w:rPr>
              <w:t>，</w:t>
            </w:r>
            <w:r>
              <w:rPr>
                <w:rFonts w:hint="eastAsia" w:ascii="宋体" w:hAnsi="宋体"/>
                <w:sz w:val="18"/>
                <w:lang w:val="en-US" w:eastAsia="zh-CN"/>
              </w:rPr>
              <w:t>且</w:t>
            </w:r>
            <w:r>
              <w:rPr>
                <w:rFonts w:hint="eastAsia" w:ascii="宋体" w:hAnsi="宋体"/>
                <w:sz w:val="18"/>
              </w:rPr>
              <w:t>不得超过总份额的50%，非因投资管理人主观因素导致突破前款规定比例限制的，管理人有权不再接受该投资者对该理财产品的申购申请，投资者持有份额的计算以管理人登记为准。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w:t>
            </w:r>
            <w:r>
              <w:rPr>
                <w:rFonts w:hint="eastAsia" w:ascii="宋体" w:hAnsi="宋体"/>
                <w:kern w:val="0"/>
                <w:sz w:val="18"/>
                <w:szCs w:val="18"/>
                <w:lang w:eastAsia="zh-CN"/>
              </w:rPr>
              <w:t>、</w:t>
            </w:r>
            <w:r>
              <w:rPr>
                <w:rFonts w:hint="eastAsia"/>
                <w:sz w:val="18"/>
                <w:szCs w:val="18"/>
              </w:rPr>
              <w:t>税费</w:t>
            </w:r>
            <w:r>
              <w:rPr>
                <w:rFonts w:hint="eastAsia"/>
                <w:sz w:val="18"/>
                <w:szCs w:val="18"/>
                <w:lang w:val="en-US" w:eastAsia="zh-CN"/>
              </w:rPr>
              <w:t>及</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b/>
                <w:sz w:val="18"/>
                <w:szCs w:val="18"/>
              </w:rPr>
            </w:pPr>
            <w:r>
              <w:rPr>
                <w:rFonts w:hint="eastAsia" w:cs="Times New Roman"/>
                <w:b w:val="0"/>
                <w:bCs/>
                <w:sz w:val="18"/>
                <w:szCs w:val="18"/>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hint="eastAsia" w:cs="Times New Roman"/>
                <w:b/>
                <w:sz w:val="18"/>
                <w:szCs w:val="18"/>
              </w:rPr>
            </w:pPr>
            <w:r>
              <w:rPr>
                <w:rFonts w:hint="eastAsia"/>
                <w:sz w:val="18"/>
                <w:szCs w:val="18"/>
              </w:rPr>
              <w:t>指上海证券交易所</w:t>
            </w:r>
            <w:r>
              <w:rPr>
                <w:rFonts w:hint="eastAsia"/>
                <w:sz w:val="18"/>
                <w:szCs w:val="18"/>
                <w:lang w:eastAsia="zh-CN"/>
              </w:rPr>
              <w:t>、</w:t>
            </w:r>
            <w:r>
              <w:rPr>
                <w:rFonts w:hint="eastAsia"/>
                <w:sz w:val="18"/>
                <w:szCs w:val="18"/>
                <w:lang w:val="en-US" w:eastAsia="zh-CN"/>
              </w:rPr>
              <w:t>深圳证券交易所</w:t>
            </w:r>
            <w:r>
              <w:rPr>
                <w:rFonts w:hint="eastAsia"/>
                <w:sz w:val="18"/>
                <w:szCs w:val="18"/>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指除国家法定节假日和公休日外的其他日期。本理财产品说明书所述之日期如遇非工作日自动顺延至下一个工作日。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w:t>
            </w:r>
            <w:r>
              <w:rPr>
                <w:rFonts w:hint="eastAsia" w:cs="Times New Roman"/>
                <w:sz w:val="18"/>
                <w:szCs w:val="18"/>
                <w:lang w:val="en-US" w:eastAsia="zh-CN"/>
              </w:rPr>
              <w:t>资金</w:t>
            </w:r>
            <w:r>
              <w:rPr>
                <w:rFonts w:hint="eastAsia" w:cs="Times New Roman"/>
                <w:sz w:val="18"/>
                <w:szCs w:val="18"/>
              </w:rPr>
              <w:t>清算期，</w:t>
            </w:r>
            <w:r>
              <w:rPr>
                <w:rFonts w:hint="eastAsia" w:cs="Times New Roman"/>
                <w:sz w:val="18"/>
                <w:szCs w:val="18"/>
                <w:lang w:val="en-US" w:eastAsia="zh-CN"/>
              </w:rPr>
              <w:t>资金</w:t>
            </w:r>
            <w:r>
              <w:rPr>
                <w:rFonts w:hint="eastAsia" w:cs="Times New Roman"/>
                <w:sz w:val="18"/>
                <w:szCs w:val="18"/>
              </w:rPr>
              <w:t>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本理财产品估值日为每个</w:t>
      </w:r>
      <w:r>
        <w:rPr>
          <w:rFonts w:hint="eastAsia"/>
          <w:sz w:val="18"/>
          <w:szCs w:val="18"/>
          <w:lang w:val="en-US" w:eastAsia="zh-CN"/>
        </w:rPr>
        <w:t>自然</w:t>
      </w:r>
      <w:r>
        <w:rPr>
          <w:rFonts w:hint="eastAsia"/>
          <w:sz w:val="18"/>
          <w:szCs w:val="18"/>
        </w:rPr>
        <w:t>日，投资管理人和理财托管人核对估值结果，每个开放周期结束后2</w:t>
      </w:r>
      <w:r>
        <w:rPr>
          <w:rFonts w:hint="eastAsia"/>
          <w:sz w:val="18"/>
          <w:szCs w:val="18"/>
          <w:lang w:val="en-US" w:eastAsia="zh-CN"/>
        </w:rPr>
        <w:t>个工作</w:t>
      </w:r>
      <w:r>
        <w:rPr>
          <w:rFonts w:hint="eastAsia"/>
          <w:sz w:val="18"/>
          <w:szCs w:val="18"/>
        </w:rPr>
        <w:t xml:space="preserve">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《温州银行“金鹿理财-温盈”19025号开放式净值型（第i期）银行理财计划开放认购（申购）申请书》。投资运作周期到期时，该周期内的资金收益情况根据所投资资产组合的实际运作情况确定。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：本理财计划成立日为2019年10月9日，从成立日起，每</w:t>
      </w:r>
      <w:r>
        <w:rPr>
          <w:rFonts w:ascii="宋体" w:hAnsi="宋体"/>
          <w:sz w:val="18"/>
        </w:rPr>
        <w:t>【</w:t>
      </w:r>
      <w:r>
        <w:rPr>
          <w:rFonts w:hint="eastAsia" w:ascii="宋体" w:hAnsi="宋体"/>
          <w:color w:val="000000"/>
          <w:sz w:val="18"/>
        </w:rPr>
        <w:t>280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color w:val="000000"/>
          <w:sz w:val="18"/>
        </w:rPr>
        <w:t>280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w:t>
      </w:r>
      <w:r>
        <w:rPr>
          <w:rFonts w:hint="eastAsia"/>
          <w:sz w:val="18"/>
          <w:szCs w:val="18"/>
          <w:lang w:val="en-US" w:eastAsia="zh-CN"/>
        </w:rPr>
        <w:t>前一</w:t>
      </w:r>
      <w:r>
        <w:rPr>
          <w:rFonts w:hint="eastAsia"/>
          <w:sz w:val="18"/>
          <w:szCs w:val="18"/>
        </w:rPr>
        <w:t>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w:t>
      </w:r>
      <w:r>
        <w:rPr>
          <w:rFonts w:hint="eastAsia"/>
          <w:sz w:val="18"/>
          <w:szCs w:val="18"/>
          <w:lang w:val="en-US" w:eastAsia="zh-CN"/>
        </w:rPr>
        <w:t>前一</w:t>
      </w:r>
      <w:r>
        <w:rPr>
          <w:rFonts w:hint="eastAsia"/>
          <w:sz w:val="18"/>
          <w:szCs w:val="18"/>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w:t>
      </w:r>
      <w:r>
        <w:rPr>
          <w:rFonts w:hint="eastAsia" w:ascii="Calibri" w:hAnsi="Calibri" w:cs="Calibri"/>
          <w:sz w:val="18"/>
          <w:szCs w:val="18"/>
          <w:lang w:val="en-US" w:eastAsia="zh-CN"/>
        </w:rPr>
        <w:t>会</w:t>
      </w:r>
      <w:r>
        <w:rPr>
          <w:rFonts w:hint="eastAsia" w:ascii="Calibri" w:hAnsi="Calibri" w:cs="Calibri"/>
          <w:sz w:val="18"/>
          <w:szCs w:val="18"/>
        </w:rPr>
        <w:t>导致产品流动性风险的其他情形下，管理人可向连续持有少于7日的开放式理财产品投资者收取赎回费，并将上述赎回费全额计入理财产品财产。</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w:t>
      </w:r>
      <w:r>
        <w:rPr>
          <w:rFonts w:hint="eastAsia"/>
          <w:sz w:val="18"/>
          <w:szCs w:val="18"/>
          <w:lang w:val="en-US" w:eastAsia="zh-CN"/>
        </w:rPr>
        <w:t>额</w:t>
      </w:r>
      <w:r>
        <w:rPr>
          <w:rFonts w:hint="eastAsia"/>
          <w:sz w:val="18"/>
          <w:szCs w:val="18"/>
        </w:rPr>
        <w:t>＝100万元人民币÷1.0250＝975609.76份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理财计划采用“份额赎回”方式，赎回价格以赎回确认日前一自然日的理财计划份额净值为基准进行计算,计算公式如下：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r>
        <w:rPr>
          <w:rFonts w:hint="eastAsia"/>
          <w:sz w:val="18"/>
          <w:szCs w:val="18"/>
          <w:lang w:val="en-US" w:eastAsia="zh-CN"/>
        </w:rPr>
        <w:t>%</w:t>
      </w:r>
      <w:r>
        <w:rPr>
          <w:rFonts w:hint="eastAsia"/>
          <w:sz w:val="18"/>
          <w:szCs w:val="18"/>
        </w:rPr>
        <w:t>。</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本产品预计到期终止日为2029年10月9日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lang w:eastAsia="zh-CN"/>
        </w:rPr>
        <w:t>，</w:t>
      </w:r>
      <w:r>
        <w:rPr>
          <w:rFonts w:hint="eastAsia" w:ascii="宋体" w:hAnsi="宋体" w:cs="宋体"/>
          <w:kern w:val="0"/>
          <w:sz w:val="18"/>
          <w:szCs w:val="18"/>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w:t>
      </w:r>
      <w:r>
        <w:rPr>
          <w:rFonts w:hint="eastAsia"/>
          <w:sz w:val="18"/>
          <w:szCs w:val="18"/>
          <w:lang w:val="en-US" w:eastAsia="zh-CN"/>
        </w:rPr>
        <w:t>申请</w:t>
      </w:r>
      <w:r>
        <w:rPr>
          <w:rFonts w:hint="eastAsia"/>
          <w:sz w:val="18"/>
          <w:szCs w:val="18"/>
        </w:rPr>
        <w:t>份额合计超过</w:t>
      </w:r>
      <w:r>
        <w:rPr>
          <w:rFonts w:hint="eastAsia"/>
          <w:sz w:val="18"/>
          <w:szCs w:val="18"/>
          <w:lang w:val="en-US" w:eastAsia="zh-CN"/>
        </w:rPr>
        <w:t>前一日终</w:t>
      </w:r>
      <w:r>
        <w:rPr>
          <w:rFonts w:hint="eastAsia"/>
          <w:sz w:val="18"/>
          <w:szCs w:val="18"/>
        </w:rPr>
        <w:t>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lang w:eastAsia="zh-CN"/>
        </w:rPr>
        <w:t>证券市场造成</w:t>
      </w:r>
      <w:r>
        <w:rPr>
          <w:rFonts w:ascii="宋体" w:hAnsi="宋体"/>
          <w:sz w:val="18"/>
          <w:szCs w:val="18"/>
        </w:rPr>
        <w:t>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lang w:eastAsia="zh-CN"/>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w:t>
      </w:r>
      <w:r>
        <w:rPr>
          <w:rFonts w:hint="eastAsia"/>
          <w:sz w:val="18"/>
          <w:szCs w:val="18"/>
          <w:lang w:val="en-US" w:eastAsia="zh-CN"/>
        </w:rPr>
        <w:t>个工作</w:t>
      </w:r>
      <w:r>
        <w:rPr>
          <w:rFonts w:hint="eastAsia"/>
          <w:sz w:val="18"/>
          <w:szCs w:val="18"/>
        </w:rPr>
        <w:t>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19025号开放式净值型银行理财计划风险揭示书》、《温州银行“金鹿理财”银行理财计划合约》、《温州银行“金鹿理财-温盈”19025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wuLN851IYePceRr0sMZhlS748NI=" w:salt="X8wAMrEy/Fl7Uf6IMmJBt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5692ECA"/>
    <w:rsid w:val="06AF5062"/>
    <w:rsid w:val="07B535DA"/>
    <w:rsid w:val="07EC55A4"/>
    <w:rsid w:val="08294507"/>
    <w:rsid w:val="0E697CA7"/>
    <w:rsid w:val="0EAA68C9"/>
    <w:rsid w:val="0F1A3EC9"/>
    <w:rsid w:val="0F3A26CB"/>
    <w:rsid w:val="10D46D68"/>
    <w:rsid w:val="110A015B"/>
    <w:rsid w:val="11AD367A"/>
    <w:rsid w:val="11FC6491"/>
    <w:rsid w:val="12AF54F8"/>
    <w:rsid w:val="12C37B94"/>
    <w:rsid w:val="12C50DEC"/>
    <w:rsid w:val="15217A25"/>
    <w:rsid w:val="15C41643"/>
    <w:rsid w:val="15FF5FA5"/>
    <w:rsid w:val="17277EF5"/>
    <w:rsid w:val="17974DC1"/>
    <w:rsid w:val="17D47E76"/>
    <w:rsid w:val="17EF05B6"/>
    <w:rsid w:val="19BC0843"/>
    <w:rsid w:val="1A0C55B0"/>
    <w:rsid w:val="1B042A21"/>
    <w:rsid w:val="1B791582"/>
    <w:rsid w:val="1B8D49E4"/>
    <w:rsid w:val="1C813061"/>
    <w:rsid w:val="1D5D13BA"/>
    <w:rsid w:val="1D7D329E"/>
    <w:rsid w:val="1E9802D8"/>
    <w:rsid w:val="1F992244"/>
    <w:rsid w:val="1FF86756"/>
    <w:rsid w:val="21716EFD"/>
    <w:rsid w:val="228F020A"/>
    <w:rsid w:val="243D7238"/>
    <w:rsid w:val="25385D7F"/>
    <w:rsid w:val="25D455A1"/>
    <w:rsid w:val="284D2E1D"/>
    <w:rsid w:val="2F9C0B2A"/>
    <w:rsid w:val="30633262"/>
    <w:rsid w:val="306F7311"/>
    <w:rsid w:val="30AB0CE7"/>
    <w:rsid w:val="31253F01"/>
    <w:rsid w:val="33157C11"/>
    <w:rsid w:val="34B42407"/>
    <w:rsid w:val="35EA1207"/>
    <w:rsid w:val="36E42715"/>
    <w:rsid w:val="382F302B"/>
    <w:rsid w:val="38747519"/>
    <w:rsid w:val="388E3C7C"/>
    <w:rsid w:val="38E45900"/>
    <w:rsid w:val="39C8686F"/>
    <w:rsid w:val="3A4851EE"/>
    <w:rsid w:val="3B090C09"/>
    <w:rsid w:val="3BE35F9B"/>
    <w:rsid w:val="3F063D4E"/>
    <w:rsid w:val="3FC979F3"/>
    <w:rsid w:val="40076C80"/>
    <w:rsid w:val="4026664B"/>
    <w:rsid w:val="42526821"/>
    <w:rsid w:val="4275406E"/>
    <w:rsid w:val="42A87CFF"/>
    <w:rsid w:val="47741F2E"/>
    <w:rsid w:val="47F32BE2"/>
    <w:rsid w:val="497C717E"/>
    <w:rsid w:val="49815F2A"/>
    <w:rsid w:val="49C633C6"/>
    <w:rsid w:val="4A2E173D"/>
    <w:rsid w:val="4ABC78E8"/>
    <w:rsid w:val="4C8807EB"/>
    <w:rsid w:val="4ED34292"/>
    <w:rsid w:val="4FC865FE"/>
    <w:rsid w:val="51FA7F99"/>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2B3716D"/>
    <w:rsid w:val="73E45411"/>
    <w:rsid w:val="74B84FF6"/>
    <w:rsid w:val="75F7452C"/>
    <w:rsid w:val="769A561B"/>
    <w:rsid w:val="77D232A2"/>
    <w:rsid w:val="78115854"/>
    <w:rsid w:val="78BB101F"/>
    <w:rsid w:val="7AF009C2"/>
    <w:rsid w:val="7BF13C4F"/>
    <w:rsid w:val="7C69082B"/>
    <w:rsid w:val="7DDE5540"/>
    <w:rsid w:val="7DE500BC"/>
    <w:rsid w:val="7E1750DA"/>
    <w:rsid w:val="7F9D7069"/>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17706</Words>
  <Characters>18005</Characters>
  <Lines>133</Lines>
  <Paragraphs>37</Paragraphs>
  <TotalTime>2</TotalTime>
  <ScaleCrop>false</ScaleCrop>
  <LinksUpToDate>false</LinksUpToDate>
  <CharactersWithSpaces>18302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2026-08-21T06:58:32Z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eyJoZGlkIjoiOWFlMGRmNzM2NmMzYTA5NGU1NWRhNDhiYzdmNjdlMDYiLCJ1c2VySWQiOiIzOTQzMjAxMTgifQ==</vt:lpwstr>
  </property>
</Properties>
</file>