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20022号开放式净值型银行理财计划产品说明书》、《温州银行“金鹿理财-温盈”20022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2020年3月2日</w:t>
            </w:r>
            <w:r>
              <w:rPr>
                <w:rFonts w:hint="eastAsia"/>
                <w:sz w:val="18"/>
                <w:szCs w:val="18"/>
                <w:u w:val="single"/>
              </w:rPr>
              <w:t>至</w:t>
            </w:r>
            <w:r>
              <w:rPr>
                <w:rFonts w:hint="eastAsia"/>
                <w:color w:val="000000"/>
                <w:sz w:val="18"/>
                <w:szCs w:val="18"/>
                <w:u w:val="single"/>
                <w:lang w:val="en-US" w:eastAsia="zh-CN"/>
              </w:rPr>
              <w:t>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：本理财计划成立日为2020年3月9日，从成立日起，每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20022号开放式净值型银行理财计划风险揭示书》、《温州银行“金鹿理财”银行理财计划合约》、《温州银行“金鹿理财-温盈”20022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flK8C8lgJdXHjc23zzmnDsQ1xM=" w:salt="xysrtnuHUClx2pIkYs0m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565C73"/>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2026-08-21T07:01:36Z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