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26020</w:t>
      </w:r>
      <w:r>
        <w:rPr>
          <w:rFonts w:hint="eastAsia" w:ascii="黑体" w:eastAsia="黑体"/>
          <w:sz w:val="30"/>
          <w:szCs w:val="30"/>
        </w:rPr>
        <w:t>号（共同富裕特别款）</w:t>
      </w:r>
    </w:p>
    <w:p>
      <w:pPr>
        <w:spacing w:line="372" w:lineRule="auto"/>
        <w:jc w:val="center"/>
        <w:rPr>
          <w:rFonts w:ascii="宋体" w:hAnsi="宋体"/>
          <w:sz w:val="30"/>
          <w:szCs w:val="30"/>
        </w:rPr>
      </w:pP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26020</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118</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26020</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26020</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26020</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本产品适合于经温州银行评估为稳健型、平衡型、进取型、激进型的个人投资者。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26020</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26020</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JX2620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C1092226000049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118</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2026年8月25日</w:t>
            </w:r>
            <w:r>
              <w:rPr>
                <w:rFonts w:hint="eastAsia"/>
                <w:sz w:val="18"/>
                <w:u w:val="single"/>
              </w:rPr>
              <w:t>至</w:t>
            </w:r>
            <w:r>
              <w:rPr>
                <w:color w:val="000000"/>
                <w:sz w:val="18"/>
                <w:u w:val="single"/>
              </w:rPr>
              <w:t>2026年8月31日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2026年9月1日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2026年12月28日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2.10%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val="en-US" w:eastAsia="zh-CN"/>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2.10%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本产品预计到期终止日为2026年12月28日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8</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%。到期时扣除托管费、销售服务费、固定管理费及其他费用（如有）后，如产品净值为1.007</w:t>
      </w:r>
      <w:r>
        <w:rPr>
          <w:rFonts w:hint="eastAsia"/>
          <w:sz w:val="18"/>
          <w:szCs w:val="18"/>
          <w:lang w:val="en-US" w:eastAsia="zh-CN"/>
        </w:rPr>
        <w:t>3</w:t>
      </w:r>
      <w:r>
        <w:rPr>
          <w:rFonts w:hint="eastAsia"/>
          <w:sz w:val="18"/>
          <w:szCs w:val="18"/>
        </w:rPr>
        <w:t>，此时，(1.007</w:t>
      </w:r>
      <w:r>
        <w:rPr>
          <w:rFonts w:hint="eastAsia"/>
          <w:sz w:val="18"/>
          <w:szCs w:val="18"/>
          <w:lang w:val="en-US" w:eastAsia="zh-CN"/>
        </w:rPr>
        <w:t>3</w:t>
      </w:r>
      <w:r>
        <w:rPr>
          <w:rFonts w:hint="eastAsia"/>
          <w:sz w:val="18"/>
          <w:szCs w:val="18"/>
        </w:rPr>
        <w:t>/1.00-1)×365/11</w:t>
      </w:r>
      <w:r>
        <w:rPr>
          <w:rFonts w:hint="eastAsia"/>
          <w:sz w:val="18"/>
          <w:szCs w:val="18"/>
          <w:lang w:val="en-US" w:eastAsia="zh-CN"/>
        </w:rPr>
        <w:t>8</w:t>
      </w:r>
      <w:r>
        <w:rPr>
          <w:rFonts w:hint="eastAsia"/>
          <w:sz w:val="18"/>
          <w:szCs w:val="18"/>
        </w:rPr>
        <w:t>=2.</w:t>
      </w:r>
      <w:r>
        <w:rPr>
          <w:rFonts w:hint="eastAsia"/>
          <w:sz w:val="18"/>
          <w:szCs w:val="18"/>
          <w:lang w:val="en-US" w:eastAsia="zh-CN"/>
        </w:rPr>
        <w:t>26</w:t>
      </w:r>
      <w:r>
        <w:rPr>
          <w:rFonts w:hint="eastAsia"/>
          <w:sz w:val="18"/>
          <w:szCs w:val="18"/>
        </w:rPr>
        <w:t>%&gt;2.</w:t>
      </w:r>
      <w:r>
        <w:rPr>
          <w:rFonts w:hint="eastAsia"/>
          <w:sz w:val="18"/>
          <w:szCs w:val="18"/>
          <w:lang w:val="en-US" w:eastAsia="zh-CN"/>
        </w:rPr>
        <w:t>1</w:t>
      </w:r>
      <w:r>
        <w:rPr>
          <w:rFonts w:hint="eastAsia"/>
          <w:sz w:val="18"/>
          <w:szCs w:val="18"/>
        </w:rPr>
        <w:t>%，即投资收益超越业绩比较基准，则投资管理人对超过业绩比较基准部分收益收取浮动管理费，浮动管理费为：1,000,000.00×[1.007</w:t>
      </w:r>
      <w:r>
        <w:rPr>
          <w:rFonts w:hint="eastAsia"/>
          <w:sz w:val="18"/>
          <w:szCs w:val="18"/>
          <w:lang w:val="en-US" w:eastAsia="zh-CN"/>
        </w:rPr>
        <w:t>3</w:t>
      </w:r>
      <w:r>
        <w:rPr>
          <w:rFonts w:hint="eastAsia"/>
          <w:sz w:val="18"/>
          <w:szCs w:val="18"/>
        </w:rPr>
        <w:t>-1.00×(1+2.</w:t>
      </w:r>
      <w:r>
        <w:rPr>
          <w:rFonts w:hint="eastAsia"/>
          <w:sz w:val="18"/>
          <w:szCs w:val="18"/>
          <w:lang w:val="en-US" w:eastAsia="zh-CN"/>
        </w:rPr>
        <w:t>1</w:t>
      </w:r>
      <w:r>
        <w:rPr>
          <w:rFonts w:hint="eastAsia"/>
          <w:sz w:val="18"/>
          <w:szCs w:val="18"/>
        </w:rPr>
        <w:t>%×11</w:t>
      </w:r>
      <w:r>
        <w:rPr>
          <w:rFonts w:hint="eastAsia"/>
          <w:sz w:val="18"/>
          <w:szCs w:val="18"/>
          <w:lang w:val="en-US" w:eastAsia="zh-CN"/>
        </w:rPr>
        <w:t>8</w:t>
      </w:r>
      <w:r>
        <w:rPr>
          <w:rFonts w:hint="eastAsia"/>
          <w:sz w:val="18"/>
          <w:szCs w:val="18"/>
        </w:rPr>
        <w:t>/365)]×80%=</w:t>
      </w:r>
      <w:r>
        <w:rPr>
          <w:rFonts w:hint="eastAsia"/>
          <w:sz w:val="18"/>
          <w:szCs w:val="18"/>
          <w:lang w:val="en-US" w:eastAsia="zh-CN"/>
        </w:rPr>
        <w:t>408.77</w:t>
      </w:r>
      <w:r>
        <w:rPr>
          <w:rFonts w:hint="eastAsia"/>
          <w:sz w:val="18"/>
          <w:szCs w:val="18"/>
        </w:rPr>
        <w:t>（元）。扣除浮动管理费后，客户最终收益为：1,000,000.00×（1.007</w:t>
      </w:r>
      <w:r>
        <w:rPr>
          <w:rFonts w:hint="eastAsia"/>
          <w:sz w:val="18"/>
          <w:szCs w:val="18"/>
          <w:lang w:val="en-US" w:eastAsia="zh-CN"/>
        </w:rPr>
        <w:t>3</w:t>
      </w:r>
      <w:r>
        <w:rPr>
          <w:rFonts w:hint="eastAsia"/>
          <w:sz w:val="18"/>
          <w:szCs w:val="18"/>
        </w:rPr>
        <w:t>-1.00）-</w:t>
      </w:r>
      <w:r>
        <w:rPr>
          <w:rFonts w:hint="eastAsia"/>
          <w:sz w:val="18"/>
          <w:szCs w:val="18"/>
          <w:lang w:val="en-US" w:eastAsia="zh-CN"/>
        </w:rPr>
        <w:t>408.77</w:t>
      </w:r>
      <w:r>
        <w:rPr>
          <w:rFonts w:hint="eastAsia"/>
          <w:sz w:val="18"/>
          <w:szCs w:val="18"/>
        </w:rPr>
        <w:t>=</w:t>
      </w:r>
      <w:r>
        <w:rPr>
          <w:rFonts w:hint="eastAsia"/>
          <w:sz w:val="18"/>
          <w:szCs w:val="18"/>
          <w:lang w:val="en-US" w:eastAsia="zh-CN"/>
        </w:rPr>
        <w:t>6891.23</w:t>
      </w:r>
      <w:r>
        <w:rPr>
          <w:rFonts w:hint="eastAsia"/>
          <w:sz w:val="18"/>
          <w:szCs w:val="18"/>
        </w:rPr>
        <w:t>（元），产品到期时，客户获得的实际收益相当于达到年化收益率水平为：</w:t>
      </w:r>
      <w:r>
        <w:rPr>
          <w:rFonts w:hint="eastAsia"/>
          <w:sz w:val="18"/>
          <w:szCs w:val="18"/>
          <w:lang w:val="en-US" w:eastAsia="zh-CN"/>
        </w:rPr>
        <w:t>6891.23</w:t>
      </w:r>
      <w:r>
        <w:rPr>
          <w:rFonts w:hint="eastAsia"/>
          <w:sz w:val="18"/>
          <w:szCs w:val="18"/>
        </w:rPr>
        <w:t>/1,000,000.00×365/11</w:t>
      </w:r>
      <w:r>
        <w:rPr>
          <w:rFonts w:hint="eastAsia"/>
          <w:sz w:val="18"/>
          <w:szCs w:val="18"/>
          <w:lang w:val="en-US" w:eastAsia="zh-CN"/>
        </w:rPr>
        <w:t>8</w:t>
      </w:r>
      <w:r>
        <w:rPr>
          <w:rFonts w:hint="eastAsia"/>
          <w:sz w:val="18"/>
          <w:szCs w:val="18"/>
        </w:rPr>
        <w:t>=2.</w:t>
      </w:r>
      <w:r>
        <w:rPr>
          <w:rFonts w:hint="eastAsia"/>
          <w:sz w:val="18"/>
          <w:szCs w:val="18"/>
          <w:lang w:val="en-US" w:eastAsia="zh-CN"/>
        </w:rPr>
        <w:t>13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8</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w:t>
      </w:r>
      <w:r>
        <w:rPr>
          <w:rFonts w:hint="eastAsia"/>
          <w:sz w:val="18"/>
          <w:szCs w:val="18"/>
          <w:lang w:val="en-US" w:eastAsia="zh-CN"/>
        </w:rPr>
        <w:t>65</w:t>
      </w:r>
      <w:r>
        <w:rPr>
          <w:rFonts w:hint="eastAsia"/>
          <w:sz w:val="18"/>
          <w:szCs w:val="18"/>
        </w:rPr>
        <w:t>，此时，(1.00</w:t>
      </w:r>
      <w:r>
        <w:rPr>
          <w:rFonts w:hint="eastAsia"/>
          <w:sz w:val="18"/>
          <w:szCs w:val="18"/>
          <w:lang w:val="en-US" w:eastAsia="zh-CN"/>
        </w:rPr>
        <w:t>65</w:t>
      </w:r>
      <w:r>
        <w:rPr>
          <w:rFonts w:hint="eastAsia"/>
          <w:sz w:val="18"/>
          <w:szCs w:val="18"/>
        </w:rPr>
        <w:t>/1.00-1)×365/11</w:t>
      </w:r>
      <w:r>
        <w:rPr>
          <w:rFonts w:hint="eastAsia"/>
          <w:sz w:val="18"/>
          <w:szCs w:val="18"/>
          <w:lang w:val="en-US" w:eastAsia="zh-CN"/>
        </w:rPr>
        <w:t>8</w:t>
      </w:r>
      <w:r>
        <w:rPr>
          <w:rFonts w:hint="eastAsia"/>
          <w:sz w:val="18"/>
          <w:szCs w:val="18"/>
        </w:rPr>
        <w:t>=</w:t>
      </w:r>
      <w:r>
        <w:rPr>
          <w:rFonts w:hint="eastAsia"/>
          <w:sz w:val="18"/>
          <w:szCs w:val="18"/>
          <w:lang w:val="en-US" w:eastAsia="zh-CN"/>
        </w:rPr>
        <w:t>2.01</w:t>
      </w:r>
      <w:r>
        <w:rPr>
          <w:rFonts w:hint="eastAsia"/>
          <w:sz w:val="18"/>
          <w:szCs w:val="18"/>
        </w:rPr>
        <w:t>%&lt;2.</w:t>
      </w:r>
      <w:r>
        <w:rPr>
          <w:rFonts w:hint="eastAsia"/>
          <w:sz w:val="18"/>
          <w:szCs w:val="18"/>
          <w:lang w:val="en-US" w:eastAsia="zh-CN"/>
        </w:rPr>
        <w:t>1</w:t>
      </w:r>
      <w:r>
        <w:rPr>
          <w:rFonts w:hint="eastAsia"/>
          <w:sz w:val="18"/>
          <w:szCs w:val="18"/>
        </w:rPr>
        <w:t>%，即投资收益未达到业绩比较基准，则投资管理人不收取浮动管理费，客户最终收益为：1,000,000.00×(1.00</w:t>
      </w:r>
      <w:r>
        <w:rPr>
          <w:rFonts w:hint="eastAsia"/>
          <w:sz w:val="18"/>
          <w:szCs w:val="18"/>
          <w:lang w:val="en-US" w:eastAsia="zh-CN"/>
        </w:rPr>
        <w:t>65</w:t>
      </w:r>
      <w:r>
        <w:rPr>
          <w:rFonts w:hint="eastAsia"/>
          <w:sz w:val="18"/>
          <w:szCs w:val="18"/>
        </w:rPr>
        <w:t>-1.00）=</w:t>
      </w:r>
      <w:r>
        <w:rPr>
          <w:rFonts w:hint="eastAsia"/>
          <w:sz w:val="18"/>
          <w:szCs w:val="18"/>
          <w:lang w:val="en-US" w:eastAsia="zh-CN"/>
        </w:rPr>
        <w:t>65</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8</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w:t>
      </w:r>
      <w:r>
        <w:rPr>
          <w:rFonts w:hint="eastAsia"/>
          <w:sz w:val="18"/>
          <w:szCs w:val="18"/>
        </w:rPr>
        <w:t>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26020</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Bw1jrmF3sokM1hESmyUPDzShqhg=" w:salt="tEuHWzSLyl29brRlIYEDI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9F3149"/>
    <w:rsid w:val="01B25DFE"/>
    <w:rsid w:val="020D5912"/>
    <w:rsid w:val="02B70580"/>
    <w:rsid w:val="03C64591"/>
    <w:rsid w:val="03E90339"/>
    <w:rsid w:val="05256D34"/>
    <w:rsid w:val="0527507E"/>
    <w:rsid w:val="06173DCE"/>
    <w:rsid w:val="06ED4D4B"/>
    <w:rsid w:val="06F87141"/>
    <w:rsid w:val="07BB40C7"/>
    <w:rsid w:val="08EF38EC"/>
    <w:rsid w:val="09284DBF"/>
    <w:rsid w:val="09446D7E"/>
    <w:rsid w:val="0A1675AA"/>
    <w:rsid w:val="0AC90772"/>
    <w:rsid w:val="0EAE5E5E"/>
    <w:rsid w:val="0F4B6711"/>
    <w:rsid w:val="104F44D5"/>
    <w:rsid w:val="109B1F8D"/>
    <w:rsid w:val="10B17669"/>
    <w:rsid w:val="11AA638B"/>
    <w:rsid w:val="12EE51BD"/>
    <w:rsid w:val="14237D99"/>
    <w:rsid w:val="14C54C98"/>
    <w:rsid w:val="161D1528"/>
    <w:rsid w:val="179944CD"/>
    <w:rsid w:val="17BF4271"/>
    <w:rsid w:val="19E25A8D"/>
    <w:rsid w:val="19EC4338"/>
    <w:rsid w:val="1A5F6148"/>
    <w:rsid w:val="1DBC7AEC"/>
    <w:rsid w:val="1EBD7528"/>
    <w:rsid w:val="1F0F4A66"/>
    <w:rsid w:val="20DB6550"/>
    <w:rsid w:val="21CD0C84"/>
    <w:rsid w:val="21E136F4"/>
    <w:rsid w:val="22A04815"/>
    <w:rsid w:val="23535C37"/>
    <w:rsid w:val="243F45B9"/>
    <w:rsid w:val="26531D8B"/>
    <w:rsid w:val="275A751E"/>
    <w:rsid w:val="27BD2B01"/>
    <w:rsid w:val="28076A45"/>
    <w:rsid w:val="2ACF0E36"/>
    <w:rsid w:val="2B916284"/>
    <w:rsid w:val="2D1D2B95"/>
    <w:rsid w:val="2DBB63AA"/>
    <w:rsid w:val="2F7E1AF7"/>
    <w:rsid w:val="2F862BC5"/>
    <w:rsid w:val="30271A47"/>
    <w:rsid w:val="305C00F9"/>
    <w:rsid w:val="30DC7477"/>
    <w:rsid w:val="313A7139"/>
    <w:rsid w:val="31AC46DA"/>
    <w:rsid w:val="32683389"/>
    <w:rsid w:val="3318043A"/>
    <w:rsid w:val="33F1533A"/>
    <w:rsid w:val="34F321CC"/>
    <w:rsid w:val="36C936FE"/>
    <w:rsid w:val="38FC2B02"/>
    <w:rsid w:val="39766FF2"/>
    <w:rsid w:val="3A3C4BCB"/>
    <w:rsid w:val="3A9532FB"/>
    <w:rsid w:val="3B57FF03"/>
    <w:rsid w:val="3BB23156"/>
    <w:rsid w:val="3BBF210A"/>
    <w:rsid w:val="3BFBD5F2"/>
    <w:rsid w:val="3C5B2CDB"/>
    <w:rsid w:val="3D150741"/>
    <w:rsid w:val="3DCA67EC"/>
    <w:rsid w:val="3E2566A4"/>
    <w:rsid w:val="3F7E5351"/>
    <w:rsid w:val="4146226E"/>
    <w:rsid w:val="418D0632"/>
    <w:rsid w:val="434002F8"/>
    <w:rsid w:val="43712A5A"/>
    <w:rsid w:val="4409550D"/>
    <w:rsid w:val="45A13E49"/>
    <w:rsid w:val="462B298E"/>
    <w:rsid w:val="4769700F"/>
    <w:rsid w:val="485937D1"/>
    <w:rsid w:val="48805D23"/>
    <w:rsid w:val="4AB2210B"/>
    <w:rsid w:val="4E42257F"/>
    <w:rsid w:val="4E424101"/>
    <w:rsid w:val="4E9D337C"/>
    <w:rsid w:val="4EFE40C2"/>
    <w:rsid w:val="51F53730"/>
    <w:rsid w:val="54133033"/>
    <w:rsid w:val="546F0E0A"/>
    <w:rsid w:val="56865A7D"/>
    <w:rsid w:val="56AB5155"/>
    <w:rsid w:val="57313966"/>
    <w:rsid w:val="58121B96"/>
    <w:rsid w:val="583E376D"/>
    <w:rsid w:val="58E34C34"/>
    <w:rsid w:val="59CA1A5B"/>
    <w:rsid w:val="5A6C6059"/>
    <w:rsid w:val="5D0B2C53"/>
    <w:rsid w:val="5DD76B10"/>
    <w:rsid w:val="5E014390"/>
    <w:rsid w:val="5E3633EC"/>
    <w:rsid w:val="5E633CE1"/>
    <w:rsid w:val="5F4A6202"/>
    <w:rsid w:val="616E34C6"/>
    <w:rsid w:val="61E21802"/>
    <w:rsid w:val="623D1E92"/>
    <w:rsid w:val="62715C60"/>
    <w:rsid w:val="627B657A"/>
    <w:rsid w:val="63E61C76"/>
    <w:rsid w:val="64A6112D"/>
    <w:rsid w:val="64C0477E"/>
    <w:rsid w:val="661104BF"/>
    <w:rsid w:val="67FF3C33"/>
    <w:rsid w:val="699C4EA7"/>
    <w:rsid w:val="6B9D5BC9"/>
    <w:rsid w:val="6D15771F"/>
    <w:rsid w:val="6F6944D6"/>
    <w:rsid w:val="718A5772"/>
    <w:rsid w:val="76592994"/>
    <w:rsid w:val="79632EC7"/>
    <w:rsid w:val="7AFF2EFC"/>
    <w:rsid w:val="7CE65BF7"/>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13002</Words>
  <Characters>13573</Characters>
  <Lines>100</Lines>
  <Paragraphs>28</Paragraphs>
  <TotalTime>4</TotalTime>
  <ScaleCrop>false</ScaleCrop>
  <LinksUpToDate>false</LinksUpToDate>
  <CharactersWithSpaces>13868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2026-08-21T07:07:02Z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