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温州银行“金鹿理财-普惠盈周”</w:t>
      </w:r>
      <w:r>
        <w:rPr>
          <w:rFonts w:hint="eastAsia" w:ascii="黑体" w:eastAsia="黑体"/>
          <w:color w:val="000000"/>
          <w:sz w:val="30"/>
          <w:szCs w:val="30"/>
          <w:u w:val="single"/>
        </w:rPr>
        <w:t>2</w:t>
      </w:r>
      <w:r>
        <w:rPr>
          <w:rFonts w:hint="eastAsia" w:ascii="黑体" w:eastAsia="黑体"/>
          <w:sz w:val="30"/>
          <w:szCs w:val="30"/>
          <w:highlight w:val="none"/>
          <w:u w:val="singl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2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9"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，请在购买该理财产品前特别注意以下事项：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您将购买的温州银行“金鹿理财</w:t>
      </w:r>
      <w:r>
        <w:rPr>
          <w:rFonts w:hint="eastAsia" w:ascii="宋体" w:hAnsi="宋体"/>
          <w:szCs w:val="21"/>
          <w:highlight w:val="none"/>
        </w:rPr>
        <w:t>-</w:t>
      </w:r>
      <w:r>
        <w:rPr>
          <w:rFonts w:hint="eastAsia"/>
          <w:szCs w:val="21"/>
          <w:highlight w:val="none"/>
        </w:rPr>
        <w:t>普惠盈周”</w:t>
      </w:r>
      <w:r>
        <w:rPr>
          <w:rFonts w:hint="eastAsia"/>
          <w:color w:val="000000"/>
          <w:szCs w:val="21"/>
          <w:u w:val="single"/>
        </w:rPr>
        <w:t>2</w:t>
      </w:r>
      <w:r>
        <w:rPr>
          <w:rFonts w:hint="eastAsia"/>
          <w:szCs w:val="21"/>
          <w:highlight w:val="none"/>
          <w:u w:val="single"/>
        </w:rPr>
        <w:t>号</w:t>
      </w:r>
      <w:r>
        <w:rPr>
          <w:rFonts w:hint="eastAsia"/>
          <w:szCs w:val="21"/>
          <w:highlight w:val="none"/>
        </w:rPr>
        <w:t>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，在产品存续期内不定期开放资金认购、申购及赎回。</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b/>
          <w:bCs/>
          <w:szCs w:val="21"/>
          <w:highlight w:val="none"/>
        </w:rPr>
        <w:t>业绩比较基准</w:t>
      </w:r>
      <w:r>
        <w:rPr>
          <w:rFonts w:hint="eastAsia" w:ascii="宋体" w:hAnsi="宋体"/>
          <w:b/>
          <w:bCs/>
          <w:szCs w:val="21"/>
          <w:highlight w:val="none"/>
          <w:lang w:val="en-US" w:eastAsia="zh-CN"/>
        </w:rPr>
        <w:t>/过往业绩</w:t>
      </w:r>
      <w:r>
        <w:rPr>
          <w:rFonts w:hint="eastAsia" w:ascii="宋体" w:hAnsi="宋体"/>
          <w:b/>
          <w:bCs/>
          <w:szCs w:val="21"/>
          <w:highlight w:val="none"/>
        </w:rPr>
        <w:t>不是预期收益率，不代表产品的未来表现和实际收益，不构成对产品收益的承诺</w:t>
      </w:r>
      <w:r>
        <w:rPr>
          <w:rFonts w:hint="eastAsia" w:ascii="宋体" w:hAnsi="宋体"/>
          <w:b/>
          <w:bCs/>
          <w:szCs w:val="21"/>
          <w:highlight w:val="none"/>
          <w:lang w:eastAsia="zh-CN"/>
        </w:rPr>
        <w:t>。</w:t>
      </w:r>
      <w:r>
        <w:rPr>
          <w:rFonts w:hint="eastAsia" w:ascii="宋体" w:hAnsi="宋体"/>
          <w:szCs w:val="21"/>
          <w:highlight w:val="none"/>
        </w:rPr>
        <w:t>本理财产品适合客户：经温州银行评估为稳健型、平衡型、进取型、激进型的个人投资者，以及机构投资者。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盈周”2号开放式净值型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w:t>
      </w:r>
      <w:r>
        <w:rPr>
          <w:rFonts w:hint="eastAsia"/>
          <w:b/>
          <w:szCs w:val="21"/>
          <w:highlight w:val="none"/>
          <w:lang w:val="en-US" w:eastAsia="zh-CN"/>
        </w:rPr>
        <w:t>/本机构</w:t>
      </w:r>
      <w:r>
        <w:rPr>
          <w:rFonts w:hint="eastAsia"/>
          <w:b/>
          <w:szCs w:val="21"/>
          <w:highlight w:val="none"/>
        </w:rPr>
        <w:t>经温州银行评估的风险承受能力等级为：</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w:t>
      </w:r>
      <w:r>
        <w:rPr>
          <w:rFonts w:hint="eastAsia"/>
          <w:b/>
          <w:szCs w:val="21"/>
          <w:highlight w:val="none"/>
        </w:rPr>
        <w:t>/本机构</w:t>
      </w:r>
      <w:r>
        <w:rPr>
          <w:rFonts w:hint="eastAsia" w:ascii="宋体" w:hAnsi="宋体"/>
          <w:b/>
          <w:szCs w:val="21"/>
          <w:highlight w:val="none"/>
        </w:rPr>
        <w:t>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本人/本机构已经阅读上述风险提示，愿意承担投资风险</w:t>
      </w:r>
      <w:r>
        <w:rPr>
          <w:rFonts w:hint="eastAsia"/>
          <w:szCs w:val="21"/>
          <w:highlight w:val="none"/>
        </w:rPr>
        <w:t>”。）</w:t>
      </w:r>
    </w:p>
    <w:p>
      <w:pPr>
        <w:adjustRightInd w:val="0"/>
        <w:snapToGrid w:val="0"/>
        <w:spacing w:line="312" w:lineRule="auto"/>
        <w:jc w:val="left"/>
        <w:rPr>
          <w:rFonts w:ascii="宋体" w:hAnsi="宋体"/>
          <w:szCs w:val="21"/>
          <w:highlight w:val="none"/>
        </w:rPr>
      </w:pPr>
      <w:r>
        <w:rPr>
          <w:rFonts w:hint="eastAsia" w:ascii="宋体" w:hAnsi="宋体"/>
          <w:szCs w:val="21"/>
          <w:highlight w:val="none"/>
        </w:rPr>
        <w:t>个人投资者（签字）：</w:t>
      </w:r>
    </w:p>
    <w:p>
      <w:pPr>
        <w:adjustRightInd w:val="0"/>
        <w:snapToGrid w:val="0"/>
        <w:spacing w:line="312" w:lineRule="auto"/>
        <w:jc w:val="left"/>
        <w:rPr>
          <w:rFonts w:ascii="宋体" w:hAnsi="宋体"/>
          <w:szCs w:val="21"/>
          <w:highlight w:val="none"/>
        </w:rPr>
      </w:pPr>
      <w:r>
        <w:rPr>
          <w:rFonts w:hint="eastAsia" w:ascii="宋体" w:hAnsi="宋体"/>
          <w:szCs w:val="21"/>
          <w:highlight w:val="none"/>
        </w:rPr>
        <w:t>机构投资者（盖章）：</w:t>
      </w:r>
    </w:p>
    <w:p>
      <w:pPr>
        <w:adjustRightInd w:val="0"/>
        <w:snapToGrid w:val="0"/>
        <w:spacing w:line="312" w:lineRule="auto"/>
        <w:jc w:val="left"/>
        <w:rPr>
          <w:rFonts w:ascii="宋体" w:hAnsi="宋体"/>
          <w:szCs w:val="21"/>
          <w:highlight w:val="none"/>
        </w:rPr>
      </w:pPr>
      <w:r>
        <w:rPr>
          <w:rFonts w:hint="eastAsia" w:ascii="宋体" w:hAnsi="宋体"/>
          <w:szCs w:val="21"/>
          <w:highlight w:val="none"/>
        </w:rPr>
        <w:t xml:space="preserve">机构投资者法定代表人或授权代表（签名或盖章）：                            </w:t>
      </w:r>
    </w:p>
    <w:p>
      <w:pPr>
        <w:adjustRightInd w:val="0"/>
        <w:snapToGrid w:val="0"/>
        <w:spacing w:line="312" w:lineRule="auto"/>
        <w:jc w:val="right"/>
        <w:rPr>
          <w:rFonts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温州银行“金鹿理财-普惠盈周”</w:t>
      </w:r>
      <w:r>
        <w:rPr>
          <w:rFonts w:hint="eastAsia" w:ascii="黑体" w:eastAsia="黑体"/>
          <w:color w:val="000000"/>
          <w:sz w:val="30"/>
          <w:szCs w:val="30"/>
          <w:highlight w:val="none"/>
          <w:u w:val="single"/>
        </w:rPr>
        <w:t>2号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普惠盈周”2号开放式净值型银行理财计划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“金鹿理财-普惠盈周”</w:t>
            </w:r>
            <w:r>
              <w:rPr>
                <w:rFonts w:hint="eastAsia"/>
                <w:color w:val="000000"/>
                <w:sz w:val="18"/>
                <w:szCs w:val="18"/>
                <w:highlight w:val="none"/>
                <w:u w:val="single"/>
              </w:rPr>
              <w:t>2号</w:t>
            </w:r>
            <w:r>
              <w:rPr>
                <w:rFonts w:hint="eastAsia"/>
                <w:sz w:val="18"/>
                <w:szCs w:val="18"/>
                <w:highlight w:val="none"/>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rPr>
              <w:t>C1092224000056</w:t>
            </w:r>
          </w:p>
          <w:p>
            <w:pPr>
              <w:pStyle w:val="12"/>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 xml:space="preserve"> (投资者可登录中国理财网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发行规模不超过</w:t>
            </w:r>
            <w:r>
              <w:rPr>
                <w:rFonts w:hint="eastAsia"/>
                <w:sz w:val="18"/>
                <w:szCs w:val="18"/>
                <w:highlight w:val="none"/>
              </w:rPr>
              <w:t>50亿元</w:t>
            </w:r>
            <w:r>
              <w:rPr>
                <w:rFonts w:hint="eastAsia" w:cs="Times New Roman"/>
                <w:sz w:val="18"/>
                <w:szCs w:val="18"/>
                <w:highlight w:val="none"/>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2024年2月18日</w:t>
            </w:r>
            <w:r>
              <w:rPr>
                <w:rFonts w:hint="eastAsia"/>
                <w:color w:val="000000"/>
                <w:sz w:val="18"/>
                <w:szCs w:val="18"/>
                <w:u w:val="single"/>
              </w:rPr>
              <w:t>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r>
              <w:rPr>
                <w:rFonts w:hint="eastAsia"/>
                <w:sz w:val="18"/>
                <w:szCs w:val="18"/>
                <w:highlight w:val="none"/>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highlight w:val="none"/>
              </w:rPr>
            </w:pPr>
            <w:r>
              <w:rPr>
                <w:rFonts w:ascii="宋体" w:hAnsi="宋体"/>
                <w:kern w:val="0"/>
                <w:sz w:val="18"/>
                <w:highlight w:val="none"/>
              </w:rPr>
              <w:t>本理财</w:t>
            </w:r>
            <w:r>
              <w:rPr>
                <w:rFonts w:hint="eastAsia" w:ascii="宋体" w:hAnsi="宋体"/>
                <w:kern w:val="0"/>
                <w:sz w:val="18"/>
                <w:highlight w:val="none"/>
              </w:rPr>
              <w:t>计划无固定到期日</w:t>
            </w:r>
            <w:r>
              <w:rPr>
                <w:rFonts w:ascii="宋体" w:hAnsi="宋体"/>
                <w:kern w:val="0"/>
                <w:sz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Autospacing="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r>
              <w:rPr>
                <w:rFonts w:hint="eastAsia" w:ascii="宋体" w:hAnsi="宋体"/>
                <w:sz w:val="18"/>
                <w:highlight w:val="none"/>
              </w:rPr>
              <w:t>投资周期内，除投资周期起始日/终止日外的每一个</w:t>
            </w:r>
            <w:r>
              <w:rPr>
                <w:rFonts w:hint="eastAsia" w:ascii="宋体" w:hAnsi="宋体"/>
                <w:sz w:val="18"/>
                <w:highlight w:val="none"/>
                <w:lang w:val="en-US" w:eastAsia="zh-CN"/>
              </w:rPr>
              <w:t>自然</w:t>
            </w:r>
            <w:r>
              <w:rPr>
                <w:rFonts w:hint="eastAsia" w:ascii="宋体" w:hAnsi="宋体"/>
                <w:sz w:val="18"/>
                <w:highlight w:val="none"/>
              </w:rPr>
              <w:t>日，均可提交申购/赎回申请。</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rPr>
              <w:t>14</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sz w:val="18"/>
                <w:highlight w:val="none"/>
              </w:rPr>
              <w:t>14</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p>
          <w:p>
            <w:pPr>
              <w:autoSpaceDN w:val="0"/>
              <w:rPr>
                <w:rFonts w:ascii="宋体" w:hAnsi="宋体"/>
                <w:sz w:val="18"/>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w:t>
            </w:r>
            <w:r>
              <w:rPr>
                <w:rFonts w:hint="eastAsia" w:ascii="宋体" w:hAnsi="宋体"/>
                <w:sz w:val="18"/>
                <w:highlight w:val="none"/>
              </w:rPr>
              <w:t>，认购（申购）确认日为下一个投资周期起始日</w:t>
            </w:r>
            <w:r>
              <w:rPr>
                <w:rFonts w:ascii="宋体" w:hAnsi="宋体"/>
                <w:sz w:val="18"/>
                <w:highlight w:val="none"/>
              </w:rPr>
              <w:t>。本理财产品按投资周期开放赎回，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w:t>
            </w:r>
            <w:r>
              <w:rPr>
                <w:rFonts w:hint="eastAsia" w:ascii="宋体" w:hAnsi="宋体"/>
                <w:sz w:val="18"/>
                <w:highlight w:val="none"/>
              </w:rPr>
              <w:t>及清算</w:t>
            </w:r>
            <w:r>
              <w:rPr>
                <w:rFonts w:ascii="宋体" w:hAnsi="宋体"/>
                <w:sz w:val="18"/>
                <w:highlight w:val="none"/>
              </w:rPr>
              <w:t>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购买资金对应的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的预期赎回期内未提出赎回申请，则该投资周期终止后，客户的理财资金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ascii="宋体" w:hAnsi="宋体"/>
                <w:sz w:val="18"/>
                <w:highlight w:val="none"/>
              </w:rPr>
            </w:pPr>
            <w:r>
              <w:rPr>
                <w:rFonts w:hint="eastAsia" w:ascii="宋体" w:hAnsi="宋体"/>
                <w:sz w:val="18"/>
                <w:highlight w:val="none"/>
              </w:rPr>
              <w:t>4.在理财产品存续期内，温州银行有权根据市场情况变化暂停本理财产品的申购、赎回，暂停申购、赎回的公告将通过温州银行网站（www.wzbank.cn）发布。</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首次投资最低金额为</w:t>
            </w:r>
            <w:r>
              <w:rPr>
                <w:rFonts w:ascii="宋体" w:hAnsi="宋体"/>
                <w:sz w:val="18"/>
                <w:highlight w:val="none"/>
              </w:rPr>
              <w:t>1</w:t>
            </w:r>
            <w:r>
              <w:rPr>
                <w:rFonts w:hint="eastAsia" w:ascii="宋体" w:hAnsi="宋体"/>
                <w:sz w:val="18"/>
                <w:highlight w:val="none"/>
              </w:rPr>
              <w:t>万元；超出首次投资最低金额部分，须为</w:t>
            </w:r>
            <w:r>
              <w:rPr>
                <w:rFonts w:ascii="宋体" w:hAnsi="宋体"/>
                <w:sz w:val="18"/>
                <w:highlight w:val="none"/>
              </w:rPr>
              <w:t>1</w:t>
            </w:r>
            <w:r>
              <w:rPr>
                <w:rFonts w:hint="eastAsia" w:ascii="宋体" w:hAnsi="宋体"/>
                <w:sz w:val="18"/>
                <w:highlight w:val="none"/>
              </w:rPr>
              <w:t>千元或</w:t>
            </w:r>
            <w:r>
              <w:rPr>
                <w:rFonts w:ascii="宋体" w:hAnsi="宋体"/>
                <w:sz w:val="18"/>
                <w:highlight w:val="none"/>
              </w:rPr>
              <w:t>1</w:t>
            </w:r>
            <w:r>
              <w:rPr>
                <w:rFonts w:hint="eastAsia" w:ascii="宋体" w:hAnsi="宋体"/>
                <w:sz w:val="18"/>
                <w:highlight w:val="none"/>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单一投资者持有份额最高不超500万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highlight w:val="none"/>
              </w:rPr>
            </w:pPr>
            <w:r>
              <w:rPr>
                <w:rFonts w:hint="eastAsia"/>
                <w:sz w:val="18"/>
                <w:szCs w:val="18"/>
                <w:highlight w:val="none"/>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highlight w:val="none"/>
              </w:rPr>
            </w:pPr>
            <w:r>
              <w:rPr>
                <w:rFonts w:hint="eastAsia"/>
                <w:sz w:val="18"/>
                <w:szCs w:val="18"/>
                <w:highlight w:val="none"/>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color w:val="000000"/>
                <w:sz w:val="18"/>
                <w:szCs w:val="18"/>
                <w:lang w:val="en-US" w:eastAsia="zh-CN"/>
              </w:rPr>
              <w:t>1.45%-1.75%</w:t>
            </w:r>
            <w:r>
              <w:rPr>
                <w:rFonts w:hint="eastAsia" w:cs="Times New Roman"/>
                <w:sz w:val="18"/>
                <w:szCs w:val="18"/>
                <w:highlight w:val="none"/>
              </w:rPr>
              <w:t>（年化）</w:t>
            </w:r>
          </w:p>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若本理财产品扣除产品固定管理费及托管费等各项费用后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hint="eastAsia" w:eastAsia="宋体" w:cs="Times New Roman"/>
                <w:b/>
                <w:sz w:val="18"/>
                <w:szCs w:val="18"/>
                <w:highlight w:val="none"/>
                <w:lang w:val="en-US" w:eastAsia="zh-CN"/>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在本产品存续期内，温州银行有权根据市场情况调整本产品前述产品要素，调整前将在</w:t>
            </w:r>
            <w:r>
              <w:rPr>
                <w:rFonts w:hint="eastAsia"/>
                <w:sz w:val="18"/>
                <w:szCs w:val="18"/>
                <w:highlight w:val="none"/>
              </w:rPr>
              <w:t>温州银行官方网站</w:t>
            </w:r>
            <w:r>
              <w:rPr>
                <w:rFonts w:hint="eastAsia" w:cs="Times New Roman"/>
                <w:sz w:val="18"/>
                <w:szCs w:val="18"/>
                <w:highlight w:val="none"/>
              </w:rPr>
              <w:t>进行相关信息披露。理财本金在理财计划成立日/投资周期起始日前交存于温州银行的，按当时实行的活期利率计息。赎回清算日到理财资金返还到账日为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288" w:lineRule="auto"/>
        <w:rPr>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债权类资产，部分可投资于权益类资产、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7"/>
        <w:tblW w:w="9400" w:type="dxa"/>
        <w:jc w:val="center"/>
        <w:tblLayout w:type="fixed"/>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5112" w:type="dxa"/>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4286" w:type="dxa"/>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5112"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428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5112" w:type="dxa"/>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428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bCs/>
          <w:sz w:val="18"/>
          <w:szCs w:val="18"/>
          <w:highlight w:val="none"/>
        </w:rPr>
      </w:pPr>
      <w:r>
        <w:rPr>
          <w:rFonts w:hint="eastAsia"/>
          <w:bCs/>
          <w:sz w:val="18"/>
          <w:szCs w:val="18"/>
          <w:highlight w:val="none"/>
        </w:rPr>
        <w:t>（1）投资于标准化固收类资产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highlight w:val="none"/>
        </w:rPr>
      </w:pPr>
      <w:r>
        <w:rPr>
          <w:rFonts w:hint="eastAsia"/>
          <w:bCs/>
          <w:sz w:val="18"/>
          <w:szCs w:val="18"/>
          <w:highlight w:val="none"/>
        </w:rPr>
        <w:t>（3）投资于权益类、商品及金融衍生品类资产的可能流动性风险（如有）：包括但不限于上市公司普通股、上市公司优先股、股票基金、股票定向增发、商品基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p>
        </w:tc>
        <w:tc>
          <w:tcPr>
            <w:tcW w:w="2500" w:type="pct"/>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5"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sz w:val="18"/>
          <w:szCs w:val="18"/>
          <w:highlight w:val="none"/>
        </w:rPr>
        <w:t>www.wzbank.cn</w:t>
      </w:r>
      <w:r>
        <w:rPr>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【估值原则】</w:t>
      </w:r>
    </w:p>
    <w:p>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理财产品单位净值为提取相关费用后的净值，客户按该单位净值进行赎回或产品到期终止清算时的分配。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rFonts w:hint="eastAsia"/>
          <w:sz w:val="18"/>
          <w:szCs w:val="18"/>
          <w:highlight w:val="none"/>
        </w:rPr>
        <w:t>本理财计划成立日为</w:t>
      </w:r>
      <w:r>
        <w:rPr>
          <w:rFonts w:hint="eastAsia"/>
          <w:color w:val="000000"/>
          <w:sz w:val="18"/>
          <w:szCs w:val="18"/>
        </w:rPr>
        <w:t>2024年2月21日</w:t>
      </w:r>
      <w:r>
        <w:rPr>
          <w:rFonts w:hint="eastAsia"/>
          <w:sz w:val="18"/>
          <w:szCs w:val="18"/>
          <w:highlight w:val="none"/>
        </w:rPr>
        <w:t>。每</w:t>
      </w:r>
      <w:r>
        <w:rPr>
          <w:rFonts w:ascii="宋体" w:hAnsi="宋体"/>
          <w:sz w:val="18"/>
          <w:highlight w:val="none"/>
        </w:rPr>
        <w:t>【</w:t>
      </w:r>
      <w:r>
        <w:rPr>
          <w:rFonts w:hint="eastAsia" w:ascii="宋体" w:hAnsi="宋体"/>
          <w:sz w:val="18"/>
          <w:highlight w:val="none"/>
        </w:rPr>
        <w:t>14</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sz w:val="18"/>
          <w:highlight w:val="none"/>
        </w:rPr>
        <w:t>14</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确认投资者赎回成功后，温州银行在赎回清算日将为投资者扣减份额，并将投资者应得的赎回资金（如有，下同）于赎回清算日后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w:t>
      </w:r>
      <w:r>
        <w:rPr>
          <w:rFonts w:hint="eastAsia"/>
          <w:sz w:val="18"/>
          <w:szCs w:val="18"/>
          <w:highlight w:val="none"/>
          <w:lang w:val="en-US" w:eastAsia="zh-CN"/>
        </w:rPr>
        <w:t>清算日前一自然</w:t>
      </w:r>
      <w:r>
        <w:rPr>
          <w:rFonts w:hint="eastAsia"/>
          <w:sz w:val="18"/>
          <w:szCs w:val="18"/>
          <w:highlight w:val="none"/>
        </w:rPr>
        <w:t>日的理财计划单位净值为基准进行计算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赎回金额＝总赎回份额×赎回清算日前一自然日理财计划单位净值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color w:val="000000"/>
          <w:sz w:val="18"/>
          <w:highlight w:val="none"/>
        </w:rPr>
      </w:pPr>
      <w:r>
        <w:rPr>
          <w:rFonts w:hint="eastAsia"/>
          <w:sz w:val="18"/>
          <w:szCs w:val="18"/>
          <w:highlight w:val="none"/>
        </w:rPr>
        <w:t>本产品无固定到期日</w:t>
      </w:r>
      <w:r>
        <w:rPr>
          <w:rFonts w:hint="eastAsia"/>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理财管理人对委托资产收取的固定管理费，理财计划财产的年固定管理费率为1.0%，计算方法如下：</w:t>
      </w:r>
    </w:p>
    <w:p>
      <w:pPr>
        <w:adjustRightInd w:val="0"/>
        <w:snapToGrid w:val="0"/>
        <w:spacing w:line="286" w:lineRule="auto"/>
        <w:rPr>
          <w:sz w:val="18"/>
          <w:szCs w:val="18"/>
          <w:highlight w:val="none"/>
        </w:rPr>
      </w:pPr>
      <w:r>
        <w:rPr>
          <w:rFonts w:hint="eastAsia"/>
          <w:sz w:val="18"/>
          <w:szCs w:val="18"/>
          <w:highlight w:val="none"/>
        </w:rPr>
        <w:t>H＝E×1.0%÷365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E为本计划前一自然日资产净值，第一日固定管理费=第一日理财产品本金余额×固定管理费率÷365。</w:t>
      </w:r>
    </w:p>
    <w:p>
      <w:pPr>
        <w:adjustRightInd w:val="0"/>
        <w:snapToGrid w:val="0"/>
        <w:spacing w:line="286" w:lineRule="auto"/>
        <w:rPr>
          <w:sz w:val="18"/>
          <w:szCs w:val="18"/>
          <w:highlight w:val="none"/>
        </w:rPr>
      </w:pPr>
      <w:r>
        <w:rPr>
          <w:rFonts w:hint="eastAsia"/>
          <w:sz w:val="18"/>
          <w:szCs w:val="18"/>
          <w:highlight w:val="none"/>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F=（Y-A×R÷365）×80%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F为每日应计提的浮动管理费，当计提后的浮动管理费余额小于0时，则当日不再予以计提，即当日浮动管理费余额为0。</w:t>
      </w:r>
    </w:p>
    <w:p>
      <w:pPr>
        <w:adjustRightInd w:val="0"/>
        <w:snapToGrid w:val="0"/>
        <w:spacing w:line="286" w:lineRule="auto"/>
        <w:rPr>
          <w:sz w:val="18"/>
          <w:szCs w:val="18"/>
          <w:highlight w:val="none"/>
        </w:rPr>
      </w:pPr>
      <w:r>
        <w:rPr>
          <w:rFonts w:hint="eastAsia"/>
          <w:sz w:val="18"/>
          <w:szCs w:val="18"/>
          <w:highlight w:val="none"/>
        </w:rPr>
        <w:t>Y为当日扣除浮动管理费前的当日资产收益</w:t>
      </w:r>
    </w:p>
    <w:p>
      <w:pPr>
        <w:adjustRightInd w:val="0"/>
        <w:snapToGrid w:val="0"/>
        <w:spacing w:line="286" w:lineRule="auto"/>
        <w:rPr>
          <w:sz w:val="18"/>
          <w:szCs w:val="18"/>
          <w:highlight w:val="none"/>
        </w:rPr>
      </w:pPr>
      <w:r>
        <w:rPr>
          <w:rFonts w:hint="eastAsia"/>
          <w:sz w:val="18"/>
          <w:szCs w:val="18"/>
          <w:highlight w:val="none"/>
        </w:rPr>
        <w:t>A为上一日理财产品的单位净值×当日产品份额余额</w:t>
      </w:r>
    </w:p>
    <w:p>
      <w:pPr>
        <w:adjustRightInd w:val="0"/>
        <w:snapToGrid w:val="0"/>
        <w:spacing w:line="286" w:lineRule="auto"/>
        <w:rPr>
          <w:sz w:val="18"/>
          <w:szCs w:val="18"/>
          <w:highlight w:val="none"/>
        </w:rPr>
      </w:pPr>
      <w:r>
        <w:rPr>
          <w:rFonts w:hint="eastAsia"/>
          <w:sz w:val="18"/>
          <w:szCs w:val="18"/>
          <w:highlight w:val="none"/>
        </w:rPr>
        <w:t>R为当日的业绩比较基准，若业绩比较基准存在区间范围的，则为业绩比较基准区间均值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托管费原则上按日计提，逐日累计至每季度最后一个自然月的15日（如遇法定节假日顺延）从理财计划财产中扣除。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lang w:val="en-US" w:eastAsia="zh-CN"/>
        </w:rPr>
        <w:t>收益</w:t>
      </w:r>
      <w:r>
        <w:rPr>
          <w:b/>
          <w:sz w:val="18"/>
          <w:szCs w:val="18"/>
          <w:highlight w:val="none"/>
        </w:rPr>
        <w:t>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default"/>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rPr>
        <w:t>本理财计划不定期进行收益分配。收益分配方式分两种：现金分红与红利再投资。温州银行可选择现金红利分配或将现金红利自动转为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rFonts w:hint="default"/>
          <w:sz w:val="18"/>
          <w:szCs w:val="18"/>
          <w:highlight w:val="none"/>
          <w:lang w:val="en-US" w:eastAsia="zh-CN"/>
        </w:rPr>
      </w:pPr>
      <w:r>
        <w:rPr>
          <w:rFonts w:hint="eastAsia"/>
          <w:sz w:val="18"/>
          <w:szCs w:val="18"/>
          <w:highlight w:val="none"/>
          <w:lang w:val="en-US" w:eastAsia="zh-CN"/>
        </w:rPr>
        <w:t>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w:t>
      </w:r>
      <w:r>
        <w:rPr>
          <w:rFonts w:ascii="宋体" w:hAnsi="宋体"/>
          <w:sz w:val="18"/>
          <w:szCs w:val="18"/>
          <w:highlight w:val="none"/>
        </w:rPr>
        <w:t>市场造成不同程度的影响，从而产生市场风险。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sz w:val="18"/>
          <w:szCs w:val="18"/>
          <w:highlight w:val="none"/>
        </w:rPr>
        <w:t>6</w:t>
      </w:r>
      <w:r>
        <w:rPr>
          <w:rFonts w:hint="eastAsia"/>
          <w:sz w:val="18"/>
          <w:szCs w:val="18"/>
          <w:highlight w:val="none"/>
        </w:rPr>
        <w:t>、早偿风险：如温州银行在特定情况下终止理财，则投资者可能将无法实现期初预期的全部收益。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7、</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Times New Roman" w:hAnsi="Times New Roman" w:cs="Times New Roman"/>
          <w:kern w:val="2"/>
          <w:sz w:val="18"/>
          <w:szCs w:val="18"/>
          <w:highlight w:val="none"/>
        </w:rPr>
      </w:pPr>
      <w:r>
        <w:rPr>
          <w:rFonts w:hint="eastAsia"/>
          <w:sz w:val="18"/>
          <w:szCs w:val="18"/>
          <w:highlight w:val="none"/>
        </w:rPr>
        <w:t>8、</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9、</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w:t>
      </w:r>
      <w:r>
        <w:rPr>
          <w:rFonts w:hint="eastAsia"/>
          <w:sz w:val="18"/>
          <w:szCs w:val="18"/>
          <w:highlight w:val="none"/>
          <w:lang w:val="en-US" w:eastAsia="zh-CN"/>
        </w:rPr>
        <w:t>披露理财产品的季度报告，每年8月31日前披露产品的半年度报告，每年4月30日前披露产品上一年度的年度报告</w:t>
      </w:r>
      <w:r>
        <w:rPr>
          <w:rFonts w:hint="eastAsia"/>
          <w:sz w:val="18"/>
          <w:szCs w:val="18"/>
          <w:highlight w:val="none"/>
        </w:rPr>
        <w:t>。理财产品成立不足90个</w:t>
      </w:r>
      <w:r>
        <w:rPr>
          <w:rFonts w:hint="eastAsia"/>
          <w:sz w:val="18"/>
          <w:szCs w:val="18"/>
          <w:highlight w:val="none"/>
          <w:lang w:val="en-US" w:eastAsia="zh-CN"/>
        </w:rPr>
        <w:t>自然</w:t>
      </w:r>
      <w:r>
        <w:rPr>
          <w:rFonts w:hint="eastAsia"/>
          <w:sz w:val="18"/>
          <w:szCs w:val="18"/>
          <w:highlight w:val="none"/>
        </w:rPr>
        <w:t>日</w:t>
      </w:r>
      <w:r>
        <w:rPr>
          <w:rFonts w:hint="eastAsia"/>
          <w:sz w:val="18"/>
          <w:szCs w:val="18"/>
          <w:highlight w:val="none"/>
          <w:lang w:val="en-US" w:eastAsia="zh-CN"/>
        </w:rPr>
        <w:t>的，可以不编制当期的季度、半年和年度报告。产品期限超过90个自然日的理财产品应当在存续期内至少披露一次定期报告。</w:t>
      </w:r>
      <w:r>
        <w:rPr>
          <w:rFonts w:hint="eastAsia"/>
          <w:sz w:val="18"/>
          <w:szCs w:val="18"/>
          <w:highlight w:val="none"/>
        </w:rPr>
        <w:t>理财产品</w:t>
      </w:r>
      <w:r>
        <w:rPr>
          <w:rFonts w:hint="eastAsia"/>
          <w:sz w:val="18"/>
          <w:szCs w:val="18"/>
          <w:highlight w:val="none"/>
          <w:lang w:val="en-US" w:eastAsia="zh-CN"/>
        </w:rPr>
        <w:t>剩余存续期不足完整报告期，且到期公告或清算报告包括对应定期报告内容的，可以不编制剩余存续期所对应的季度、半年和年度报告。</w:t>
      </w:r>
      <w:r>
        <w:rPr>
          <w:rFonts w:hint="eastAsia"/>
          <w:sz w:val="18"/>
          <w:szCs w:val="18"/>
          <w:highlight w:val="none"/>
        </w:rPr>
        <w:t>开放式产品在每个开放日结束后两个工作日内，披露产品在开放日的份额净值、份额累计净值、认（申）购价格和赎回价格</w:t>
      </w:r>
      <w:r>
        <w:rPr>
          <w:rFonts w:hint="eastAsia"/>
          <w:sz w:val="18"/>
          <w:szCs w:val="18"/>
          <w:highlight w:val="none"/>
          <w:lang w:eastAsia="zh-CN"/>
        </w:rPr>
        <w:t>。</w:t>
      </w:r>
      <w:r>
        <w:rPr>
          <w:rFonts w:hint="eastAsia"/>
          <w:sz w:val="18"/>
          <w:szCs w:val="18"/>
          <w:highlight w:val="none"/>
        </w:rPr>
        <w:t>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w:t>
      </w:r>
      <w:r>
        <w:rPr>
          <w:rFonts w:hint="eastAsia"/>
          <w:sz w:val="18"/>
          <w:szCs w:val="18"/>
          <w:highlight w:val="none"/>
          <w:lang w:val="en-US" w:eastAsia="zh-CN"/>
        </w:rPr>
        <w:t>2</w:t>
      </w:r>
      <w:r>
        <w:rPr>
          <w:rFonts w:hint="eastAsia"/>
          <w:sz w:val="18"/>
          <w:szCs w:val="18"/>
          <w:highlight w:val="none"/>
        </w:rPr>
        <w:t>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7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盈周”2号开放式净值型银行理财计划风险揭示书》、《温州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lsYCr/REnD8ad+oQjFsdn/G65Ck=" w:salt="VPOVwQ3N0xu84Oo3tYE08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5CB6"/>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5E4F29"/>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287425E"/>
    <w:rsid w:val="035F5B62"/>
    <w:rsid w:val="03B225C6"/>
    <w:rsid w:val="045D5346"/>
    <w:rsid w:val="054B1243"/>
    <w:rsid w:val="056623E8"/>
    <w:rsid w:val="056A5112"/>
    <w:rsid w:val="05B95389"/>
    <w:rsid w:val="05BE5868"/>
    <w:rsid w:val="05C22B02"/>
    <w:rsid w:val="05CD3091"/>
    <w:rsid w:val="0831435C"/>
    <w:rsid w:val="084A6CA8"/>
    <w:rsid w:val="085140B5"/>
    <w:rsid w:val="098E3976"/>
    <w:rsid w:val="0A8B5255"/>
    <w:rsid w:val="0B626F8B"/>
    <w:rsid w:val="0BA820C6"/>
    <w:rsid w:val="0C024C49"/>
    <w:rsid w:val="0D80050B"/>
    <w:rsid w:val="0DD2713B"/>
    <w:rsid w:val="0E490064"/>
    <w:rsid w:val="0E4A4F72"/>
    <w:rsid w:val="10076259"/>
    <w:rsid w:val="109C216B"/>
    <w:rsid w:val="10E2721D"/>
    <w:rsid w:val="11C64501"/>
    <w:rsid w:val="12205FC9"/>
    <w:rsid w:val="138D0757"/>
    <w:rsid w:val="13E4398C"/>
    <w:rsid w:val="14217A06"/>
    <w:rsid w:val="145964B9"/>
    <w:rsid w:val="16BB3EF2"/>
    <w:rsid w:val="16CA708E"/>
    <w:rsid w:val="16EE7258"/>
    <w:rsid w:val="17892312"/>
    <w:rsid w:val="18797458"/>
    <w:rsid w:val="18D67783"/>
    <w:rsid w:val="19DF3A01"/>
    <w:rsid w:val="1AB5506A"/>
    <w:rsid w:val="1B3E22C5"/>
    <w:rsid w:val="1CF83BFA"/>
    <w:rsid w:val="1DC92858"/>
    <w:rsid w:val="1E2622AE"/>
    <w:rsid w:val="205B17A2"/>
    <w:rsid w:val="230044F9"/>
    <w:rsid w:val="230E3B63"/>
    <w:rsid w:val="23EC2A46"/>
    <w:rsid w:val="242A4AD2"/>
    <w:rsid w:val="24845E93"/>
    <w:rsid w:val="24CB39E4"/>
    <w:rsid w:val="25C1363B"/>
    <w:rsid w:val="275D4F2D"/>
    <w:rsid w:val="2A3113C8"/>
    <w:rsid w:val="2AE21E1E"/>
    <w:rsid w:val="2C9367E4"/>
    <w:rsid w:val="2CF84B28"/>
    <w:rsid w:val="2CFF7EE5"/>
    <w:rsid w:val="2D8F5880"/>
    <w:rsid w:val="2E971AE3"/>
    <w:rsid w:val="304709FE"/>
    <w:rsid w:val="30873011"/>
    <w:rsid w:val="30EC190E"/>
    <w:rsid w:val="31202449"/>
    <w:rsid w:val="324A6820"/>
    <w:rsid w:val="32600E2A"/>
    <w:rsid w:val="336011D5"/>
    <w:rsid w:val="33AD12D4"/>
    <w:rsid w:val="33BB0464"/>
    <w:rsid w:val="34582769"/>
    <w:rsid w:val="34637BA2"/>
    <w:rsid w:val="34BB507F"/>
    <w:rsid w:val="351A7ABC"/>
    <w:rsid w:val="35635518"/>
    <w:rsid w:val="36D42F75"/>
    <w:rsid w:val="371E667F"/>
    <w:rsid w:val="388219AB"/>
    <w:rsid w:val="38C66936"/>
    <w:rsid w:val="3A372E52"/>
    <w:rsid w:val="3AFE2E55"/>
    <w:rsid w:val="3CA95CCE"/>
    <w:rsid w:val="3CD60CF3"/>
    <w:rsid w:val="3D3D61A4"/>
    <w:rsid w:val="3D6E0AAA"/>
    <w:rsid w:val="3FD16F41"/>
    <w:rsid w:val="40764994"/>
    <w:rsid w:val="43710A36"/>
    <w:rsid w:val="44B8774F"/>
    <w:rsid w:val="44D7779F"/>
    <w:rsid w:val="45613794"/>
    <w:rsid w:val="458B5C50"/>
    <w:rsid w:val="474941D6"/>
    <w:rsid w:val="493C1AF2"/>
    <w:rsid w:val="4B3A78C8"/>
    <w:rsid w:val="4B8D3FF0"/>
    <w:rsid w:val="4BBE25CA"/>
    <w:rsid w:val="4C241E79"/>
    <w:rsid w:val="4C326B56"/>
    <w:rsid w:val="4D1F2F41"/>
    <w:rsid w:val="4D9F6C37"/>
    <w:rsid w:val="4DA04DB4"/>
    <w:rsid w:val="4DAC3C07"/>
    <w:rsid w:val="4E3F1A3D"/>
    <w:rsid w:val="4EC917E6"/>
    <w:rsid w:val="502F0C44"/>
    <w:rsid w:val="50B31F53"/>
    <w:rsid w:val="5243464D"/>
    <w:rsid w:val="52807E6D"/>
    <w:rsid w:val="52BE5550"/>
    <w:rsid w:val="52F50261"/>
    <w:rsid w:val="53F72CCF"/>
    <w:rsid w:val="542B731D"/>
    <w:rsid w:val="54C80ABC"/>
    <w:rsid w:val="55150D81"/>
    <w:rsid w:val="575177BB"/>
    <w:rsid w:val="57BC002D"/>
    <w:rsid w:val="58957134"/>
    <w:rsid w:val="58B403AE"/>
    <w:rsid w:val="58E46088"/>
    <w:rsid w:val="59C12E43"/>
    <w:rsid w:val="59FD29AB"/>
    <w:rsid w:val="5A36150F"/>
    <w:rsid w:val="5A8D45D9"/>
    <w:rsid w:val="5C2610B6"/>
    <w:rsid w:val="5CAC60D0"/>
    <w:rsid w:val="5CC52E42"/>
    <w:rsid w:val="5CF67827"/>
    <w:rsid w:val="5D2F7B31"/>
    <w:rsid w:val="5D8416F7"/>
    <w:rsid w:val="5E9A1867"/>
    <w:rsid w:val="60A64BF2"/>
    <w:rsid w:val="61EB7F09"/>
    <w:rsid w:val="62373B72"/>
    <w:rsid w:val="628B4E13"/>
    <w:rsid w:val="62B023A5"/>
    <w:rsid w:val="644D2BDF"/>
    <w:rsid w:val="66820574"/>
    <w:rsid w:val="66912DA5"/>
    <w:rsid w:val="671110CE"/>
    <w:rsid w:val="679B1D06"/>
    <w:rsid w:val="69085C1A"/>
    <w:rsid w:val="6AAA64D7"/>
    <w:rsid w:val="6B5424D8"/>
    <w:rsid w:val="6BB326AF"/>
    <w:rsid w:val="6BEA4E88"/>
    <w:rsid w:val="6C3B4F08"/>
    <w:rsid w:val="6C692CBC"/>
    <w:rsid w:val="6D763CAB"/>
    <w:rsid w:val="6DCA00E5"/>
    <w:rsid w:val="6DEF5F16"/>
    <w:rsid w:val="6F9406F7"/>
    <w:rsid w:val="71AC58D0"/>
    <w:rsid w:val="71BF4B20"/>
    <w:rsid w:val="721944C5"/>
    <w:rsid w:val="733B519B"/>
    <w:rsid w:val="745B12C0"/>
    <w:rsid w:val="749C3ADE"/>
    <w:rsid w:val="74C431E5"/>
    <w:rsid w:val="75646EFC"/>
    <w:rsid w:val="759A00B6"/>
    <w:rsid w:val="75EE1A0C"/>
    <w:rsid w:val="771C6F88"/>
    <w:rsid w:val="78AF2A24"/>
    <w:rsid w:val="7A7957AE"/>
    <w:rsid w:val="7AB50E43"/>
    <w:rsid w:val="7AB61D86"/>
    <w:rsid w:val="7B6E3D14"/>
    <w:rsid w:val="7CB110A9"/>
    <w:rsid w:val="7DF45DB4"/>
    <w:rsid w:val="7E046FB3"/>
    <w:rsid w:val="7F397345"/>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5"/>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qFormat/>
    <w:uiPriority w:val="0"/>
    <w:rPr>
      <w:color w:val="0563C1"/>
      <w:u w:val="single"/>
    </w:rPr>
  </w:style>
  <w:style w:type="character" w:styleId="11">
    <w:name w:val="annotation reference"/>
    <w:unhideWhenUsed/>
    <w:qFormat/>
    <w:uiPriority w:val="99"/>
    <w:rPr>
      <w:sz w:val="21"/>
      <w:szCs w:val="21"/>
    </w:rPr>
  </w:style>
  <w:style w:type="paragraph" w:customStyle="1" w:styleId="12">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1"/>
    <w:unhideWhenUsed/>
    <w:qFormat/>
    <w:uiPriority w:val="99"/>
    <w:rPr>
      <w:rFonts w:ascii="Times New Roman" w:hAnsi="Times New Roman" w:eastAsia="宋体" w:cs="Times New Roman"/>
      <w:kern w:val="2"/>
      <w:sz w:val="21"/>
      <w:lang w:val="en-US" w:eastAsia="zh-CN" w:bidi="ar-SA"/>
    </w:rPr>
  </w:style>
  <w:style w:type="character" w:customStyle="1" w:styleId="15">
    <w:name w:val="批注框文本 字符"/>
    <w:link w:val="3"/>
    <w:qFormat/>
    <w:uiPriority w:val="0"/>
    <w:rPr>
      <w:rFonts w:ascii="Times New Roman" w:hAnsi="Times New Roman"/>
      <w:kern w:val="2"/>
      <w:sz w:val="18"/>
      <w:szCs w:val="18"/>
    </w:rPr>
  </w:style>
  <w:style w:type="character" w:customStyle="1" w:styleId="16">
    <w:name w:val="页眉 字符"/>
    <w:link w:val="5"/>
    <w:qFormat/>
    <w:uiPriority w:val="0"/>
    <w:rPr>
      <w:rFonts w:ascii="Times New Roman" w:hAnsi="Times New Roman"/>
      <w:kern w:val="2"/>
      <w:sz w:val="18"/>
      <w:szCs w:val="18"/>
    </w:rPr>
  </w:style>
  <w:style w:type="paragraph" w:customStyle="1" w:styleId="17">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12</Pages>
  <Words>16460</Words>
  <Characters>16792</Characters>
  <Lines>122</Lines>
  <Paragraphs>34</Paragraphs>
  <TotalTime>3</TotalTime>
  <ScaleCrop>false</ScaleCrop>
  <LinksUpToDate>false</LinksUpToDate>
  <CharactersWithSpaces>17086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2026-09-04T09:01:40Z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