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5F27" w:rsidRDefault="007060D4">
      <w:pPr>
        <w:widowControl/>
        <w:spacing w:line="480" w:lineRule="auto"/>
        <w:jc w:val="center"/>
        <w:rPr>
          <w:rFonts w:hAnsi="宋体" w:cs="宋体"/>
          <w:b/>
          <w:sz w:val="28"/>
        </w:rPr>
      </w:pPr>
      <w:r>
        <w:rPr>
          <w:rFonts w:hAnsi="宋体" w:cs="宋体" w:hint="eastAsia"/>
          <w:b/>
          <w:sz w:val="28"/>
        </w:rPr>
        <w:t>“金鹿理财</w:t>
      </w:r>
      <w:r>
        <w:rPr>
          <w:rFonts w:hAnsi="宋体" w:cs="宋体" w:hint="eastAsia"/>
          <w:b/>
          <w:sz w:val="28"/>
        </w:rPr>
        <w:t>-</w:t>
      </w:r>
      <w:r>
        <w:rPr>
          <w:rFonts w:hAnsi="宋体" w:cs="宋体" w:hint="eastAsia"/>
          <w:b/>
          <w:sz w:val="28"/>
        </w:rPr>
        <w:t>温盈”</w:t>
      </w:r>
      <w:r>
        <w:rPr>
          <w:rFonts w:hAnsi="宋体" w:cs="宋体" w:hint="eastAsia"/>
          <w:b/>
          <w:sz w:val="28"/>
        </w:rPr>
        <w:t>20040</w:t>
      </w:r>
      <w:r>
        <w:rPr>
          <w:rFonts w:hAnsi="宋体" w:cs="宋体" w:hint="eastAsia"/>
          <w:b/>
          <w:sz w:val="28"/>
        </w:rPr>
        <w:t>号（第</w:t>
      </w:r>
      <w:r>
        <w:rPr>
          <w:rFonts w:hAnsi="宋体" w:cs="宋体" w:hint="eastAsia"/>
          <w:b/>
          <w:sz w:val="28"/>
        </w:rPr>
        <w:t>1</w:t>
      </w:r>
      <w:r>
        <w:rPr>
          <w:rFonts w:hAnsi="宋体" w:cs="宋体" w:hint="eastAsia"/>
          <w:b/>
          <w:sz w:val="28"/>
        </w:rPr>
        <w:t>期</w:t>
      </w:r>
      <w:r>
        <w:rPr>
          <w:rFonts w:hAnsi="宋体" w:cs="宋体" w:hint="eastAsia"/>
          <w:b/>
          <w:sz w:val="28"/>
        </w:rPr>
        <w:t>182</w:t>
      </w:r>
      <w:r>
        <w:rPr>
          <w:rFonts w:hAnsi="宋体" w:cs="宋体" w:hint="eastAsia"/>
          <w:b/>
          <w:sz w:val="28"/>
        </w:rPr>
        <w:t>天）定期开放式净值型银行理财计划投资运作周期到期公告</w:t>
      </w:r>
    </w:p>
    <w:p w:rsidR="00FB5F27" w:rsidRDefault="00FB5F27">
      <w:pPr>
        <w:pStyle w:val="a3"/>
        <w:rPr>
          <w:rFonts w:hAnsi="宋体" w:cs="宋体"/>
        </w:rPr>
      </w:pPr>
    </w:p>
    <w:p w:rsidR="00FB5F27" w:rsidRDefault="007060D4">
      <w:pPr>
        <w:widowControl/>
        <w:adjustRightInd w:val="0"/>
        <w:snapToGrid w:val="0"/>
        <w:spacing w:line="360" w:lineRule="auto"/>
        <w:jc w:val="left"/>
        <w:rPr>
          <w:rFonts w:ascii="宋体" w:eastAsia="宋体" w:hAnsi="宋体" w:cs="宋体"/>
          <w:kern w:val="0"/>
          <w:sz w:val="24"/>
          <w:szCs w:val="24"/>
        </w:rPr>
      </w:pPr>
      <w:r>
        <w:rPr>
          <w:rFonts w:ascii="宋体" w:eastAsia="宋体" w:hAnsi="宋体" w:cs="宋体" w:hint="eastAsia"/>
          <w:kern w:val="0"/>
          <w:sz w:val="24"/>
          <w:szCs w:val="24"/>
        </w:rPr>
        <w:t>尊敬的投资者：</w:t>
      </w:r>
    </w:p>
    <w:p w:rsidR="00FB5F27" w:rsidRDefault="00FB5F27">
      <w:pPr>
        <w:pStyle w:val="a3"/>
        <w:rPr>
          <w:rFonts w:hAnsi="宋体" w:cs="宋体"/>
          <w:kern w:val="0"/>
          <w:sz w:val="24"/>
          <w:szCs w:val="24"/>
        </w:rPr>
      </w:pPr>
    </w:p>
    <w:p w:rsidR="00FB5F27" w:rsidRDefault="007060D4">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本行于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4</w:t>
      </w:r>
      <w:r>
        <w:rPr>
          <w:rFonts w:ascii="宋体" w:eastAsia="宋体" w:hAnsi="宋体" w:cs="宋体" w:hint="eastAsia"/>
          <w:kern w:val="0"/>
          <w:sz w:val="24"/>
          <w:szCs w:val="24"/>
        </w:rPr>
        <w:t>月</w:t>
      </w:r>
      <w:r>
        <w:rPr>
          <w:rFonts w:ascii="宋体" w:eastAsia="宋体" w:hAnsi="宋体" w:cs="宋体" w:hint="eastAsia"/>
          <w:kern w:val="0"/>
          <w:sz w:val="24"/>
          <w:szCs w:val="24"/>
        </w:rPr>
        <w:t>29</w:t>
      </w:r>
      <w:r>
        <w:rPr>
          <w:rFonts w:ascii="宋体" w:eastAsia="宋体" w:hAnsi="宋体" w:cs="宋体" w:hint="eastAsia"/>
          <w:kern w:val="0"/>
          <w:sz w:val="24"/>
          <w:szCs w:val="24"/>
        </w:rPr>
        <w:t>日成立运作的温州银行“金鹿理财</w:t>
      </w:r>
      <w:r>
        <w:rPr>
          <w:rFonts w:ascii="宋体" w:eastAsia="宋体" w:hAnsi="宋体" w:cs="宋体" w:hint="eastAsia"/>
          <w:kern w:val="0"/>
          <w:sz w:val="24"/>
          <w:szCs w:val="24"/>
        </w:rPr>
        <w:t>-</w:t>
      </w:r>
      <w:r>
        <w:rPr>
          <w:rFonts w:ascii="宋体" w:eastAsia="宋体" w:hAnsi="宋体" w:cs="宋体" w:hint="eastAsia"/>
          <w:kern w:val="0"/>
          <w:sz w:val="24"/>
          <w:szCs w:val="24"/>
        </w:rPr>
        <w:t>温盈”</w:t>
      </w:r>
      <w:r>
        <w:rPr>
          <w:rFonts w:ascii="宋体" w:eastAsia="宋体" w:hAnsi="宋体" w:cs="宋体" w:hint="eastAsia"/>
          <w:kern w:val="0"/>
          <w:sz w:val="24"/>
          <w:szCs w:val="24"/>
        </w:rPr>
        <w:t>20040</w:t>
      </w:r>
      <w:r>
        <w:rPr>
          <w:rFonts w:ascii="宋体" w:eastAsia="宋体" w:hAnsi="宋体" w:cs="宋体" w:hint="eastAsia"/>
          <w:kern w:val="0"/>
          <w:sz w:val="24"/>
          <w:szCs w:val="24"/>
        </w:rPr>
        <w:t>号定期开放式净值型银行理财计划（产品编号：</w:t>
      </w:r>
      <w:r>
        <w:rPr>
          <w:rFonts w:ascii="宋体" w:eastAsia="宋体" w:hAnsi="宋体" w:cs="宋体" w:hint="eastAsia"/>
          <w:kern w:val="0"/>
          <w:sz w:val="24"/>
          <w:szCs w:val="24"/>
        </w:rPr>
        <w:t>YJ2040</w:t>
      </w:r>
      <w:r>
        <w:rPr>
          <w:rFonts w:ascii="宋体" w:eastAsia="宋体" w:hAnsi="宋体" w:cs="宋体" w:hint="eastAsia"/>
          <w:kern w:val="0"/>
          <w:sz w:val="24"/>
          <w:szCs w:val="24"/>
        </w:rPr>
        <w:t>）（第</w:t>
      </w:r>
      <w:r>
        <w:rPr>
          <w:rFonts w:ascii="宋体" w:eastAsia="宋体" w:hAnsi="宋体" w:cs="宋体" w:hint="eastAsia"/>
          <w:kern w:val="0"/>
          <w:sz w:val="24"/>
          <w:szCs w:val="24"/>
        </w:rPr>
        <w:t>1</w:t>
      </w:r>
      <w:r>
        <w:rPr>
          <w:rFonts w:ascii="宋体" w:eastAsia="宋体" w:hAnsi="宋体" w:cs="宋体" w:hint="eastAsia"/>
          <w:kern w:val="0"/>
          <w:sz w:val="24"/>
          <w:szCs w:val="24"/>
        </w:rPr>
        <w:t>期</w:t>
      </w:r>
      <w:r>
        <w:rPr>
          <w:rFonts w:ascii="宋体" w:eastAsia="宋体" w:hAnsi="宋体" w:cs="宋体" w:hint="eastAsia"/>
          <w:kern w:val="0"/>
          <w:sz w:val="24"/>
          <w:szCs w:val="24"/>
        </w:rPr>
        <w:t>182</w:t>
      </w:r>
      <w:r>
        <w:rPr>
          <w:rFonts w:ascii="宋体" w:eastAsia="宋体" w:hAnsi="宋体" w:cs="宋体" w:hint="eastAsia"/>
          <w:kern w:val="0"/>
          <w:sz w:val="24"/>
          <w:szCs w:val="24"/>
        </w:rPr>
        <w:t>天）投资运作周期于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28</w:t>
      </w:r>
      <w:r>
        <w:rPr>
          <w:rFonts w:ascii="宋体" w:eastAsia="宋体" w:hAnsi="宋体" w:cs="宋体" w:hint="eastAsia"/>
          <w:kern w:val="0"/>
          <w:sz w:val="24"/>
          <w:szCs w:val="24"/>
        </w:rPr>
        <w:t>日到期清算，本周期内提交赎回申请的理财产品本金及所有投资者的理财产品收益已于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28</w:t>
      </w:r>
      <w:r>
        <w:rPr>
          <w:rFonts w:ascii="宋体" w:eastAsia="宋体" w:hAnsi="宋体" w:cs="宋体" w:hint="eastAsia"/>
          <w:kern w:val="0"/>
          <w:sz w:val="24"/>
          <w:szCs w:val="24"/>
        </w:rPr>
        <w:t>日分配至投资者签约账户。</w:t>
      </w:r>
    </w:p>
    <w:p w:rsidR="00FB5F27" w:rsidRDefault="007060D4">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根据理财产品实际运作情况，同时在扣除相应费用后，本投资运作周期理财产品投资者持有至周期到期的</w:t>
      </w:r>
      <w:r>
        <w:rPr>
          <w:rFonts w:ascii="宋体" w:eastAsia="宋体" w:hAnsi="宋体" w:cs="宋体" w:hint="eastAsia"/>
          <w:kern w:val="0"/>
          <w:sz w:val="24"/>
          <w:szCs w:val="24"/>
        </w:rPr>
        <w:t>实际年化收益率约为</w:t>
      </w:r>
      <w:r>
        <w:rPr>
          <w:rFonts w:ascii="宋体" w:eastAsia="宋体" w:hAnsi="宋体" w:cs="宋体" w:hint="eastAsia"/>
          <w:kern w:val="0"/>
          <w:sz w:val="24"/>
          <w:szCs w:val="24"/>
        </w:rPr>
        <w:t>4.35%</w:t>
      </w:r>
      <w:r>
        <w:rPr>
          <w:rFonts w:ascii="宋体" w:eastAsia="宋体" w:hAnsi="宋体" w:cs="宋体" w:hint="eastAsia"/>
          <w:kern w:val="0"/>
          <w:sz w:val="24"/>
          <w:szCs w:val="24"/>
        </w:rPr>
        <w:t>（年化）。</w:t>
      </w:r>
    </w:p>
    <w:p w:rsidR="00FB5F27" w:rsidRDefault="007060D4">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同时，本次投资运作周期清算在完成收益分配后，本产品在周期清算日的单位净值为</w:t>
      </w:r>
      <w:r>
        <w:rPr>
          <w:rFonts w:ascii="宋体" w:eastAsia="宋体" w:hAnsi="宋体" w:cs="宋体" w:hint="eastAsia"/>
          <w:kern w:val="0"/>
          <w:sz w:val="24"/>
          <w:szCs w:val="24"/>
        </w:rPr>
        <w:t>1.00</w:t>
      </w:r>
      <w:r>
        <w:rPr>
          <w:rFonts w:ascii="宋体" w:eastAsia="宋体" w:hAnsi="宋体" w:cs="宋体" w:hint="eastAsia"/>
          <w:kern w:val="0"/>
          <w:sz w:val="24"/>
          <w:szCs w:val="24"/>
        </w:rPr>
        <w:t>，开放期内提交的申购、赎回交易申请根据该单位净值完成交易确认。在完成周期清算后，产品合计存续份额</w:t>
      </w:r>
      <w:r>
        <w:rPr>
          <w:rFonts w:ascii="宋体" w:eastAsia="宋体" w:hAnsi="宋体" w:cs="宋体" w:hint="eastAsia"/>
          <w:kern w:val="0"/>
          <w:sz w:val="24"/>
          <w:szCs w:val="24"/>
        </w:rPr>
        <w:t>231,675,000.00</w:t>
      </w:r>
      <w:r>
        <w:rPr>
          <w:rFonts w:ascii="宋体" w:eastAsia="宋体" w:hAnsi="宋体" w:cs="宋体" w:hint="eastAsia"/>
          <w:kern w:val="0"/>
          <w:sz w:val="24"/>
          <w:szCs w:val="24"/>
        </w:rPr>
        <w:t>份，并于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28</w:t>
      </w:r>
      <w:r>
        <w:rPr>
          <w:rFonts w:ascii="宋体" w:eastAsia="宋体" w:hAnsi="宋体" w:cs="宋体" w:hint="eastAsia"/>
          <w:kern w:val="0"/>
          <w:sz w:val="24"/>
          <w:szCs w:val="24"/>
        </w:rPr>
        <w:t>日起正式进入“第</w:t>
      </w:r>
      <w:r>
        <w:rPr>
          <w:rFonts w:ascii="宋体" w:eastAsia="宋体" w:hAnsi="宋体" w:cs="宋体" w:hint="eastAsia"/>
          <w:kern w:val="0"/>
          <w:sz w:val="24"/>
          <w:szCs w:val="24"/>
        </w:rPr>
        <w:t>2</w:t>
      </w:r>
      <w:r>
        <w:rPr>
          <w:rFonts w:ascii="宋体" w:eastAsia="宋体" w:hAnsi="宋体" w:cs="宋体" w:hint="eastAsia"/>
          <w:kern w:val="0"/>
          <w:sz w:val="24"/>
          <w:szCs w:val="24"/>
        </w:rPr>
        <w:t>期</w:t>
      </w:r>
      <w:r>
        <w:rPr>
          <w:rFonts w:ascii="宋体" w:eastAsia="宋体" w:hAnsi="宋体" w:cs="宋体" w:hint="eastAsia"/>
          <w:kern w:val="0"/>
          <w:sz w:val="24"/>
          <w:szCs w:val="24"/>
        </w:rPr>
        <w:t>182</w:t>
      </w:r>
      <w:r>
        <w:rPr>
          <w:rFonts w:ascii="宋体" w:eastAsia="宋体" w:hAnsi="宋体" w:cs="宋体" w:hint="eastAsia"/>
          <w:kern w:val="0"/>
          <w:sz w:val="24"/>
          <w:szCs w:val="24"/>
        </w:rPr>
        <w:t>天”投资运作周期进行投资运作</w:t>
      </w:r>
      <w:r w:rsidR="001A5F7F">
        <w:rPr>
          <w:rFonts w:ascii="宋体" w:eastAsia="宋体" w:hAnsi="宋体" w:cs="宋体" w:hint="eastAsia"/>
          <w:kern w:val="0"/>
          <w:sz w:val="24"/>
          <w:szCs w:val="24"/>
        </w:rPr>
        <w:t>，本产品在周期清算日的累计单位净值为1.02179841</w:t>
      </w:r>
      <w:r>
        <w:rPr>
          <w:rFonts w:ascii="宋体" w:eastAsia="宋体" w:hAnsi="宋体" w:cs="宋体" w:hint="eastAsia"/>
          <w:kern w:val="0"/>
          <w:sz w:val="24"/>
          <w:szCs w:val="24"/>
        </w:rPr>
        <w:t>。</w:t>
      </w:r>
    </w:p>
    <w:p w:rsidR="00FB5F27" w:rsidRDefault="007060D4">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详情请咨询温州银行各营业网点或拨打客服热线</w:t>
      </w:r>
      <w:r>
        <w:rPr>
          <w:rFonts w:ascii="宋体" w:eastAsia="宋体" w:hAnsi="宋体" w:cs="宋体" w:hint="eastAsia"/>
          <w:kern w:val="0"/>
          <w:sz w:val="24"/>
          <w:szCs w:val="24"/>
        </w:rPr>
        <w:t>0577-96699</w:t>
      </w:r>
      <w:r>
        <w:rPr>
          <w:rFonts w:ascii="宋体" w:eastAsia="宋体" w:hAnsi="宋体" w:cs="宋体" w:hint="eastAsia"/>
          <w:kern w:val="0"/>
          <w:sz w:val="24"/>
          <w:szCs w:val="24"/>
        </w:rPr>
        <w:t>。</w:t>
      </w:r>
    </w:p>
    <w:p w:rsidR="00FB5F27" w:rsidRDefault="00FB5F27">
      <w:pPr>
        <w:widowControl/>
        <w:adjustRightInd w:val="0"/>
        <w:snapToGrid w:val="0"/>
        <w:spacing w:line="360" w:lineRule="auto"/>
        <w:ind w:firstLineChars="200" w:firstLine="480"/>
        <w:jc w:val="left"/>
        <w:rPr>
          <w:rFonts w:ascii="宋体" w:eastAsia="宋体" w:hAnsi="宋体" w:cs="宋体"/>
          <w:kern w:val="0"/>
          <w:sz w:val="24"/>
          <w:szCs w:val="24"/>
        </w:rPr>
      </w:pPr>
    </w:p>
    <w:p w:rsidR="00FB5F27" w:rsidRDefault="007060D4">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注：根据产品说明书约</w:t>
      </w:r>
      <w:r>
        <w:rPr>
          <w:rFonts w:ascii="宋体" w:eastAsia="宋体" w:hAnsi="宋体" w:cs="宋体" w:hint="eastAsia"/>
          <w:kern w:val="0"/>
          <w:sz w:val="24"/>
          <w:szCs w:val="24"/>
        </w:rPr>
        <w:t>定，本理财产品在投资运作周期清算时收取相应费用如下：</w:t>
      </w:r>
    </w:p>
    <w:p w:rsidR="00FB5F27" w:rsidRDefault="007060D4">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1.</w:t>
      </w:r>
      <w:r>
        <w:rPr>
          <w:rFonts w:ascii="宋体" w:eastAsia="宋体" w:hAnsi="宋体" w:cs="宋体" w:hint="eastAsia"/>
          <w:kern w:val="0"/>
          <w:sz w:val="24"/>
          <w:szCs w:val="24"/>
        </w:rPr>
        <w:t>固定管理费：固定管理费原则上按日计提，逐日累计至每个投资运作周期到期日从理财计划财产中扣除。固定管理费率为</w:t>
      </w:r>
      <w:r>
        <w:rPr>
          <w:rFonts w:ascii="宋体" w:eastAsia="宋体" w:hAnsi="宋体" w:cs="宋体" w:hint="eastAsia"/>
          <w:kern w:val="0"/>
          <w:sz w:val="24"/>
          <w:szCs w:val="24"/>
        </w:rPr>
        <w:t>0.4%</w:t>
      </w:r>
      <w:r>
        <w:rPr>
          <w:rFonts w:ascii="宋体" w:eastAsia="宋体" w:hAnsi="宋体" w:cs="宋体" w:hint="eastAsia"/>
          <w:kern w:val="0"/>
          <w:sz w:val="24"/>
          <w:szCs w:val="24"/>
        </w:rPr>
        <w:t>（年化）。</w:t>
      </w:r>
    </w:p>
    <w:p w:rsidR="00FB5F27" w:rsidRDefault="007060D4">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2.</w:t>
      </w:r>
      <w:r>
        <w:rPr>
          <w:rFonts w:ascii="宋体" w:eastAsia="宋体" w:hAnsi="宋体" w:cs="宋体" w:hint="eastAsia"/>
          <w:kern w:val="0"/>
          <w:sz w:val="24"/>
          <w:szCs w:val="24"/>
        </w:rPr>
        <w:t>托管费：原则上按日计提，逐日累计至每个投资运作周期到期日从理财计划财产中扣除。托管费率为</w:t>
      </w:r>
      <w:r>
        <w:rPr>
          <w:rFonts w:ascii="宋体" w:eastAsia="宋体" w:hAnsi="宋体" w:cs="宋体" w:hint="eastAsia"/>
          <w:kern w:val="0"/>
          <w:sz w:val="24"/>
          <w:szCs w:val="24"/>
        </w:rPr>
        <w:t>0.005%</w:t>
      </w:r>
      <w:r>
        <w:rPr>
          <w:rFonts w:ascii="宋体" w:eastAsia="宋体" w:hAnsi="宋体" w:cs="宋体" w:hint="eastAsia"/>
          <w:kern w:val="0"/>
          <w:sz w:val="24"/>
          <w:szCs w:val="24"/>
        </w:rPr>
        <w:t>（年化）。</w:t>
      </w:r>
    </w:p>
    <w:p w:rsidR="00FB5F27" w:rsidRDefault="007060D4">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3.</w:t>
      </w:r>
      <w:r>
        <w:rPr>
          <w:rFonts w:ascii="宋体" w:eastAsia="宋体" w:hAnsi="宋体" w:cs="宋体" w:hint="eastAsia"/>
          <w:kern w:val="0"/>
          <w:sz w:val="24"/>
          <w:szCs w:val="24"/>
        </w:rPr>
        <w:t>浮动管理费：理财产品资产在扣除托管费、固定管理费后，本理财产品每个投资运作周期内的折合年化收益率超过业绩比较基准的部分管理人提取</w:t>
      </w:r>
      <w:r>
        <w:rPr>
          <w:rFonts w:ascii="宋体" w:eastAsia="宋体" w:hAnsi="宋体" w:cs="宋体" w:hint="eastAsia"/>
          <w:kern w:val="0"/>
          <w:sz w:val="24"/>
          <w:szCs w:val="24"/>
        </w:rPr>
        <w:t>5</w:t>
      </w:r>
      <w:bookmarkStart w:id="0" w:name="_GoBack"/>
      <w:bookmarkEnd w:id="0"/>
      <w:r>
        <w:rPr>
          <w:rFonts w:ascii="宋体" w:eastAsia="宋体" w:hAnsi="宋体" w:cs="宋体" w:hint="eastAsia"/>
          <w:kern w:val="0"/>
          <w:sz w:val="24"/>
          <w:szCs w:val="24"/>
        </w:rPr>
        <w:t>0%</w:t>
      </w:r>
      <w:r>
        <w:rPr>
          <w:rFonts w:ascii="宋体" w:eastAsia="宋体" w:hAnsi="宋体" w:cs="宋体" w:hint="eastAsia"/>
          <w:kern w:val="0"/>
          <w:sz w:val="24"/>
          <w:szCs w:val="24"/>
        </w:rPr>
        <w:t>作为浮动管理费。</w:t>
      </w:r>
    </w:p>
    <w:p w:rsidR="00FB5F27" w:rsidRDefault="00FB5F27">
      <w:pPr>
        <w:pStyle w:val="a3"/>
        <w:rPr>
          <w:rFonts w:hAnsi="宋体" w:cs="宋体"/>
          <w:b/>
          <w:sz w:val="28"/>
        </w:rPr>
      </w:pPr>
    </w:p>
    <w:p w:rsidR="00FB5F27" w:rsidRDefault="007060D4">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t>特此公告！</w:t>
      </w:r>
    </w:p>
    <w:p w:rsidR="00FB5F27" w:rsidRDefault="007060D4">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lastRenderedPageBreak/>
        <w:t>2020</w:t>
      </w:r>
      <w:r>
        <w:rPr>
          <w:rFonts w:ascii="宋体" w:eastAsia="宋体" w:hAnsi="宋体" w:cs="宋体" w:hint="eastAsia"/>
          <w:kern w:val="0"/>
          <w:sz w:val="24"/>
          <w:szCs w:val="24"/>
        </w:rPr>
        <w:t>年</w:t>
      </w:r>
      <w:r>
        <w:rPr>
          <w:rFonts w:ascii="宋体" w:eastAsia="宋体" w:hAnsi="宋体" w:cs="宋体" w:hint="eastAsia"/>
          <w:kern w:val="0"/>
          <w:sz w:val="24"/>
          <w:szCs w:val="24"/>
        </w:rPr>
        <w:t>10</w:t>
      </w:r>
      <w:r>
        <w:rPr>
          <w:rFonts w:ascii="宋体" w:eastAsia="宋体" w:hAnsi="宋体" w:cs="宋体" w:hint="eastAsia"/>
          <w:kern w:val="0"/>
          <w:sz w:val="24"/>
          <w:szCs w:val="24"/>
        </w:rPr>
        <w:t>月</w:t>
      </w:r>
      <w:r>
        <w:rPr>
          <w:rFonts w:ascii="宋体" w:eastAsia="宋体" w:hAnsi="宋体" w:cs="宋体" w:hint="eastAsia"/>
          <w:kern w:val="0"/>
          <w:sz w:val="24"/>
          <w:szCs w:val="24"/>
        </w:rPr>
        <w:t>28</w:t>
      </w:r>
      <w:r>
        <w:rPr>
          <w:rFonts w:ascii="宋体" w:eastAsia="宋体" w:hAnsi="宋体" w:cs="宋体" w:hint="eastAsia"/>
          <w:kern w:val="0"/>
          <w:sz w:val="24"/>
          <w:szCs w:val="24"/>
        </w:rPr>
        <w:t>日</w:t>
      </w:r>
    </w:p>
    <w:sectPr w:rsidR="00FB5F27" w:rsidSect="00FB5F27">
      <w:pgSz w:w="11906" w:h="16838"/>
      <w:pgMar w:top="1440" w:right="1753" w:bottom="1440" w:left="1753"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60D4" w:rsidRDefault="007060D4" w:rsidP="001A5F7F">
      <w:r>
        <w:separator/>
      </w:r>
    </w:p>
  </w:endnote>
  <w:endnote w:type="continuationSeparator" w:id="1">
    <w:p w:rsidR="007060D4" w:rsidRDefault="007060D4" w:rsidP="001A5F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60D4" w:rsidRDefault="007060D4" w:rsidP="001A5F7F">
      <w:r>
        <w:separator/>
      </w:r>
    </w:p>
  </w:footnote>
  <w:footnote w:type="continuationSeparator" w:id="1">
    <w:p w:rsidR="007060D4" w:rsidRDefault="007060D4" w:rsidP="001A5F7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E54346"/>
    <w:rsid w:val="000048CD"/>
    <w:rsid w:val="000138A2"/>
    <w:rsid w:val="00044076"/>
    <w:rsid w:val="00055130"/>
    <w:rsid w:val="000A2A5A"/>
    <w:rsid w:val="000D499A"/>
    <w:rsid w:val="000E6E24"/>
    <w:rsid w:val="000F63FE"/>
    <w:rsid w:val="0013318E"/>
    <w:rsid w:val="00147537"/>
    <w:rsid w:val="00147D52"/>
    <w:rsid w:val="00157F91"/>
    <w:rsid w:val="00173DA9"/>
    <w:rsid w:val="001A2978"/>
    <w:rsid w:val="001A503B"/>
    <w:rsid w:val="001A5F7F"/>
    <w:rsid w:val="001B3AB4"/>
    <w:rsid w:val="001C5AE3"/>
    <w:rsid w:val="001D12A2"/>
    <w:rsid w:val="001D6B42"/>
    <w:rsid w:val="00207AF9"/>
    <w:rsid w:val="0023572E"/>
    <w:rsid w:val="00242890"/>
    <w:rsid w:val="00273514"/>
    <w:rsid w:val="00282621"/>
    <w:rsid w:val="002962DC"/>
    <w:rsid w:val="002C146D"/>
    <w:rsid w:val="00313099"/>
    <w:rsid w:val="00365E0D"/>
    <w:rsid w:val="00381FB9"/>
    <w:rsid w:val="00391170"/>
    <w:rsid w:val="00393175"/>
    <w:rsid w:val="003D39FF"/>
    <w:rsid w:val="003D64EF"/>
    <w:rsid w:val="003D7540"/>
    <w:rsid w:val="003F3FE0"/>
    <w:rsid w:val="0040423A"/>
    <w:rsid w:val="00451A98"/>
    <w:rsid w:val="004B2864"/>
    <w:rsid w:val="004B6F80"/>
    <w:rsid w:val="004D50F3"/>
    <w:rsid w:val="004E2ACB"/>
    <w:rsid w:val="004E3146"/>
    <w:rsid w:val="005206EB"/>
    <w:rsid w:val="0056212F"/>
    <w:rsid w:val="0056669F"/>
    <w:rsid w:val="005C28C9"/>
    <w:rsid w:val="005C7F69"/>
    <w:rsid w:val="006535CC"/>
    <w:rsid w:val="00662DDC"/>
    <w:rsid w:val="006B2DF5"/>
    <w:rsid w:val="006D5E34"/>
    <w:rsid w:val="006E1514"/>
    <w:rsid w:val="006F371B"/>
    <w:rsid w:val="007060D4"/>
    <w:rsid w:val="00716B9F"/>
    <w:rsid w:val="00730B40"/>
    <w:rsid w:val="0073797D"/>
    <w:rsid w:val="00787503"/>
    <w:rsid w:val="00794DD0"/>
    <w:rsid w:val="00795FD1"/>
    <w:rsid w:val="007A532A"/>
    <w:rsid w:val="007B16AF"/>
    <w:rsid w:val="007F5BF6"/>
    <w:rsid w:val="0084251A"/>
    <w:rsid w:val="0084502E"/>
    <w:rsid w:val="00893D92"/>
    <w:rsid w:val="008F09A8"/>
    <w:rsid w:val="008F6B8F"/>
    <w:rsid w:val="0090529F"/>
    <w:rsid w:val="00906AF8"/>
    <w:rsid w:val="00915E3F"/>
    <w:rsid w:val="00924324"/>
    <w:rsid w:val="009813DD"/>
    <w:rsid w:val="00994BA9"/>
    <w:rsid w:val="009A0374"/>
    <w:rsid w:val="009A6E1E"/>
    <w:rsid w:val="009B5FCE"/>
    <w:rsid w:val="009C2332"/>
    <w:rsid w:val="00A057DB"/>
    <w:rsid w:val="00A412D7"/>
    <w:rsid w:val="00A44AE3"/>
    <w:rsid w:val="00A9083F"/>
    <w:rsid w:val="00A9222C"/>
    <w:rsid w:val="00A9498F"/>
    <w:rsid w:val="00B02F70"/>
    <w:rsid w:val="00B7192B"/>
    <w:rsid w:val="00BB4716"/>
    <w:rsid w:val="00BC1CAF"/>
    <w:rsid w:val="00BC6242"/>
    <w:rsid w:val="00BD3DF2"/>
    <w:rsid w:val="00C64A52"/>
    <w:rsid w:val="00CC24F5"/>
    <w:rsid w:val="00CD0432"/>
    <w:rsid w:val="00D02856"/>
    <w:rsid w:val="00D454CB"/>
    <w:rsid w:val="00D92CB1"/>
    <w:rsid w:val="00D959B8"/>
    <w:rsid w:val="00D95C83"/>
    <w:rsid w:val="00E2602C"/>
    <w:rsid w:val="00E54336"/>
    <w:rsid w:val="00E54346"/>
    <w:rsid w:val="00E55ABE"/>
    <w:rsid w:val="00E7168B"/>
    <w:rsid w:val="00E7178A"/>
    <w:rsid w:val="00F014F9"/>
    <w:rsid w:val="00F41B00"/>
    <w:rsid w:val="00F465B0"/>
    <w:rsid w:val="00F82C94"/>
    <w:rsid w:val="00FA0D6B"/>
    <w:rsid w:val="00FB5F27"/>
    <w:rsid w:val="00FC71C0"/>
    <w:rsid w:val="00FF3ADF"/>
    <w:rsid w:val="031E3836"/>
    <w:rsid w:val="21B9465F"/>
    <w:rsid w:val="25C5373E"/>
    <w:rsid w:val="2AAE6812"/>
    <w:rsid w:val="374A2275"/>
    <w:rsid w:val="4CA252D1"/>
    <w:rsid w:val="4D8E558F"/>
    <w:rsid w:val="62A2261A"/>
    <w:rsid w:val="74B05F13"/>
    <w:rsid w:val="7DD943E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qFormat="1"/>
    <w:lsdException w:name="HTML Cite" w:qFormat="1"/>
    <w:lsdException w:name="HTML Code" w:qFormat="1"/>
    <w:lsdException w:name="HTML Variable"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5F27"/>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qFormat/>
    <w:rsid w:val="00FB5F27"/>
    <w:rPr>
      <w:rFonts w:ascii="宋体" w:eastAsia="宋体" w:hAnsi="Courier New" w:cs="Courier New"/>
      <w:szCs w:val="21"/>
    </w:rPr>
  </w:style>
  <w:style w:type="paragraph" w:styleId="a4">
    <w:name w:val="footer"/>
    <w:basedOn w:val="a"/>
    <w:link w:val="Char0"/>
    <w:uiPriority w:val="99"/>
    <w:semiHidden/>
    <w:unhideWhenUsed/>
    <w:qFormat/>
    <w:rsid w:val="00FB5F27"/>
    <w:pPr>
      <w:tabs>
        <w:tab w:val="center" w:pos="4153"/>
        <w:tab w:val="right" w:pos="8306"/>
      </w:tabs>
      <w:snapToGrid w:val="0"/>
      <w:jc w:val="left"/>
    </w:pPr>
    <w:rPr>
      <w:sz w:val="18"/>
      <w:szCs w:val="18"/>
    </w:rPr>
  </w:style>
  <w:style w:type="paragraph" w:styleId="a5">
    <w:name w:val="header"/>
    <w:basedOn w:val="a"/>
    <w:link w:val="Char1"/>
    <w:uiPriority w:val="99"/>
    <w:semiHidden/>
    <w:unhideWhenUsed/>
    <w:rsid w:val="00FB5F27"/>
    <w:pPr>
      <w:pBdr>
        <w:bottom w:val="single" w:sz="6" w:space="1" w:color="auto"/>
      </w:pBdr>
      <w:tabs>
        <w:tab w:val="center" w:pos="4153"/>
        <w:tab w:val="right" w:pos="8306"/>
      </w:tabs>
      <w:snapToGrid w:val="0"/>
      <w:jc w:val="center"/>
    </w:pPr>
    <w:rPr>
      <w:sz w:val="18"/>
      <w:szCs w:val="18"/>
    </w:rPr>
  </w:style>
  <w:style w:type="character" w:styleId="a6">
    <w:name w:val="Strong"/>
    <w:basedOn w:val="a0"/>
    <w:uiPriority w:val="22"/>
    <w:qFormat/>
    <w:rsid w:val="00FB5F27"/>
    <w:rPr>
      <w:shd w:val="clear" w:color="auto" w:fill="FFFFFF"/>
    </w:rPr>
  </w:style>
  <w:style w:type="character" w:styleId="a7">
    <w:name w:val="Emphasis"/>
    <w:basedOn w:val="a0"/>
    <w:uiPriority w:val="20"/>
    <w:qFormat/>
    <w:rsid w:val="00FB5F27"/>
  </w:style>
  <w:style w:type="character" w:styleId="HTML">
    <w:name w:val="HTML Definition"/>
    <w:basedOn w:val="a0"/>
    <w:uiPriority w:val="99"/>
    <w:semiHidden/>
    <w:unhideWhenUsed/>
    <w:rsid w:val="00FB5F27"/>
  </w:style>
  <w:style w:type="character" w:styleId="HTML0">
    <w:name w:val="HTML Variable"/>
    <w:basedOn w:val="a0"/>
    <w:uiPriority w:val="99"/>
    <w:semiHidden/>
    <w:unhideWhenUsed/>
    <w:qFormat/>
    <w:rsid w:val="00FB5F27"/>
  </w:style>
  <w:style w:type="character" w:styleId="HTML1">
    <w:name w:val="HTML Code"/>
    <w:basedOn w:val="a0"/>
    <w:uiPriority w:val="99"/>
    <w:semiHidden/>
    <w:unhideWhenUsed/>
    <w:qFormat/>
    <w:rsid w:val="00FB5F27"/>
    <w:rPr>
      <w:rFonts w:ascii="Courier New" w:hAnsi="Courier New"/>
      <w:sz w:val="20"/>
    </w:rPr>
  </w:style>
  <w:style w:type="character" w:styleId="HTML2">
    <w:name w:val="HTML Cite"/>
    <w:basedOn w:val="a0"/>
    <w:uiPriority w:val="99"/>
    <w:semiHidden/>
    <w:unhideWhenUsed/>
    <w:qFormat/>
    <w:rsid w:val="00FB5F27"/>
  </w:style>
  <w:style w:type="character" w:customStyle="1" w:styleId="Char">
    <w:name w:val="纯文本 Char"/>
    <w:basedOn w:val="a0"/>
    <w:link w:val="a3"/>
    <w:uiPriority w:val="99"/>
    <w:qFormat/>
    <w:rsid w:val="00FB5F27"/>
    <w:rPr>
      <w:rFonts w:ascii="宋体" w:eastAsia="宋体" w:hAnsi="Courier New" w:cs="Courier New"/>
      <w:szCs w:val="21"/>
    </w:rPr>
  </w:style>
  <w:style w:type="character" w:customStyle="1" w:styleId="Char1">
    <w:name w:val="页眉 Char"/>
    <w:basedOn w:val="a0"/>
    <w:link w:val="a5"/>
    <w:uiPriority w:val="99"/>
    <w:semiHidden/>
    <w:qFormat/>
    <w:rsid w:val="00FB5F27"/>
    <w:rPr>
      <w:sz w:val="18"/>
      <w:szCs w:val="18"/>
    </w:rPr>
  </w:style>
  <w:style w:type="character" w:customStyle="1" w:styleId="Char0">
    <w:name w:val="页脚 Char"/>
    <w:basedOn w:val="a0"/>
    <w:link w:val="a4"/>
    <w:uiPriority w:val="99"/>
    <w:semiHidden/>
    <w:qFormat/>
    <w:rsid w:val="00FB5F27"/>
    <w:rPr>
      <w:sz w:val="18"/>
      <w:szCs w:val="18"/>
    </w:rPr>
  </w:style>
  <w:style w:type="character" w:customStyle="1" w:styleId="x-tab-strip-text">
    <w:name w:val="x-tab-strip-text"/>
    <w:basedOn w:val="a0"/>
    <w:qFormat/>
    <w:rsid w:val="00FB5F27"/>
    <w:rPr>
      <w:rFonts w:ascii="Tahoma" w:eastAsia="Tahoma" w:hAnsi="Tahoma" w:cs="Tahoma"/>
      <w:color w:val="FFFFFF"/>
      <w:sz w:val="18"/>
      <w:szCs w:val="18"/>
    </w:rPr>
  </w:style>
  <w:style w:type="character" w:customStyle="1" w:styleId="x-tab-strip-text1">
    <w:name w:val="x-tab-strip-text1"/>
    <w:basedOn w:val="a0"/>
    <w:qFormat/>
    <w:rsid w:val="00FB5F27"/>
  </w:style>
  <w:style w:type="character" w:customStyle="1" w:styleId="x-tab-strip-text2">
    <w:name w:val="x-tab-strip-text2"/>
    <w:basedOn w:val="a0"/>
    <w:qFormat/>
    <w:rsid w:val="00FB5F27"/>
  </w:style>
  <w:style w:type="character" w:customStyle="1" w:styleId="x-tab-strip-text3">
    <w:name w:val="x-tab-strip-text3"/>
    <w:basedOn w:val="a0"/>
    <w:qFormat/>
    <w:rsid w:val="00FB5F27"/>
    <w:rPr>
      <w:b/>
      <w:color w:val="0471B4"/>
    </w:rPr>
  </w:style>
  <w:style w:type="character" w:customStyle="1" w:styleId="x-tab-strip-text4">
    <w:name w:val="x-tab-strip-text4"/>
    <w:basedOn w:val="a0"/>
    <w:qFormat/>
    <w:rsid w:val="00FB5F27"/>
  </w:style>
  <w:style w:type="character" w:customStyle="1" w:styleId="x-tab-strip-text5">
    <w:name w:val="x-tab-strip-text5"/>
    <w:basedOn w:val="a0"/>
    <w:qFormat/>
    <w:rsid w:val="00FB5F27"/>
    <w:rPr>
      <w:color w:val="15428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110</Words>
  <Characters>631</Characters>
  <Application>Microsoft Office Word</Application>
  <DocSecurity>0</DocSecurity>
  <Lines>5</Lines>
  <Paragraphs>1</Paragraphs>
  <ScaleCrop>false</ScaleCrop>
  <Company>Sky123.Org</Company>
  <LinksUpToDate>false</LinksUpToDate>
  <CharactersWithSpaces>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陈浩</cp:lastModifiedBy>
  <cp:revision>42</cp:revision>
  <cp:lastPrinted>2020-01-08T03:32:00Z</cp:lastPrinted>
  <dcterms:created xsi:type="dcterms:W3CDTF">2018-10-10T05:47:00Z</dcterms:created>
  <dcterms:modified xsi:type="dcterms:W3CDTF">2020-12-31T09:03:00Z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