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480" w:lineRule="auto"/>
        <w:jc w:val="center"/>
        <w:rPr>
          <w:rFonts w:hint="eastAsia" w:hAnsi="宋体" w:cs="宋体"/>
          <w:b/>
          <w:sz w:val="28"/>
        </w:rPr>
      </w:pPr>
      <w:r>
        <w:rPr>
          <w:rFonts w:hint="eastAsia" w:hAnsi="宋体" w:cs="宋体"/>
          <w:b/>
          <w:sz w:val="28"/>
        </w:rPr>
        <w:t>“金鹿理财-温盈”19046号</w:t>
      </w:r>
      <w:r>
        <w:rPr>
          <w:rFonts w:hint="eastAsia" w:hAnsi="宋体" w:cs="宋体"/>
          <w:b/>
          <w:sz w:val="28"/>
        </w:rPr>
        <w:t>（</w:t>
      </w:r>
      <w:r>
        <w:rPr>
          <w:rFonts w:hint="eastAsia" w:hAnsi="宋体" w:cs="宋体"/>
          <w:b/>
          <w:sz w:val="28"/>
        </w:rPr>
        <w:t>第1期371天</w:t>
      </w:r>
      <w:r>
        <w:rPr>
          <w:rFonts w:hint="eastAsia" w:hAnsi="宋体" w:cs="宋体"/>
          <w:b/>
          <w:sz w:val="28"/>
        </w:rPr>
        <w:t>）定期开放式净值型银行理财计划投资运作周期到期公告</w:t>
      </w:r>
    </w:p>
    <w:p>
      <w:pPr>
        <w:pStyle w:val="2"/>
        <w:rPr>
          <w:rFonts w:hAnsi="宋体" w:cs="宋体"/>
        </w:rPr>
      </w:pPr>
    </w:p>
    <w:p>
      <w:pPr>
        <w:widowControl/>
        <w:adjustRightInd w:val="0"/>
        <w:snapToGrid w:val="0"/>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尊敬的投资者：</w:t>
      </w:r>
    </w:p>
    <w:p>
      <w:pPr>
        <w:pStyle w:val="2"/>
        <w:rPr>
          <w:rFonts w:hint="eastAsia" w:ascii="宋体" w:hAnsi="宋体" w:eastAsia="宋体" w:cs="宋体"/>
          <w:kern w:val="0"/>
          <w:sz w:val="24"/>
          <w:szCs w:val="24"/>
          <w:lang w:val="en-US" w:eastAsia="zh-CN" w:bidi="ar-SA"/>
        </w:rPr>
      </w:pPr>
    </w:p>
    <w:p>
      <w:pPr>
        <w:widowControl/>
        <w:adjustRightInd w:val="0"/>
        <w:snapToGrid w:val="0"/>
        <w:spacing w:line="360" w:lineRule="auto"/>
        <w:ind w:firstLine="480" w:firstLineChars="200"/>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本行于2019年12月25日</w:t>
      </w:r>
      <w:r>
        <w:rPr>
          <w:rFonts w:hint="eastAsia" w:ascii="宋体" w:hAnsi="宋体" w:eastAsia="宋体" w:cs="宋体"/>
          <w:kern w:val="0"/>
          <w:sz w:val="24"/>
          <w:szCs w:val="24"/>
          <w:lang w:val="en-US" w:eastAsia="zh-CN" w:bidi="ar-SA"/>
        </w:rPr>
        <w:t>成立运作的温州银行“金鹿理财-温盈”19046号</w:t>
      </w:r>
      <w:r>
        <w:rPr>
          <w:rFonts w:hint="eastAsia" w:ascii="宋体" w:hAnsi="宋体" w:eastAsia="宋体" w:cs="宋体"/>
          <w:kern w:val="0"/>
          <w:sz w:val="24"/>
          <w:szCs w:val="24"/>
          <w:lang w:val="en-US" w:eastAsia="zh-CN" w:bidi="ar-SA"/>
        </w:rPr>
        <w:t>定期开放式净值型银行理财计划（产品编号：YJ1046</w:t>
      </w:r>
      <w:r>
        <w:rPr>
          <w:rFonts w:hint="eastAsia" w:ascii="宋体" w:hAnsi="宋体" w:eastAsia="宋体" w:cs="宋体"/>
          <w:kern w:val="0"/>
          <w:sz w:val="24"/>
          <w:szCs w:val="24"/>
          <w:lang w:val="en-US" w:eastAsia="zh-CN" w:bidi="ar-SA"/>
        </w:rPr>
        <w:t>）（第1期371天</w:t>
      </w:r>
      <w:r>
        <w:rPr>
          <w:rFonts w:hint="eastAsia" w:ascii="宋体" w:hAnsi="宋体" w:eastAsia="宋体" w:cs="宋体"/>
          <w:kern w:val="0"/>
          <w:sz w:val="24"/>
          <w:szCs w:val="24"/>
          <w:lang w:val="en-US" w:eastAsia="zh-CN" w:bidi="ar-SA"/>
        </w:rPr>
        <w:t>）投资运作周期于2020年12月30日</w:t>
      </w:r>
      <w:r>
        <w:rPr>
          <w:rFonts w:hint="eastAsia" w:ascii="宋体" w:hAnsi="宋体" w:eastAsia="宋体" w:cs="宋体"/>
          <w:kern w:val="0"/>
          <w:sz w:val="24"/>
          <w:szCs w:val="24"/>
          <w:lang w:val="en-US" w:eastAsia="zh-CN" w:bidi="ar-SA"/>
        </w:rPr>
        <w:t>到期清算，本周期内提交赎回申请的理财产品本金及所有投资者的理财产品收益已于2020年12月30日</w:t>
      </w:r>
      <w:r>
        <w:rPr>
          <w:rFonts w:hint="eastAsia" w:ascii="宋体" w:hAnsi="宋体" w:eastAsia="宋体" w:cs="宋体"/>
          <w:kern w:val="0"/>
          <w:sz w:val="24"/>
          <w:szCs w:val="24"/>
          <w:lang w:val="en-US" w:eastAsia="zh-CN" w:bidi="ar-SA"/>
        </w:rPr>
        <w:t>分配至投资者签约账户。</w:t>
      </w:r>
    </w:p>
    <w:p>
      <w:pPr>
        <w:widowControl/>
        <w:adjustRightInd w:val="0"/>
        <w:snapToGrid w:val="0"/>
        <w:spacing w:line="360" w:lineRule="auto"/>
        <w:ind w:firstLine="480" w:firstLineChars="200"/>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根据理财产品实际运作情况，同时在扣除相应费用后，本投资运作周期理财产品投资者持有至周期到期的实际年化收益率约为4.79%（年化）。</w:t>
      </w:r>
    </w:p>
    <w:p>
      <w:pPr>
        <w:widowControl/>
        <w:adjustRightInd w:val="0"/>
        <w:snapToGrid w:val="0"/>
        <w:spacing w:line="360" w:lineRule="auto"/>
        <w:ind w:firstLine="480" w:firstLineChars="200"/>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同时，本次投资运作周期清算在完成收益分配后，本产品在周期清算日的单位净值为1.00，开放期内提交的申购、赎回交易申请根据该单位净值完成交易确认。在完成周期清算后，产品合计存续份额113,055,000.00</w:t>
      </w:r>
      <w:r>
        <w:rPr>
          <w:rFonts w:hint="eastAsia" w:ascii="宋体" w:hAnsi="宋体" w:eastAsia="宋体" w:cs="宋体"/>
          <w:kern w:val="0"/>
          <w:sz w:val="24"/>
          <w:szCs w:val="24"/>
          <w:lang w:val="en-US" w:eastAsia="zh-CN" w:bidi="ar-SA"/>
        </w:rPr>
        <w:t>份，并于2020年12月30日</w:t>
      </w:r>
      <w:r>
        <w:rPr>
          <w:rFonts w:hint="eastAsia" w:ascii="宋体" w:hAnsi="宋体" w:eastAsia="宋体" w:cs="宋体"/>
          <w:kern w:val="0"/>
          <w:sz w:val="24"/>
          <w:szCs w:val="24"/>
          <w:lang w:val="en-US" w:eastAsia="zh-CN" w:bidi="ar-SA"/>
        </w:rPr>
        <w:t>起正式进入“第2期371天</w:t>
      </w:r>
      <w:r>
        <w:rPr>
          <w:rFonts w:hint="eastAsia" w:ascii="宋体" w:hAnsi="宋体" w:eastAsia="宋体" w:cs="宋体"/>
          <w:kern w:val="0"/>
          <w:sz w:val="24"/>
          <w:szCs w:val="24"/>
          <w:lang w:val="en-US" w:eastAsia="zh-CN" w:bidi="ar-SA"/>
        </w:rPr>
        <w:t>”投资运作周期进行投资运作，本产品在周期清算日的累计单位净值为1.04871425。</w:t>
      </w:r>
    </w:p>
    <w:p>
      <w:pPr>
        <w:widowControl/>
        <w:adjustRightInd w:val="0"/>
        <w:snapToGrid w:val="0"/>
        <w:spacing w:line="360" w:lineRule="auto"/>
        <w:ind w:firstLine="480" w:firstLineChars="200"/>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详情请咨询温州银行各营业网点或拨打客服热线0577-96699。</w:t>
      </w:r>
    </w:p>
    <w:p>
      <w:pPr>
        <w:widowControl/>
        <w:adjustRightInd w:val="0"/>
        <w:snapToGrid w:val="0"/>
        <w:spacing w:line="360" w:lineRule="auto"/>
        <w:ind w:firstLine="480" w:firstLineChars="200"/>
        <w:jc w:val="left"/>
        <w:rPr>
          <w:rFonts w:hint="eastAsia" w:ascii="宋体" w:hAnsi="宋体" w:eastAsia="宋体" w:cs="宋体"/>
          <w:kern w:val="0"/>
          <w:sz w:val="24"/>
          <w:szCs w:val="24"/>
          <w:lang w:val="en-US" w:eastAsia="zh-CN" w:bidi="ar-SA"/>
        </w:rPr>
      </w:pPr>
    </w:p>
    <w:p>
      <w:pPr>
        <w:widowControl/>
        <w:adjustRightInd w:val="0"/>
        <w:snapToGrid w:val="0"/>
        <w:spacing w:line="360" w:lineRule="auto"/>
        <w:ind w:firstLine="480" w:firstLineChars="200"/>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注：根据产品说明书约定，本理财产品在投资运作周期清算时收取相应费用如下：</w:t>
      </w:r>
    </w:p>
    <w:p>
      <w:pPr>
        <w:widowControl/>
        <w:adjustRightInd w:val="0"/>
        <w:snapToGrid w:val="0"/>
        <w:spacing w:line="360" w:lineRule="auto"/>
        <w:ind w:firstLine="480" w:firstLineChars="200"/>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1.固定管理费：固定管理费原则上按日计提，逐日累计至每个投资运作周期到期日从理财计划财产中扣除。固定管理费率为0.45%（年化）。</w:t>
      </w:r>
    </w:p>
    <w:p>
      <w:pPr>
        <w:widowControl/>
        <w:adjustRightInd w:val="0"/>
        <w:snapToGrid w:val="0"/>
        <w:spacing w:line="360" w:lineRule="auto"/>
        <w:ind w:firstLine="480" w:firstLineChars="200"/>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2.托管费：原则上按日计提，逐日累计至每个投资运作周期到期日从理财计划财产中扣除。托管费率为0.005%（年化）。</w:t>
      </w:r>
    </w:p>
    <w:p>
      <w:pPr>
        <w:widowControl/>
        <w:adjustRightInd w:val="0"/>
        <w:snapToGrid w:val="0"/>
        <w:spacing w:line="360" w:lineRule="auto"/>
        <w:ind w:firstLine="480" w:firstLineChars="200"/>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3.浮动管理费：理财产品资产在扣除托管费、固定管理费后，本理财产品每个投资运作周期内的折合年化收益率超过业绩比较基准的部分管理人提取30%作为浮动管理费。</w:t>
      </w:r>
    </w:p>
    <w:p>
      <w:pPr>
        <w:widowControl/>
        <w:adjustRightInd w:val="0"/>
        <w:snapToGrid w:val="0"/>
        <w:spacing w:line="360" w:lineRule="auto"/>
        <w:ind w:firstLine="480" w:firstLineChars="200"/>
        <w:jc w:val="left"/>
        <w:rPr>
          <w:rFonts w:hint="eastAsia" w:ascii="宋体" w:hAnsi="宋体" w:eastAsia="宋体" w:cs="宋体"/>
          <w:kern w:val="0"/>
          <w:sz w:val="24"/>
          <w:szCs w:val="24"/>
          <w:lang w:val="en-US" w:eastAsia="zh-CN" w:bidi="ar-SA"/>
        </w:rPr>
      </w:pPr>
    </w:p>
    <w:p>
      <w:pPr>
        <w:widowControl/>
        <w:adjustRightInd w:val="0"/>
        <w:snapToGrid w:val="0"/>
        <w:spacing w:line="360" w:lineRule="auto"/>
        <w:ind w:firstLine="480" w:firstLineChars="200"/>
        <w:jc w:val="right"/>
        <w:rPr>
          <w:rFonts w:hint="eastAsia" w:ascii="宋体" w:hAnsi="宋体" w:eastAsia="宋体" w:cs="宋体"/>
          <w:kern w:val="0"/>
          <w:sz w:val="24"/>
          <w:szCs w:val="24"/>
          <w:lang w:val="en-US" w:eastAsia="zh-CN" w:bidi="ar-SA"/>
        </w:rPr>
      </w:pPr>
      <w:bookmarkStart w:id="0" w:name="_GoBack"/>
      <w:r>
        <w:rPr>
          <w:rFonts w:hint="eastAsia" w:ascii="宋体" w:hAnsi="宋体" w:eastAsia="宋体" w:cs="宋体"/>
          <w:kern w:val="0"/>
          <w:sz w:val="24"/>
          <w:szCs w:val="24"/>
          <w:lang w:val="en-US" w:eastAsia="zh-CN" w:bidi="ar-SA"/>
        </w:rPr>
        <w:t>特此公告！</w:t>
      </w:r>
    </w:p>
    <w:p>
      <w:pPr>
        <w:widowControl/>
        <w:adjustRightInd w:val="0"/>
        <w:snapToGrid w:val="0"/>
        <w:spacing w:line="360" w:lineRule="auto"/>
        <w:ind w:firstLine="480" w:firstLineChars="200"/>
        <w:jc w:val="righ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2020年12月30日</w:t>
      </w:r>
    </w:p>
    <w:bookmarkEnd w:id="0"/>
    <w:sectPr>
      <w:pgSz w:w="11906" w:h="16838"/>
      <w:pgMar w:top="1440" w:right="1753" w:bottom="1440" w:left="175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346"/>
    <w:rsid w:val="000048CD"/>
    <w:rsid w:val="000138A2"/>
    <w:rsid w:val="00044076"/>
    <w:rsid w:val="00055130"/>
    <w:rsid w:val="000A2A5A"/>
    <w:rsid w:val="000D499A"/>
    <w:rsid w:val="000E6E24"/>
    <w:rsid w:val="000F63FE"/>
    <w:rsid w:val="0013318E"/>
    <w:rsid w:val="00147537"/>
    <w:rsid w:val="00147D52"/>
    <w:rsid w:val="00157F91"/>
    <w:rsid w:val="00173DA9"/>
    <w:rsid w:val="001A2978"/>
    <w:rsid w:val="001A503B"/>
    <w:rsid w:val="001B3AB4"/>
    <w:rsid w:val="001C5AE3"/>
    <w:rsid w:val="001D12A2"/>
    <w:rsid w:val="001D6B42"/>
    <w:rsid w:val="00207AF9"/>
    <w:rsid w:val="0023572E"/>
    <w:rsid w:val="00242890"/>
    <w:rsid w:val="00273514"/>
    <w:rsid w:val="00282621"/>
    <w:rsid w:val="002962DC"/>
    <w:rsid w:val="002C146D"/>
    <w:rsid w:val="00313099"/>
    <w:rsid w:val="00365E0D"/>
    <w:rsid w:val="00381FB9"/>
    <w:rsid w:val="00391170"/>
    <w:rsid w:val="00393175"/>
    <w:rsid w:val="003D39FF"/>
    <w:rsid w:val="003D64EF"/>
    <w:rsid w:val="003D7540"/>
    <w:rsid w:val="003F3FE0"/>
    <w:rsid w:val="0040423A"/>
    <w:rsid w:val="00451A98"/>
    <w:rsid w:val="004B2864"/>
    <w:rsid w:val="004B6F80"/>
    <w:rsid w:val="004D50F3"/>
    <w:rsid w:val="004E2ACB"/>
    <w:rsid w:val="004E3146"/>
    <w:rsid w:val="005206EB"/>
    <w:rsid w:val="0056212F"/>
    <w:rsid w:val="0056669F"/>
    <w:rsid w:val="005C28C9"/>
    <w:rsid w:val="005C7F69"/>
    <w:rsid w:val="006535CC"/>
    <w:rsid w:val="00662DDC"/>
    <w:rsid w:val="006B2DF5"/>
    <w:rsid w:val="006D5E34"/>
    <w:rsid w:val="006E1514"/>
    <w:rsid w:val="006F371B"/>
    <w:rsid w:val="00716B9F"/>
    <w:rsid w:val="00730B40"/>
    <w:rsid w:val="0073797D"/>
    <w:rsid w:val="00787503"/>
    <w:rsid w:val="00794DD0"/>
    <w:rsid w:val="00795FD1"/>
    <w:rsid w:val="007A532A"/>
    <w:rsid w:val="007B16AF"/>
    <w:rsid w:val="007F5BF6"/>
    <w:rsid w:val="0084251A"/>
    <w:rsid w:val="0084502E"/>
    <w:rsid w:val="00893D92"/>
    <w:rsid w:val="008F09A8"/>
    <w:rsid w:val="008F6B8F"/>
    <w:rsid w:val="0090529F"/>
    <w:rsid w:val="00906AF8"/>
    <w:rsid w:val="00915E3F"/>
    <w:rsid w:val="00924324"/>
    <w:rsid w:val="009813DD"/>
    <w:rsid w:val="00994BA9"/>
    <w:rsid w:val="009A0374"/>
    <w:rsid w:val="009A6E1E"/>
    <w:rsid w:val="009B5FCE"/>
    <w:rsid w:val="009C2332"/>
    <w:rsid w:val="00A057DB"/>
    <w:rsid w:val="00A412D7"/>
    <w:rsid w:val="00A44AE3"/>
    <w:rsid w:val="00A9083F"/>
    <w:rsid w:val="00A9222C"/>
    <w:rsid w:val="00A9498F"/>
    <w:rsid w:val="00B02F70"/>
    <w:rsid w:val="00B7192B"/>
    <w:rsid w:val="00BB4716"/>
    <w:rsid w:val="00BC1CAF"/>
    <w:rsid w:val="00BC6242"/>
    <w:rsid w:val="00BD3DF2"/>
    <w:rsid w:val="00C64A52"/>
    <w:rsid w:val="00CC24F5"/>
    <w:rsid w:val="00CD0432"/>
    <w:rsid w:val="00D02856"/>
    <w:rsid w:val="00D454CB"/>
    <w:rsid w:val="00D92CB1"/>
    <w:rsid w:val="00D959B8"/>
    <w:rsid w:val="00D95C83"/>
    <w:rsid w:val="00E2602C"/>
    <w:rsid w:val="00E54336"/>
    <w:rsid w:val="00E54346"/>
    <w:rsid w:val="00E55ABE"/>
    <w:rsid w:val="00E7168B"/>
    <w:rsid w:val="00E7178A"/>
    <w:rsid w:val="00F014F9"/>
    <w:rsid w:val="00F41B00"/>
    <w:rsid w:val="00F465B0"/>
    <w:rsid w:val="00F82C94"/>
    <w:rsid w:val="00FA0D6B"/>
    <w:rsid w:val="00FC71C0"/>
    <w:rsid w:val="00FF3ADF"/>
    <w:rsid w:val="031E3836"/>
    <w:rsid w:val="0C771BC5"/>
    <w:rsid w:val="17E30428"/>
    <w:rsid w:val="21B9465F"/>
    <w:rsid w:val="2AAE6812"/>
    <w:rsid w:val="2BFB495B"/>
    <w:rsid w:val="2C156930"/>
    <w:rsid w:val="2CDC4D6B"/>
    <w:rsid w:val="33717FA0"/>
    <w:rsid w:val="3376037C"/>
    <w:rsid w:val="339E7858"/>
    <w:rsid w:val="34EF4330"/>
    <w:rsid w:val="374A2275"/>
    <w:rsid w:val="3B17520D"/>
    <w:rsid w:val="3EDF196E"/>
    <w:rsid w:val="4A666A8E"/>
    <w:rsid w:val="4CA252D1"/>
    <w:rsid w:val="4D8E558F"/>
    <w:rsid w:val="59F757C5"/>
    <w:rsid w:val="5A0826D6"/>
    <w:rsid w:val="5A4261E7"/>
    <w:rsid w:val="5C115BF5"/>
    <w:rsid w:val="629E6426"/>
    <w:rsid w:val="62A2261A"/>
    <w:rsid w:val="6E622235"/>
    <w:rsid w:val="7241352B"/>
    <w:rsid w:val="74B05F13"/>
    <w:rsid w:val="7CF35D76"/>
    <w:rsid w:val="7DD943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qFormat="1" w:uiPriority="99" w:name="HTML Cite"/>
    <w:lsdException w:qFormat="1" w:uiPriority="99" w:name="HTML Code"/>
    <w:lsdException w:qFormat="1" w:uiPriority="99" w:name="HTML Definition"/>
    <w:lsdException w:uiPriority="99" w:name="HTML Keyboard"/>
    <w:lsdException w:uiPriority="99" w:name="HTML Preformatted"/>
    <w:lsdException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12">
    <w:name w:val="Normal Table"/>
    <w:semiHidden/>
    <w:unhideWhenUsed/>
    <w:qFormat/>
    <w:uiPriority w:val="99"/>
    <w:tblPr>
      <w:tblLayout w:type="fixed"/>
      <w:tblCellMar>
        <w:top w:w="0" w:type="dxa"/>
        <w:left w:w="108" w:type="dxa"/>
        <w:bottom w:w="0" w:type="dxa"/>
        <w:right w:w="108" w:type="dxa"/>
      </w:tblCellMar>
    </w:tblPr>
  </w:style>
  <w:style w:type="paragraph" w:styleId="2">
    <w:name w:val="Plain Text"/>
    <w:basedOn w:val="1"/>
    <w:link w:val="13"/>
    <w:unhideWhenUsed/>
    <w:qFormat/>
    <w:uiPriority w:val="99"/>
    <w:rPr>
      <w:rFonts w:ascii="宋体" w:hAnsi="Courier New" w:eastAsia="宋体" w:cs="Courier New"/>
      <w:szCs w:val="21"/>
    </w:rPr>
  </w:style>
  <w:style w:type="paragraph" w:styleId="3">
    <w:name w:val="footer"/>
    <w:basedOn w:val="1"/>
    <w:link w:val="15"/>
    <w:semiHidden/>
    <w:unhideWhenUsed/>
    <w:qFormat/>
    <w:uiPriority w:val="99"/>
    <w:pPr>
      <w:tabs>
        <w:tab w:val="center" w:pos="4153"/>
        <w:tab w:val="right" w:pos="8306"/>
      </w:tabs>
      <w:snapToGrid w:val="0"/>
      <w:jc w:val="left"/>
    </w:pPr>
    <w:rPr>
      <w:sz w:val="18"/>
      <w:szCs w:val="18"/>
    </w:rPr>
  </w:style>
  <w:style w:type="paragraph" w:styleId="4">
    <w:name w:val="header"/>
    <w:basedOn w:val="1"/>
    <w:link w:val="14"/>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Strong"/>
    <w:basedOn w:val="5"/>
    <w:qFormat/>
    <w:uiPriority w:val="22"/>
    <w:rPr>
      <w:shd w:val="clear" w:fill="FFFFFF"/>
    </w:rPr>
  </w:style>
  <w:style w:type="character" w:styleId="7">
    <w:name w:val="Emphasis"/>
    <w:basedOn w:val="5"/>
    <w:qFormat/>
    <w:uiPriority w:val="20"/>
  </w:style>
  <w:style w:type="character" w:styleId="8">
    <w:name w:val="HTML Definition"/>
    <w:basedOn w:val="5"/>
    <w:semiHidden/>
    <w:unhideWhenUsed/>
    <w:qFormat/>
    <w:uiPriority w:val="99"/>
  </w:style>
  <w:style w:type="character" w:styleId="9">
    <w:name w:val="HTML Variable"/>
    <w:basedOn w:val="5"/>
    <w:semiHidden/>
    <w:unhideWhenUsed/>
    <w:qFormat/>
    <w:uiPriority w:val="99"/>
  </w:style>
  <w:style w:type="character" w:styleId="10">
    <w:name w:val="HTML Code"/>
    <w:basedOn w:val="5"/>
    <w:semiHidden/>
    <w:unhideWhenUsed/>
    <w:qFormat/>
    <w:uiPriority w:val="99"/>
    <w:rPr>
      <w:rFonts w:ascii="Courier New" w:hAnsi="Courier New"/>
      <w:sz w:val="20"/>
    </w:rPr>
  </w:style>
  <w:style w:type="character" w:styleId="11">
    <w:name w:val="HTML Cite"/>
    <w:basedOn w:val="5"/>
    <w:semiHidden/>
    <w:unhideWhenUsed/>
    <w:qFormat/>
    <w:uiPriority w:val="99"/>
  </w:style>
  <w:style w:type="character" w:customStyle="1" w:styleId="13">
    <w:name w:val="纯文本 Char"/>
    <w:basedOn w:val="5"/>
    <w:link w:val="2"/>
    <w:qFormat/>
    <w:uiPriority w:val="99"/>
    <w:rPr>
      <w:rFonts w:ascii="宋体" w:hAnsi="Courier New" w:eastAsia="宋体" w:cs="Courier New"/>
      <w:szCs w:val="21"/>
    </w:rPr>
  </w:style>
  <w:style w:type="character" w:customStyle="1" w:styleId="14">
    <w:name w:val="页眉 Char"/>
    <w:basedOn w:val="5"/>
    <w:link w:val="4"/>
    <w:semiHidden/>
    <w:qFormat/>
    <w:uiPriority w:val="99"/>
    <w:rPr>
      <w:sz w:val="18"/>
      <w:szCs w:val="18"/>
    </w:rPr>
  </w:style>
  <w:style w:type="character" w:customStyle="1" w:styleId="15">
    <w:name w:val="页脚 Char"/>
    <w:basedOn w:val="5"/>
    <w:link w:val="3"/>
    <w:semiHidden/>
    <w:qFormat/>
    <w:uiPriority w:val="99"/>
    <w:rPr>
      <w:sz w:val="18"/>
      <w:szCs w:val="18"/>
    </w:rPr>
  </w:style>
  <w:style w:type="character" w:customStyle="1" w:styleId="16">
    <w:name w:val="x-tab-strip-text"/>
    <w:basedOn w:val="5"/>
    <w:qFormat/>
    <w:uiPriority w:val="0"/>
    <w:rPr>
      <w:rFonts w:ascii="Tahoma" w:hAnsi="Tahoma" w:eastAsia="Tahoma" w:cs="Tahoma"/>
      <w:color w:val="FFFFFF"/>
      <w:sz w:val="18"/>
      <w:szCs w:val="18"/>
    </w:rPr>
  </w:style>
  <w:style w:type="character" w:customStyle="1" w:styleId="17">
    <w:name w:val="x-tab-strip-text1"/>
    <w:basedOn w:val="5"/>
    <w:qFormat/>
    <w:uiPriority w:val="0"/>
  </w:style>
  <w:style w:type="character" w:customStyle="1" w:styleId="18">
    <w:name w:val="x-tab-strip-text2"/>
    <w:basedOn w:val="5"/>
    <w:qFormat/>
    <w:uiPriority w:val="0"/>
  </w:style>
  <w:style w:type="character" w:customStyle="1" w:styleId="19">
    <w:name w:val="x-tab-strip-text3"/>
    <w:basedOn w:val="5"/>
    <w:qFormat/>
    <w:uiPriority w:val="0"/>
    <w:rPr>
      <w:b/>
      <w:color w:val="0471B4"/>
    </w:rPr>
  </w:style>
  <w:style w:type="character" w:customStyle="1" w:styleId="20">
    <w:name w:val="x-tab-strip-text4"/>
    <w:basedOn w:val="5"/>
    <w:qFormat/>
    <w:uiPriority w:val="0"/>
  </w:style>
  <w:style w:type="character" w:customStyle="1" w:styleId="21">
    <w:name w:val="x-tab-strip-text5"/>
    <w:basedOn w:val="5"/>
    <w:qFormat/>
    <w:uiPriority w:val="0"/>
    <w:rPr>
      <w:color w:val="15428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1</Pages>
  <Words>105</Words>
  <Characters>604</Characters>
  <Lines>5</Lines>
  <Paragraphs>1</Paragraphs>
  <TotalTime>1</TotalTime>
  <ScaleCrop>false</ScaleCrop>
  <LinksUpToDate>false</LinksUpToDate>
  <CharactersWithSpaces>708</CharactersWithSpaces>
  <Application>WPS Office_10.8.2.7027_F1E327BC-269C-435d-A152-05C5408002CA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2018-10-10T05:47:00Z</dcterms:created>
  <dc:creator>admin</dc:creator>
  <cp:lastModifiedBy>全夏夏</cp:lastModifiedBy>
  <cp:lastPrinted>2020-01-08T03:32:00Z</cp:lastPrinted>
  <dcterms:modified xsi:type="dcterms:W3CDTF">2020-12-31T11:04:16Z</dcterms:modified>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