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before="156" w:beforeLines="50"/>
        <w:jc w:val="center"/>
        <w:rPr>
          <w:rFonts w:ascii="楷体" w:hAnsi="楷体" w:eastAsia="楷体" w:cs="楷体"/>
          <w:b/>
          <w:bCs/>
          <w:color w:val="000000"/>
          <w:kern w:val="0"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  <w:t>“</w:t>
      </w:r>
      <w:r>
        <w:rPr>
          <w:rFonts w:ascii="楷体" w:hAnsi="楷体" w:eastAsia="楷体"/>
          <w:b/>
          <w:sz w:val="36"/>
          <w:szCs w:val="36"/>
        </w:rPr>
        <w:t>苏银理财恒源周开放1号</w:t>
      </w: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  <w:t>”</w:t>
      </w:r>
    </w:p>
    <w:p>
      <w:pPr>
        <w:widowControl/>
        <w:spacing w:after="156" w:afterLines="50"/>
        <w:jc w:val="center"/>
        <w:rPr>
          <w:rFonts w:ascii="楷体" w:hAnsi="楷体" w:eastAsia="楷体" w:cs="楷体"/>
          <w:color w:val="000000"/>
          <w:kern w:val="0"/>
          <w:sz w:val="24"/>
          <w:szCs w:val="24"/>
        </w:rPr>
      </w:pP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  <w:t>理财产品开放期公告</w:t>
      </w:r>
    </w:p>
    <w:p>
      <w:pPr>
        <w:widowControl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尊敬的客户：</w:t>
      </w:r>
    </w:p>
    <w:p>
      <w:pPr>
        <w:widowControl/>
        <w:ind w:firstLine="540" w:firstLineChars="200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“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苏银理财恒源周开放1号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”已于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2024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年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6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月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13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日开放确认，管理人使用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2024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年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6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月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12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日的份额单位净值对各份额的申购/赎回申请进行确认。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2024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年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6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月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12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日净值信息如下：</w:t>
      </w:r>
    </w:p>
    <w:tbl>
      <w:tblPr>
        <w:tblStyle w:val="8"/>
        <w:tblW w:w="856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87"/>
        <w:gridCol w:w="3005"/>
        <w:gridCol w:w="1984"/>
        <w:gridCol w:w="198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87" w:type="dxa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销售代码</w:t>
            </w:r>
          </w:p>
        </w:tc>
        <w:tc>
          <w:tcPr>
            <w:tcW w:w="3005" w:type="dxa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销售简称</w:t>
            </w:r>
          </w:p>
        </w:tc>
        <w:tc>
          <w:tcPr>
            <w:tcW w:w="1984" w:type="dxa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单位净值</w:t>
            </w:r>
          </w:p>
        </w:tc>
        <w:tc>
          <w:tcPr>
            <w:tcW w:w="1984" w:type="dxa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累计单位净值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8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J172411SA799</w:t>
            </w:r>
          </w:p>
        </w:tc>
        <w:tc>
          <w:tcPr>
            <w:tcW w:w="300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ascii="楷体" w:hAnsi="楷体" w:eastAsia="楷体" w:cs="楷体"/>
              </w:rPr>
              <w:t>苏银理财恒源周开放1号</w:t>
            </w:r>
            <w:r>
              <w:rPr>
                <w:rFonts w:hint="eastAsia" w:ascii="楷体" w:hAnsi="楷体" w:eastAsia="楷体" w:cs="楷体"/>
                <w:lang w:val="en-US" w:eastAsia="zh-CN"/>
              </w:rPr>
              <w:t>A</w:t>
            </w:r>
          </w:p>
        </w:tc>
        <w:tc>
          <w:tcPr>
            <w:tcW w:w="198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eastAsia="楷体" w:cs="楷体"/>
              </w:rPr>
              <w:t>1.277145</w:t>
            </w:r>
          </w:p>
        </w:tc>
        <w:tc>
          <w:tcPr>
            <w:tcW w:w="198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eastAsia="楷体" w:cs="楷体"/>
              </w:rPr>
              <w:t>1.277145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8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J172411SA79B</w:t>
            </w:r>
          </w:p>
        </w:tc>
        <w:tc>
          <w:tcPr>
            <w:tcW w:w="300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  <w:lang w:eastAsia="zh-CN"/>
              </w:rPr>
            </w:pPr>
            <w:r>
              <w:rPr>
                <w:rFonts w:ascii="楷体" w:hAnsi="楷体" w:eastAsia="楷体" w:cs="楷体"/>
              </w:rPr>
              <w:t>苏银理财恒源周开放1号</w:t>
            </w:r>
            <w:r>
              <w:rPr>
                <w:rFonts w:hint="eastAsia" w:ascii="楷体" w:hAnsi="楷体" w:eastAsia="楷体" w:cs="楷体"/>
                <w:lang w:val="en-US" w:eastAsia="zh-CN"/>
              </w:rPr>
              <w:t>DF</w:t>
            </w:r>
          </w:p>
        </w:tc>
        <w:tc>
          <w:tcPr>
            <w:tcW w:w="198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eastAsia="楷体" w:cs="楷体"/>
              </w:rPr>
              <w:t>1.277185</w:t>
            </w:r>
          </w:p>
        </w:tc>
        <w:tc>
          <w:tcPr>
            <w:tcW w:w="198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eastAsia="楷体" w:cs="楷体"/>
              </w:rPr>
              <w:t>1.277185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8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J172411SA79C</w:t>
            </w:r>
          </w:p>
        </w:tc>
        <w:tc>
          <w:tcPr>
            <w:tcW w:w="300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苏银理财恒源周开放1号D</w:t>
            </w:r>
          </w:p>
        </w:tc>
        <w:tc>
          <w:tcPr>
            <w:tcW w:w="198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eastAsia="楷体" w:cs="楷体"/>
              </w:rPr>
              <w:t>1.280798</w:t>
            </w:r>
          </w:p>
        </w:tc>
        <w:tc>
          <w:tcPr>
            <w:tcW w:w="198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eastAsia="楷体" w:cs="楷体"/>
              </w:rPr>
              <w:t>1.280798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8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J02479</w:t>
            </w:r>
          </w:p>
        </w:tc>
        <w:tc>
          <w:tcPr>
            <w:tcW w:w="300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苏银理财恒源周开放1号E</w:t>
            </w:r>
          </w:p>
        </w:tc>
        <w:tc>
          <w:tcPr>
            <w:tcW w:w="198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eastAsia="楷体" w:cs="楷体"/>
              </w:rPr>
              <w:t>1.280428</w:t>
            </w:r>
          </w:p>
        </w:tc>
        <w:tc>
          <w:tcPr>
            <w:tcW w:w="198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eastAsia="楷体" w:cs="楷体"/>
              </w:rPr>
              <w:t>1.280428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8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J01995</w:t>
            </w:r>
          </w:p>
        </w:tc>
        <w:tc>
          <w:tcPr>
            <w:tcW w:w="300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苏银理财恒源周开放1号F</w:t>
            </w:r>
          </w:p>
        </w:tc>
        <w:tc>
          <w:tcPr>
            <w:tcW w:w="198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eastAsia="楷体" w:cs="楷体"/>
              </w:rPr>
              <w:t>1.277021</w:t>
            </w:r>
          </w:p>
        </w:tc>
        <w:tc>
          <w:tcPr>
            <w:tcW w:w="198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eastAsia="楷体" w:cs="楷体"/>
              </w:rPr>
              <w:t>1.277021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8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J02462</w:t>
            </w:r>
          </w:p>
        </w:tc>
        <w:tc>
          <w:tcPr>
            <w:tcW w:w="300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苏银理财恒源周开放1号G</w:t>
            </w:r>
          </w:p>
        </w:tc>
        <w:tc>
          <w:tcPr>
            <w:tcW w:w="198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eastAsia="楷体" w:cs="楷体"/>
              </w:rPr>
              <w:t>1.278539</w:t>
            </w:r>
          </w:p>
        </w:tc>
        <w:tc>
          <w:tcPr>
            <w:tcW w:w="198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eastAsia="楷体" w:cs="楷体"/>
              </w:rPr>
              <w:t>1.278539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8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J02568</w:t>
            </w:r>
          </w:p>
        </w:tc>
        <w:tc>
          <w:tcPr>
            <w:tcW w:w="300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bookmarkStart w:id="0" w:name="_GoBack"/>
            <w:r>
              <w:rPr>
                <w:rFonts w:ascii="楷体" w:hAnsi="楷体" w:eastAsia="楷体" w:cs="楷体"/>
              </w:rPr>
              <w:t>苏银理财恒源周开放1号W</w:t>
            </w:r>
            <w:bookmarkEnd w:id="0"/>
          </w:p>
        </w:tc>
        <w:tc>
          <w:tcPr>
            <w:tcW w:w="198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eastAsia="楷体" w:cs="楷体"/>
              </w:rPr>
              <w:t>1.276845</w:t>
            </w:r>
          </w:p>
        </w:tc>
        <w:tc>
          <w:tcPr>
            <w:tcW w:w="198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eastAsia="楷体" w:cs="楷体"/>
              </w:rPr>
              <w:t>1.276845</w:t>
            </w:r>
          </w:p>
        </w:tc>
      </w:tr>
    </w:tbl>
    <w:p>
      <w:pPr>
        <w:widowControl/>
        <w:ind w:firstLine="540" w:firstLineChars="200"/>
        <w:jc w:val="left"/>
        <w:rPr>
          <w:rFonts w:hint="eastAsia" w:ascii="楷体" w:hAnsi="楷体" w:eastAsia="楷体" w:cs="楷体"/>
          <w:color w:val="000000"/>
          <w:kern w:val="0"/>
          <w:sz w:val="20"/>
          <w:szCs w:val="20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各份额业绩表现如下：</w:t>
      </w:r>
    </w:p>
    <w:tbl>
      <w:tblPr>
        <w:tblStyle w:val="8"/>
        <w:tblW w:w="8615" w:type="dxa"/>
        <w:jc w:val="center"/>
        <w:tblBorders>
          <w:top w:val="single" w:color="000000" w:sz="0" w:space="0"/>
          <w:left w:val="single" w:color="000000" w:sz="0" w:space="0"/>
          <w:bottom w:val="single" w:color="000000" w:sz="0" w:space="0"/>
          <w:right w:val="single" w:color="000000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00"/>
        <w:gridCol w:w="3247"/>
        <w:gridCol w:w="2668"/>
      </w:tblGrid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3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2662A2" w:fill="auto"/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销售代码</w:t>
            </w:r>
          </w:p>
        </w:tc>
        <w:tc>
          <w:tcPr>
            <w:tcW w:w="3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2662A2" w:fill="auto"/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销售简称</w:t>
            </w:r>
          </w:p>
        </w:tc>
        <w:tc>
          <w:tcPr>
            <w:tcW w:w="2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2662A2" w:fill="auto"/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上一投资周期收益率（年化）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J172411SA799</w:t>
            </w:r>
          </w:p>
        </w:tc>
        <w:tc>
          <w:tcPr>
            <w:tcW w:w="324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ascii="楷体" w:hAnsi="楷体" w:eastAsia="楷体" w:cs="楷体"/>
              </w:rPr>
              <w:t>苏银理财恒源周开放1号</w:t>
            </w:r>
            <w:r>
              <w:rPr>
                <w:rFonts w:hint="eastAsia" w:ascii="楷体" w:hAnsi="楷体" w:eastAsia="楷体" w:cs="楷体"/>
                <w:lang w:val="en-US" w:eastAsia="zh-CN"/>
              </w:rPr>
              <w:t>A</w:t>
            </w:r>
          </w:p>
        </w:tc>
        <w:tc>
          <w:tcPr>
            <w:tcW w:w="266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2.28%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J172411SA79B</w:t>
            </w:r>
          </w:p>
        </w:tc>
        <w:tc>
          <w:tcPr>
            <w:tcW w:w="324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ascii="楷体" w:hAnsi="楷体" w:eastAsia="楷体" w:cs="楷体"/>
              </w:rPr>
              <w:t>苏银理财恒源周开放1号</w:t>
            </w:r>
            <w:r>
              <w:rPr>
                <w:rFonts w:hint="eastAsia" w:ascii="楷体" w:hAnsi="楷体" w:eastAsia="楷体" w:cs="楷体"/>
                <w:lang w:val="en-US" w:eastAsia="zh-CN"/>
              </w:rPr>
              <w:t>DF</w:t>
            </w:r>
          </w:p>
        </w:tc>
        <w:tc>
          <w:tcPr>
            <w:tcW w:w="266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2.32%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J172411SA79C</w:t>
            </w:r>
          </w:p>
        </w:tc>
        <w:tc>
          <w:tcPr>
            <w:tcW w:w="324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苏银理财恒源周开放1号D</w:t>
            </w:r>
          </w:p>
        </w:tc>
        <w:tc>
          <w:tcPr>
            <w:tcW w:w="266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2.42%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J02479</w:t>
            </w:r>
          </w:p>
        </w:tc>
        <w:tc>
          <w:tcPr>
            <w:tcW w:w="324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苏银理财恒源周开放1号E</w:t>
            </w:r>
          </w:p>
        </w:tc>
        <w:tc>
          <w:tcPr>
            <w:tcW w:w="266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2.53%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J01995</w:t>
            </w:r>
          </w:p>
        </w:tc>
        <w:tc>
          <w:tcPr>
            <w:tcW w:w="324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苏银理财恒源周开放1号F</w:t>
            </w:r>
          </w:p>
        </w:tc>
        <w:tc>
          <w:tcPr>
            <w:tcW w:w="266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2.27%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J02462</w:t>
            </w:r>
          </w:p>
        </w:tc>
        <w:tc>
          <w:tcPr>
            <w:tcW w:w="324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苏银理财恒源周开放1号G</w:t>
            </w:r>
          </w:p>
        </w:tc>
        <w:tc>
          <w:tcPr>
            <w:tcW w:w="266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2.37%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J02568</w:t>
            </w:r>
          </w:p>
        </w:tc>
        <w:tc>
          <w:tcPr>
            <w:tcW w:w="324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苏银理财恒源周开放1号W</w:t>
            </w:r>
          </w:p>
        </w:tc>
        <w:tc>
          <w:tcPr>
            <w:tcW w:w="266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2.17%</w:t>
            </w:r>
          </w:p>
        </w:tc>
      </w:tr>
    </w:tbl>
    <w:p>
      <w:pPr>
        <w:widowControl/>
        <w:spacing w:line="0" w:lineRule="atLeast"/>
        <w:jc w:val="left"/>
        <w:rPr>
          <w:rFonts w:hint="eastAsia" w:ascii="楷体" w:hAnsi="楷体" w:eastAsia="楷体" w:cs="楷体"/>
          <w:color w:val="000000"/>
          <w:kern w:val="0"/>
          <w:sz w:val="20"/>
          <w:szCs w:val="20"/>
        </w:rPr>
      </w:pPr>
    </w:p>
    <w:p>
      <w:pPr>
        <w:widowControl/>
        <w:spacing w:line="0" w:lineRule="atLeast"/>
        <w:jc w:val="left"/>
        <w:rPr>
          <w:rFonts w:hint="eastAsia" w:ascii="楷体" w:hAnsi="楷体" w:eastAsia="楷体" w:cs="楷体"/>
          <w:color w:val="000000"/>
          <w:kern w:val="0"/>
          <w:sz w:val="20"/>
          <w:szCs w:val="20"/>
        </w:rPr>
      </w:pPr>
      <w:r>
        <w:rPr>
          <w:rFonts w:hint="eastAsia" w:ascii="楷体" w:hAnsi="楷体" w:eastAsia="楷体" w:cs="楷体"/>
          <w:color w:val="000000"/>
          <w:kern w:val="0"/>
          <w:sz w:val="20"/>
          <w:szCs w:val="20"/>
        </w:rPr>
        <w:t>注：上一投资周期为</w:t>
      </w:r>
      <w:r>
        <w:rPr>
          <w:rFonts w:ascii="楷体" w:hAnsi="楷体" w:eastAsia="楷体" w:cs="楷体"/>
          <w:color w:val="000000"/>
          <w:kern w:val="0"/>
          <w:sz w:val="20"/>
          <w:szCs w:val="20"/>
        </w:rPr>
        <w:t>2024</w:t>
      </w:r>
      <w:r>
        <w:rPr>
          <w:rFonts w:hint="eastAsia" w:ascii="楷体" w:hAnsi="楷体" w:eastAsia="楷体" w:cs="楷体"/>
          <w:color w:val="000000"/>
          <w:kern w:val="0"/>
          <w:sz w:val="20"/>
          <w:szCs w:val="20"/>
        </w:rPr>
        <w:t>年</w:t>
      </w:r>
      <w:r>
        <w:rPr>
          <w:rFonts w:ascii="楷体" w:hAnsi="楷体" w:eastAsia="楷体" w:cs="楷体"/>
          <w:color w:val="000000"/>
          <w:kern w:val="0"/>
          <w:sz w:val="20"/>
          <w:szCs w:val="20"/>
        </w:rPr>
        <w:t>6</w:t>
      </w:r>
      <w:r>
        <w:rPr>
          <w:rFonts w:hint="eastAsia" w:ascii="楷体" w:hAnsi="楷体" w:eastAsia="楷体" w:cs="楷体"/>
          <w:color w:val="000000"/>
          <w:kern w:val="0"/>
          <w:sz w:val="20"/>
          <w:szCs w:val="20"/>
        </w:rPr>
        <w:t>月</w:t>
      </w:r>
      <w:r>
        <w:rPr>
          <w:rFonts w:ascii="楷体" w:hAnsi="楷体" w:eastAsia="楷体" w:cs="楷体"/>
          <w:color w:val="000000"/>
          <w:kern w:val="0"/>
          <w:sz w:val="20"/>
          <w:szCs w:val="20"/>
        </w:rPr>
        <w:t>6</w:t>
      </w:r>
      <w:r>
        <w:rPr>
          <w:rFonts w:hint="eastAsia" w:ascii="楷体" w:hAnsi="楷体" w:eastAsia="楷体" w:cs="楷体"/>
          <w:color w:val="000000"/>
          <w:kern w:val="0"/>
          <w:sz w:val="20"/>
          <w:szCs w:val="20"/>
        </w:rPr>
        <w:t>日-</w:t>
      </w:r>
      <w:r>
        <w:rPr>
          <w:rFonts w:ascii="楷体" w:hAnsi="楷体" w:eastAsia="楷体" w:cs="楷体"/>
          <w:color w:val="000000"/>
          <w:kern w:val="0"/>
          <w:sz w:val="20"/>
          <w:szCs w:val="20"/>
        </w:rPr>
        <w:t>2024</w:t>
      </w:r>
      <w:r>
        <w:rPr>
          <w:rFonts w:hint="eastAsia" w:ascii="楷体" w:hAnsi="楷体" w:eastAsia="楷体" w:cs="楷体"/>
          <w:color w:val="000000"/>
          <w:kern w:val="0"/>
          <w:sz w:val="20"/>
          <w:szCs w:val="20"/>
        </w:rPr>
        <w:t>年</w:t>
      </w:r>
      <w:r>
        <w:rPr>
          <w:rFonts w:ascii="楷体" w:hAnsi="楷体" w:eastAsia="楷体" w:cs="楷体"/>
          <w:color w:val="000000"/>
          <w:kern w:val="0"/>
          <w:sz w:val="20"/>
          <w:szCs w:val="20"/>
        </w:rPr>
        <w:t>6</w:t>
      </w:r>
      <w:r>
        <w:rPr>
          <w:rFonts w:hint="eastAsia" w:ascii="楷体" w:hAnsi="楷体" w:eastAsia="楷体" w:cs="楷体"/>
          <w:color w:val="000000"/>
          <w:kern w:val="0"/>
          <w:sz w:val="20"/>
          <w:szCs w:val="20"/>
        </w:rPr>
        <w:t>月</w:t>
      </w:r>
      <w:r>
        <w:rPr>
          <w:rFonts w:ascii="楷体" w:hAnsi="楷体" w:eastAsia="楷体" w:cs="楷体"/>
          <w:color w:val="000000"/>
          <w:kern w:val="0"/>
          <w:sz w:val="20"/>
          <w:szCs w:val="20"/>
        </w:rPr>
        <w:t>12</w:t>
      </w:r>
      <w:r>
        <w:rPr>
          <w:rFonts w:hint="eastAsia" w:ascii="楷体" w:hAnsi="楷体" w:eastAsia="楷体" w:cs="楷体"/>
          <w:color w:val="000000"/>
          <w:kern w:val="0"/>
          <w:sz w:val="20"/>
          <w:szCs w:val="20"/>
        </w:rPr>
        <w:t>日。</w:t>
      </w:r>
    </w:p>
    <w:p>
      <w:pPr>
        <w:widowControl/>
        <w:ind w:firstLine="540" w:firstLineChars="200"/>
        <w:jc w:val="lef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过往业绩仅供参考，不代表未来表现，不等于理财产品实际收益，投资须谨慎。</w:t>
      </w:r>
    </w:p>
    <w:p>
      <w:pPr>
        <w:widowControl/>
        <w:ind w:firstLine="540" w:firstLineChars="200"/>
        <w:jc w:val="lef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特此公告。</w:t>
      </w:r>
    </w:p>
    <w:p>
      <w:pPr>
        <w:widowControl/>
        <w:ind w:firstLine="540" w:firstLineChars="200"/>
        <w:jc w:val="righ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苏银理财有限责任公司</w:t>
      </w:r>
    </w:p>
    <w:p>
      <w:pPr>
        <w:widowControl/>
        <w:ind w:firstLine="540" w:firstLineChars="200"/>
        <w:jc w:val="righ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ascii="楷体" w:hAnsi="楷体" w:eastAsia="楷体" w:cs="楷体"/>
          <w:color w:val="000000"/>
          <w:kern w:val="0"/>
          <w:sz w:val="27"/>
          <w:szCs w:val="27"/>
        </w:rPr>
        <w:t>2024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年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6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月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13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日</w:t>
      </w:r>
    </w:p>
    <w:p>
      <w:pPr>
        <w:rPr>
          <w:rFonts w:ascii="楷体" w:hAnsi="楷体" w:eastAsia="楷体" w:cs="楷体"/>
        </w:rPr>
      </w:pPr>
    </w:p>
    <w:p>
      <w:pPr>
        <w:rPr>
          <w:rFonts w:ascii="楷体" w:hAnsi="楷体" w:eastAsia="楷体" w:cs="楷体"/>
        </w:rPr>
      </w:pPr>
      <w:r>
        <w:rPr>
          <w:rFonts w:hint="eastAsia" w:ascii="楷体" w:hAnsi="楷体" w:eastAsia="楷体" w:cs="楷体"/>
        </w:rPr>
        <w:t>备注：本次披露内容解释权归苏银理财所有，不构成任何形式的法律要约或承诺。</w:t>
      </w:r>
    </w:p>
    <w:sectPr>
      <w:headerReference r:id="rId5" w:type="first"/>
      <w:headerReference r:id="rId3" w:type="default"/>
      <w:footerReference r:id="rId6" w:type="default"/>
      <w:headerReference r:id="rId4" w:type="even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jc w:val="center"/>
    </w:pPr>
    <w:r>
      <w:rPr>
        <w:lang w:val="zh-CN"/>
      </w:rPr>
      <w:t xml:space="preserve">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PAGE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1</w:t>
    </w:r>
    <w:r>
      <w:rPr>
        <w:b/>
        <w:bCs/>
        <w:sz w:val="24"/>
        <w:szCs w:val="24"/>
      </w:rPr>
      <w:fldChar w:fldCharType="end"/>
    </w:r>
    <w:r>
      <w:rPr>
        <w:lang w:val="zh-CN"/>
      </w:rPr>
      <w:t xml:space="preserve"> /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NUMPAGES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1</w:t>
    </w:r>
    <w:r>
      <w:rPr>
        <w:b/>
        <w:bCs/>
        <w:sz w:val="24"/>
        <w:szCs w:val="24"/>
      </w:rPr>
      <w:fldChar w:fldCharType="end"/>
    </w:r>
  </w:p>
  <w:p>
    <w:pPr>
      <w:pStyle w:val="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kinsoku w:val="0"/>
      <w:overflowPunct w:val="0"/>
      <w:spacing w:before="0" w:line="320" w:lineRule="exact"/>
      <w:ind w:left="20"/>
      <w:jc w:val="both"/>
      <w:rPr>
        <w:rFonts w:ascii="楷体" w:hAnsi="楷体" w:eastAsia="楷体" w:cs="黑体"/>
        <w:b/>
        <w:spacing w:val="-2"/>
        <w:sz w:val="24"/>
        <w:szCs w:val="24"/>
      </w:rPr>
    </w:pPr>
    <w:r>
      <w:rPr>
        <w:rFonts w:ascii="楷体" w:hAnsi="楷体" w:eastAsia="楷体"/>
        <w:b/>
      </w:rPr>
      <w:pict>
        <v:shape id="WordPictureWatermark367128483" o:spid="_x0000_s4098" o:spt="75" type="#_x0000_t75" style="position:absolute;left:0pt;height:862.85pt;width:1137.35pt;mso-position-horizontal:center;mso-position-horizontal-relative:margin;mso-position-vertical:center;mso-position-vertical-relative:margin;z-index:-251655168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苏银理财"/>
          <o:lock v:ext="edit" aspectratio="t"/>
        </v:shape>
      </w:pict>
    </w:r>
    <w: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3923665</wp:posOffset>
          </wp:positionH>
          <wp:positionV relativeFrom="paragraph">
            <wp:posOffset>-95250</wp:posOffset>
          </wp:positionV>
          <wp:extent cx="1325245" cy="424815"/>
          <wp:effectExtent l="0" t="0" r="8255" b="0"/>
          <wp:wrapSquare wrapText="bothSides"/>
          <wp:docPr id="1" name="图片 1" descr="说明: 说明: C:\Users\JSYH\Desktop\苏银理财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说明: 说明: C:\Users\JSYH\Desktop\苏银理财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25245" cy="424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hint="eastAsia" w:ascii="楷体" w:hAnsi="楷体" w:eastAsia="楷体" w:cs="黑体"/>
        <w:b/>
        <w:bCs/>
        <w:spacing w:val="-2"/>
        <w:sz w:val="24"/>
        <w:szCs w:val="24"/>
      </w:rPr>
      <w:t>理财非存款、产品有风险、投资须谨慎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pict>
        <v:shape id="WordPictureWatermark367128482" o:spid="_x0000_s4099" o:spt="75" type="#_x0000_t75" style="position:absolute;left:0pt;height:862.85pt;width:1137.35pt;mso-position-horizontal:center;mso-position-horizontal-relative:margin;mso-position-vertical:center;mso-position-vertical-relative:margin;z-index:-251656192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苏银理财"/>
          <o:lock v:ext="edit" aspectratio="t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pict>
        <v:shape id="WordPictureWatermark367128481" o:spid="_x0000_s4097" o:spt="75" type="#_x0000_t75" style="position:absolute;left:0pt;height:862.85pt;width:1137.35pt;mso-position-horizontal:center;mso-position-horizontal-relative:margin;mso-position-vertical:center;mso-position-vertical-relative:margin;z-index:-251657216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苏银理财"/>
          <o:lock v:ext="edit" aspectratio="t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mI0ZjE2ZGJmODM3N2NiNDJiYWY5YjdkYWE5MWQwMWMifQ=="/>
  </w:docVars>
  <w:rsids>
    <w:rsidRoot w:val="00C82298"/>
    <w:rsid w:val="00060B3C"/>
    <w:rsid w:val="000C729A"/>
    <w:rsid w:val="00191CA7"/>
    <w:rsid w:val="002010EC"/>
    <w:rsid w:val="00212BF8"/>
    <w:rsid w:val="00246CD5"/>
    <w:rsid w:val="002A12A3"/>
    <w:rsid w:val="002E297E"/>
    <w:rsid w:val="002F4B1C"/>
    <w:rsid w:val="00384393"/>
    <w:rsid w:val="00444F66"/>
    <w:rsid w:val="0053098E"/>
    <w:rsid w:val="0056651E"/>
    <w:rsid w:val="00572614"/>
    <w:rsid w:val="0066652C"/>
    <w:rsid w:val="00676A42"/>
    <w:rsid w:val="006B59C2"/>
    <w:rsid w:val="007C1CB0"/>
    <w:rsid w:val="007D2760"/>
    <w:rsid w:val="00805935"/>
    <w:rsid w:val="00812D85"/>
    <w:rsid w:val="008420B9"/>
    <w:rsid w:val="008626CF"/>
    <w:rsid w:val="008E2898"/>
    <w:rsid w:val="00905588"/>
    <w:rsid w:val="009D169F"/>
    <w:rsid w:val="00A9591A"/>
    <w:rsid w:val="00AE1428"/>
    <w:rsid w:val="00B0267E"/>
    <w:rsid w:val="00BC44F4"/>
    <w:rsid w:val="00C15EF6"/>
    <w:rsid w:val="00C82298"/>
    <w:rsid w:val="00CB3B08"/>
    <w:rsid w:val="00CC1DB4"/>
    <w:rsid w:val="00D12FB8"/>
    <w:rsid w:val="00D14797"/>
    <w:rsid w:val="00D71270"/>
    <w:rsid w:val="00E72933"/>
    <w:rsid w:val="00F82353"/>
    <w:rsid w:val="409A6CA3"/>
    <w:rsid w:val="472332B4"/>
    <w:rsid w:val="479A3771"/>
    <w:rsid w:val="57C85B5B"/>
    <w:rsid w:val="6F00275F"/>
    <w:rsid w:val="73BD3516"/>
    <w:rsid w:val="73F80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semiHidden/>
    <w:unhideWhenUsed/>
    <w:uiPriority w:val="1"/>
  </w:style>
  <w:style w:type="table" w:default="1" w:styleId="8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1"/>
    <w:unhideWhenUsed/>
    <w:qFormat/>
    <w:uiPriority w:val="99"/>
    <w:pPr>
      <w:jc w:val="left"/>
    </w:pPr>
  </w:style>
  <w:style w:type="paragraph" w:styleId="3">
    <w:name w:val="Body Text"/>
    <w:basedOn w:val="1"/>
    <w:link w:val="12"/>
    <w:qFormat/>
    <w:uiPriority w:val="1"/>
    <w:pPr>
      <w:autoSpaceDE w:val="0"/>
      <w:autoSpaceDN w:val="0"/>
      <w:adjustRightInd w:val="0"/>
      <w:spacing w:before="162"/>
      <w:ind w:left="120"/>
      <w:jc w:val="left"/>
    </w:pPr>
    <w:rPr>
      <w:rFonts w:ascii="宋体"/>
      <w:kern w:val="0"/>
      <w:sz w:val="20"/>
      <w:szCs w:val="21"/>
    </w:rPr>
  </w:style>
  <w:style w:type="paragraph" w:styleId="4">
    <w:name w:val="Balloon Text"/>
    <w:basedOn w:val="1"/>
    <w:link w:val="15"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6">
    <w:name w:val="header"/>
    <w:basedOn w:val="1"/>
    <w:link w:val="1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7">
    <w:name w:val="annotation subject"/>
    <w:basedOn w:val="2"/>
    <w:next w:val="2"/>
    <w:link w:val="16"/>
    <w:semiHidden/>
    <w:unhideWhenUsed/>
    <w:qFormat/>
    <w:uiPriority w:val="99"/>
    <w:rPr>
      <w:b/>
      <w:bCs/>
    </w:rPr>
  </w:style>
  <w:style w:type="character" w:styleId="10">
    <w:name w:val="annotation reference"/>
    <w:basedOn w:val="9"/>
    <w:semiHidden/>
    <w:unhideWhenUsed/>
    <w:qFormat/>
    <w:uiPriority w:val="99"/>
    <w:rPr>
      <w:sz w:val="21"/>
      <w:szCs w:val="21"/>
    </w:rPr>
  </w:style>
  <w:style w:type="character" w:customStyle="1" w:styleId="11">
    <w:name w:val="批注文字 字符"/>
    <w:basedOn w:val="9"/>
    <w:link w:val="2"/>
    <w:qFormat/>
    <w:uiPriority w:val="99"/>
    <w:rPr>
      <w:rFonts w:ascii="Times New Roman" w:hAnsi="Times New Roman" w:eastAsia="宋体" w:cs="Times New Roman"/>
    </w:rPr>
  </w:style>
  <w:style w:type="character" w:customStyle="1" w:styleId="12">
    <w:name w:val="正文文本 字符"/>
    <w:basedOn w:val="9"/>
    <w:link w:val="3"/>
    <w:qFormat/>
    <w:uiPriority w:val="1"/>
    <w:rPr>
      <w:rFonts w:ascii="宋体" w:hAnsi="Times New Roman" w:eastAsia="宋体" w:cs="Times New Roman"/>
      <w:kern w:val="0"/>
      <w:sz w:val="20"/>
      <w:szCs w:val="21"/>
    </w:rPr>
  </w:style>
  <w:style w:type="character" w:customStyle="1" w:styleId="13">
    <w:name w:val="页脚 字符"/>
    <w:basedOn w:val="9"/>
    <w:link w:val="5"/>
    <w:qFormat/>
    <w:uiPriority w:val="99"/>
    <w:rPr>
      <w:rFonts w:ascii="Times New Roman" w:hAnsi="Times New Roman" w:eastAsia="宋体" w:cs="Times New Roman"/>
      <w:kern w:val="0"/>
      <w:sz w:val="18"/>
      <w:szCs w:val="18"/>
    </w:rPr>
  </w:style>
  <w:style w:type="character" w:customStyle="1" w:styleId="14">
    <w:name w:val="页眉 字符"/>
    <w:basedOn w:val="9"/>
    <w:link w:val="6"/>
    <w:qFormat/>
    <w:uiPriority w:val="99"/>
    <w:rPr>
      <w:rFonts w:ascii="Times New Roman" w:hAnsi="Times New Roman" w:eastAsia="宋体" w:cs="Times New Roman"/>
      <w:kern w:val="0"/>
      <w:sz w:val="18"/>
      <w:szCs w:val="18"/>
    </w:rPr>
  </w:style>
  <w:style w:type="character" w:customStyle="1" w:styleId="15">
    <w:name w:val="批注框文本 字符"/>
    <w:basedOn w:val="9"/>
    <w:link w:val="4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6">
    <w:name w:val="批注主题 字符"/>
    <w:basedOn w:val="11"/>
    <w:link w:val="7"/>
    <w:semiHidden/>
    <w:qFormat/>
    <w:uiPriority w:val="99"/>
    <w:rPr>
      <w:rFonts w:ascii="Times New Roman" w:hAnsi="Times New Roman" w:eastAsia="宋体" w:cs="Times New Roman"/>
      <w:b/>
      <w:bCs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098"/>
    <customShpInfo spid="_x0000_s4099"/>
    <customShpInfo spid="_x0000_s409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WORKGROUP</Company>
  <Pages>1</Pages>
  <Words>271</Words>
  <Characters>686</Characters>
  <Lines>5</Lines>
  <Paragraphs>1</Paragraphs>
  <TotalTime>1</TotalTime>
  <ScaleCrop>false</ScaleCrop>
  <LinksUpToDate>false</LinksUpToDate>
  <CharactersWithSpaces>687</CharactersWithSpaces>
  <Application>WPS Office_11.8.2.11734_F1E327BC-269C-435d-A152-05C5408002CA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2023-08-01T10:40:00Z</dcterms:created>
  <dc:creator>User</dc:creator>
  <cp:lastModifiedBy>姜秋实</cp:lastModifiedBy>
  <dcterms:modified xsi:type="dcterms:W3CDTF">2024-06-13T00:52:23Z</dcterms:modified>
  <cp:revision>35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2052-11.8.2.11734</vt:lpwstr>
  </property>
  <property fmtid="{D5CDD505-2E9C-101B-9397-08002B2CF9AE}" pid="3" name="ICV">
    <vt:lpwstr>B6DFC727162244C79636D651D7D6EB42</vt:lpwstr>
  </property>
</Properties>
</file>