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<Relationships xmlns="http://schemas.openxmlformats.org/package/2006/relationships"><Relationship Id="rId1" Target="docProps/app.xml" Type="http://schemas.openxmlformats.org/officeDocument/2006/relationships/extended-properties"/><Relationship Id="rId2" Target="docProps/core.xml" Type="http://schemas.openxmlformats.org/package/2006/relationships/metadata/core-properties"/><Relationship Id="rId3" Target="docProps/custom.xml" Type="http://schemas.openxmlformats.org/officeDocument/2006/relationships/custom-properties"/><Relationship Id="rId4" Target="word/document.xml" Type="http://schemas.openxmlformats.org/officeDocument/2006/relationships/officeDocument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before="156" w:beforeLines="50"/>
        <w:jc w:val="center"/>
        <w:rPr>
          <w:rFonts w:ascii="楷体" w:hAnsi="楷体" w:eastAsia="楷体" w:cs="楷体"/>
          <w:b/>
          <w:bCs/>
          <w:color w:val="000000"/>
          <w:kern w:val="0"/>
          <w:sz w:val="32"/>
          <w:szCs w:val="32"/>
        </w:rPr>
      </w:pPr>
      <w:r>
        <w:rPr>
          <w:rFonts w:hint="eastAsia" w:ascii="楷体" w:hAnsi="楷体" w:eastAsia="楷体" w:cs="楷体"/>
          <w:b/>
          <w:bCs/>
          <w:color w:val="000000"/>
          <w:kern w:val="0"/>
          <w:sz w:val="32"/>
          <w:szCs w:val="32"/>
        </w:rPr>
        <w:t>“</w:t>
      </w:r>
      <w:r>
        <w:rPr>
          <w:rFonts w:ascii="楷体" w:hAnsi="楷体" w:eastAsia="楷体"/>
          <w:b/>
          <w:sz w:val="36"/>
          <w:szCs w:val="36"/>
        </w:rPr>
        <w:t/>
      </w:r>
      <w:r>
        <w:rPr>
          <w:rFonts w:hint="eastAsia" w:ascii="楷体" w:hAnsi="楷体" w:eastAsia="楷体"/>
          <w:b/>
          <w:sz w:val="36"/>
          <w:szCs w:val="36"/>
        </w:rPr>
        <w:t/>
      </w:r>
      <w:r>
        <w:rPr>
          <w:rFonts w:ascii="楷体" w:hAnsi="楷体" w:eastAsia="楷体"/>
          <w:b/>
          <w:sz w:val="36"/>
          <w:szCs w:val="36"/>
        </w:rPr>
        <w:t>苏银理财恒源周开放1号</w:t>
      </w:r>
      <w:r>
        <w:rPr>
          <w:rFonts w:hint="eastAsia" w:ascii="楷体" w:hAnsi="楷体" w:eastAsia="楷体" w:cs="楷体"/>
          <w:b/>
          <w:bCs/>
          <w:color w:val="000000"/>
          <w:kern w:val="0"/>
          <w:sz w:val="32"/>
          <w:szCs w:val="32"/>
        </w:rPr>
        <w:t>”</w:t>
      </w:r>
    </w:p>
    <w:p>
      <w:pPr>
        <w:widowControl/>
        <w:spacing w:after="156" w:afterLines="50"/>
        <w:jc w:val="center"/>
        <w:rPr>
          <w:rFonts w:ascii="楷体" w:hAnsi="楷体" w:eastAsia="楷体" w:cs="楷体"/>
          <w:color w:val="000000"/>
          <w:kern w:val="0"/>
          <w:sz w:val="24"/>
          <w:szCs w:val="24"/>
        </w:rPr>
      </w:pPr>
      <w:r>
        <w:rPr>
          <w:rFonts w:hint="eastAsia" w:ascii="楷体" w:hAnsi="楷体" w:eastAsia="楷体" w:cs="楷体"/>
          <w:b/>
          <w:bCs/>
          <w:color w:val="000000"/>
          <w:kern w:val="0"/>
          <w:sz w:val="32"/>
          <w:szCs w:val="32"/>
        </w:rPr>
        <w:t>理财产品开放期公告</w:t>
      </w:r>
    </w:p>
    <w:p>
      <w:pPr>
        <w:widowControl/>
        <w:rPr>
          <w:rFonts w:ascii="楷体" w:hAnsi="楷体" w:eastAsia="楷体" w:cs="楷体"/>
          <w:color w:val="000000"/>
          <w:kern w:val="0"/>
          <w:sz w:val="27"/>
          <w:szCs w:val="27"/>
        </w:rPr>
      </w:pP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尊敬的客户：</w:t>
      </w:r>
    </w:p>
    <w:p>
      <w:pPr>
        <w:widowControl/>
        <w:ind w:firstLine="540" w:firstLineChars="200"/>
        <w:rPr>
          <w:rFonts w:ascii="楷体" w:hAnsi="楷体" w:eastAsia="楷体" w:cs="楷体"/>
          <w:color w:val="000000"/>
          <w:kern w:val="0"/>
          <w:sz w:val="27"/>
          <w:szCs w:val="27"/>
        </w:rPr>
      </w:pP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“</w:t>
      </w:r>
      <w:r>
        <w:rPr>
          <w:rFonts w:ascii="楷体" w:hAnsi="楷体" w:eastAsia="楷体" w:cs="楷体"/>
          <w:color w:val="000000"/>
          <w:kern w:val="0"/>
          <w:sz w:val="27"/>
          <w:szCs w:val="27"/>
        </w:rPr>
        <w:t/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/>
      </w:r>
      <w:r>
        <w:rPr>
          <w:rFonts w:ascii="楷体" w:hAnsi="楷体" w:eastAsia="楷体" w:cs="楷体"/>
          <w:color w:val="000000"/>
          <w:kern w:val="0"/>
          <w:sz w:val="27"/>
          <w:szCs w:val="27"/>
        </w:rPr>
        <w:t>苏银理财恒源周开放1号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”已于</w:t>
      </w:r>
      <w:r>
        <w:rPr>
          <w:rFonts w:ascii="楷体" w:hAnsi="楷体" w:eastAsia="楷体" w:cs="楷体"/>
          <w:color w:val="000000"/>
          <w:kern w:val="0"/>
          <w:sz w:val="27"/>
          <w:szCs w:val="27"/>
        </w:rPr>
        <w:t>2024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年</w:t>
      </w:r>
      <w:r>
        <w:rPr>
          <w:rFonts w:ascii="楷体" w:hAnsi="楷体" w:eastAsia="楷体" w:cs="楷体"/>
          <w:color w:val="000000"/>
          <w:kern w:val="0"/>
          <w:sz w:val="27"/>
          <w:szCs w:val="27"/>
        </w:rPr>
        <w:t>7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月</w:t>
      </w:r>
      <w:r>
        <w:rPr>
          <w:rFonts w:ascii="楷体" w:hAnsi="楷体" w:eastAsia="楷体" w:cs="楷体"/>
          <w:color w:val="000000"/>
          <w:kern w:val="0"/>
          <w:sz w:val="27"/>
          <w:szCs w:val="27"/>
        </w:rPr>
        <w:t>11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日开放确认，管理人使用</w:t>
      </w:r>
      <w:r>
        <w:rPr>
          <w:rFonts w:ascii="楷体" w:hAnsi="楷体" w:eastAsia="楷体" w:cs="楷体"/>
          <w:color w:val="000000"/>
          <w:kern w:val="0"/>
          <w:sz w:val="27"/>
          <w:szCs w:val="27"/>
        </w:rPr>
        <w:t>2024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年</w:t>
      </w:r>
      <w:r>
        <w:rPr>
          <w:rFonts w:ascii="楷体" w:hAnsi="楷体" w:eastAsia="楷体" w:cs="楷体"/>
          <w:color w:val="000000"/>
          <w:kern w:val="0"/>
          <w:sz w:val="27"/>
          <w:szCs w:val="27"/>
        </w:rPr>
        <w:t>7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月</w:t>
      </w:r>
      <w:r>
        <w:rPr>
          <w:rFonts w:ascii="楷体" w:hAnsi="楷体" w:eastAsia="楷体" w:cs="楷体"/>
          <w:color w:val="000000"/>
          <w:kern w:val="0"/>
          <w:sz w:val="27"/>
          <w:szCs w:val="27"/>
        </w:rPr>
        <w:t>10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日的份额单位净值对各份额的申购/赎回申请进行确认。</w:t>
      </w:r>
      <w:r>
        <w:rPr>
          <w:rFonts w:ascii="楷体" w:hAnsi="楷体" w:eastAsia="楷体" w:cs="楷体"/>
          <w:color w:val="000000"/>
          <w:kern w:val="0"/>
          <w:sz w:val="27"/>
          <w:szCs w:val="27"/>
        </w:rPr>
        <w:t>2024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年</w:t>
      </w:r>
      <w:r>
        <w:rPr>
          <w:rFonts w:ascii="楷体" w:hAnsi="楷体" w:eastAsia="楷体" w:cs="楷体"/>
          <w:color w:val="000000"/>
          <w:kern w:val="0"/>
          <w:sz w:val="27"/>
          <w:szCs w:val="27"/>
        </w:rPr>
        <w:t>7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月</w:t>
      </w:r>
      <w:r>
        <w:rPr>
          <w:rFonts w:ascii="楷体" w:hAnsi="楷体" w:eastAsia="楷体" w:cs="楷体"/>
          <w:color w:val="000000"/>
          <w:kern w:val="0"/>
          <w:sz w:val="27"/>
          <w:szCs w:val="27"/>
        </w:rPr>
        <w:t>10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日净值信息如下：</w:t>
      </w:r>
    </w:p>
    <w:tbl>
      <w:tblPr>
        <w:tblStyle w:val="10"/>
        <w:tblW w:w="8560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87"/>
        <w:gridCol w:w="3005"/>
        <w:gridCol w:w="1984"/>
        <w:gridCol w:w="198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87" w:type="dxa"/>
            <w:vAlign w:val="center"/>
          </w:tcPr>
          <w:p>
            <w:pPr>
              <w:widowControl/>
              <w:jc w:val="center"/>
              <w:rPr>
                <w:rFonts w:ascii="楷体" w:hAnsi="楷体" w:eastAsia="楷体" w:cs="楷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  <w:t>销售代码</w:t>
            </w:r>
          </w:p>
        </w:tc>
        <w:tc>
          <w:tcPr>
            <w:tcW w:w="3005" w:type="dxa"/>
            <w:vAlign w:val="center"/>
          </w:tcPr>
          <w:p>
            <w:pPr>
              <w:widowControl/>
              <w:jc w:val="center"/>
              <w:rPr>
                <w:rFonts w:ascii="楷体" w:hAnsi="楷体" w:eastAsia="楷体" w:cs="楷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  <w:t>销售简称</w:t>
            </w:r>
          </w:p>
        </w:tc>
        <w:tc>
          <w:tcPr>
            <w:tcW w:w="1984" w:type="dxa"/>
            <w:vAlign w:val="center"/>
          </w:tcPr>
          <w:p>
            <w:pPr>
              <w:widowControl/>
              <w:jc w:val="center"/>
              <w:rPr>
                <w:rFonts w:ascii="楷体" w:hAnsi="楷体" w:eastAsia="楷体" w:cs="楷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  <w:t>单位净值</w:t>
            </w:r>
          </w:p>
        </w:tc>
        <w:tc>
          <w:tcPr>
            <w:tcW w:w="1984" w:type="dxa"/>
            <w:vAlign w:val="center"/>
          </w:tcPr>
          <w:p>
            <w:pPr>
              <w:widowControl/>
              <w:jc w:val="center"/>
              <w:rPr>
                <w:rFonts w:ascii="楷体" w:hAnsi="楷体" w:eastAsia="楷体" w:cs="楷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  <w:t>累计单位净值</w:t>
            </w:r>
          </w:p>
        </w:tc>
      </w:tr>
      <w:tr>
        <w:trPr>
          <w:jc w:val="center"/>
        </w:trPr>
        <w:tc>
          <w:tcPr>
            <w:tcW w:w="158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J172411SA799</w:t>
            </w:r>
          </w:p>
        </w:tc>
        <w:tc>
          <w:tcPr>
            <w:tcW w:w="300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苏银理财恒源周开放1号A</w:t>
            </w:r>
          </w:p>
        </w:tc>
        <w:tc>
          <w:tcPr>
            <w:tcW w:w="1984" w:type="dxa"/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/>
                <w:szCs w:val="21"/>
              </w:rPr>
            </w:pPr>
            <w:r>
              <w:rPr>
                <w:rFonts w:ascii="楷体" w:hAnsi="楷体" w:cs="楷体" w:eastAsia="楷体"/>
              </w:rPr>
              <w:t>1.279501</w:t>
            </w:r>
          </w:p>
        </w:tc>
        <w:tc>
          <w:tcPr>
            <w:tcW w:w="1984" w:type="dxa"/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/>
                <w:szCs w:val="21"/>
              </w:rPr>
            </w:pPr>
            <w:r>
              <w:rPr>
                <w:rFonts w:ascii="楷体" w:hAnsi="楷体" w:cs="楷体" w:eastAsia="楷体"/>
              </w:rPr>
              <w:t>1.279501</w:t>
            </w:r>
          </w:p>
        </w:tc>
      </w:tr>
      <w:tr>
        <w:trPr>
          <w:jc w:val="center"/>
        </w:trPr>
        <w:tc>
          <w:tcPr>
            <w:tcW w:w="158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J172411SA79C</w:t>
            </w:r>
          </w:p>
        </w:tc>
        <w:tc>
          <w:tcPr>
            <w:tcW w:w="300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苏银理财恒源周开放1号D</w:t>
            </w:r>
          </w:p>
        </w:tc>
        <w:tc>
          <w:tcPr>
            <w:tcW w:w="1984" w:type="dxa"/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/>
                <w:szCs w:val="21"/>
              </w:rPr>
            </w:pPr>
            <w:r>
              <w:rPr>
                <w:rFonts w:ascii="楷体" w:hAnsi="楷体" w:cs="楷体" w:eastAsia="楷体"/>
              </w:rPr>
              <w:t>1.283307</w:t>
            </w:r>
          </w:p>
        </w:tc>
        <w:tc>
          <w:tcPr>
            <w:tcW w:w="1984" w:type="dxa"/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/>
                <w:szCs w:val="21"/>
              </w:rPr>
            </w:pPr>
            <w:r>
              <w:rPr>
                <w:rFonts w:ascii="楷体" w:hAnsi="楷体" w:cs="楷体" w:eastAsia="楷体"/>
              </w:rPr>
              <w:t>1.283307</w:t>
            </w:r>
          </w:p>
        </w:tc>
      </w:tr>
      <w:tr>
        <w:trPr>
          <w:jc w:val="center"/>
        </w:trPr>
        <w:tc>
          <w:tcPr>
            <w:tcW w:w="158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J172411SA79B</w:t>
            </w:r>
          </w:p>
        </w:tc>
        <w:tc>
          <w:tcPr>
            <w:tcW w:w="300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苏银理财恒源周开放1号DF</w:t>
            </w:r>
          </w:p>
        </w:tc>
        <w:tc>
          <w:tcPr>
            <w:tcW w:w="1984" w:type="dxa"/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/>
                <w:szCs w:val="21"/>
              </w:rPr>
            </w:pPr>
            <w:r>
              <w:rPr>
                <w:rFonts w:ascii="楷体" w:hAnsi="楷体" w:cs="楷体" w:eastAsia="楷体"/>
              </w:rPr>
              <w:t>1.279590</w:t>
            </w:r>
          </w:p>
        </w:tc>
        <w:tc>
          <w:tcPr>
            <w:tcW w:w="1984" w:type="dxa"/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/>
                <w:szCs w:val="21"/>
              </w:rPr>
            </w:pPr>
            <w:r>
              <w:rPr>
                <w:rFonts w:ascii="楷体" w:hAnsi="楷体" w:cs="楷体" w:eastAsia="楷体"/>
              </w:rPr>
              <w:t>1.279590</w:t>
            </w:r>
          </w:p>
        </w:tc>
      </w:tr>
      <w:tr>
        <w:trPr>
          <w:jc w:val="center"/>
        </w:trPr>
        <w:tc>
          <w:tcPr>
            <w:tcW w:w="158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J02479</w:t>
            </w:r>
          </w:p>
        </w:tc>
        <w:tc>
          <w:tcPr>
            <w:tcW w:w="300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苏银理财恒源周开放1号E</w:t>
            </w:r>
          </w:p>
        </w:tc>
        <w:tc>
          <w:tcPr>
            <w:tcW w:w="1984" w:type="dxa"/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/>
                <w:szCs w:val="21"/>
              </w:rPr>
            </w:pPr>
            <w:r>
              <w:rPr>
                <w:rFonts w:ascii="楷体" w:hAnsi="楷体" w:cs="楷体" w:eastAsia="楷体"/>
              </w:rPr>
              <w:t>1.283037</w:t>
            </w:r>
          </w:p>
        </w:tc>
        <w:tc>
          <w:tcPr>
            <w:tcW w:w="1984" w:type="dxa"/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/>
                <w:szCs w:val="21"/>
              </w:rPr>
            </w:pPr>
            <w:r>
              <w:rPr>
                <w:rFonts w:ascii="楷体" w:hAnsi="楷体" w:cs="楷体" w:eastAsia="楷体"/>
              </w:rPr>
              <w:t>1.283037</w:t>
            </w:r>
          </w:p>
        </w:tc>
      </w:tr>
      <w:tr>
        <w:trPr>
          <w:jc w:val="center"/>
        </w:trPr>
        <w:tc>
          <w:tcPr>
            <w:tcW w:w="158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J01995</w:t>
            </w:r>
          </w:p>
        </w:tc>
        <w:tc>
          <w:tcPr>
            <w:tcW w:w="300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苏银理财恒源周开放1号F</w:t>
            </w:r>
          </w:p>
        </w:tc>
        <w:tc>
          <w:tcPr>
            <w:tcW w:w="1984" w:type="dxa"/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/>
                <w:szCs w:val="21"/>
              </w:rPr>
            </w:pPr>
            <w:r>
              <w:rPr>
                <w:rFonts w:ascii="楷体" w:hAnsi="楷体" w:cs="楷体" w:eastAsia="楷体"/>
              </w:rPr>
              <w:t>1.279378</w:t>
            </w:r>
          </w:p>
        </w:tc>
        <w:tc>
          <w:tcPr>
            <w:tcW w:w="1984" w:type="dxa"/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/>
                <w:szCs w:val="21"/>
              </w:rPr>
            </w:pPr>
            <w:r>
              <w:rPr>
                <w:rFonts w:ascii="楷体" w:hAnsi="楷体" w:cs="楷体" w:eastAsia="楷体"/>
              </w:rPr>
              <w:t>1.279378</w:t>
            </w:r>
          </w:p>
        </w:tc>
      </w:tr>
      <w:tr>
        <w:trPr>
          <w:jc w:val="center"/>
        </w:trPr>
        <w:tc>
          <w:tcPr>
            <w:tcW w:w="158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J02462</w:t>
            </w:r>
          </w:p>
        </w:tc>
        <w:tc>
          <w:tcPr>
            <w:tcW w:w="300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苏银理财恒源周开放1号G</w:t>
            </w:r>
          </w:p>
        </w:tc>
        <w:tc>
          <w:tcPr>
            <w:tcW w:w="1984" w:type="dxa"/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/>
                <w:szCs w:val="21"/>
              </w:rPr>
            </w:pPr>
            <w:r>
              <w:rPr>
                <w:rFonts w:ascii="楷体" w:hAnsi="楷体" w:cs="楷体" w:eastAsia="楷体"/>
              </w:rPr>
              <w:t>1.280992</w:t>
            </w:r>
          </w:p>
        </w:tc>
        <w:tc>
          <w:tcPr>
            <w:tcW w:w="1984" w:type="dxa"/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/>
                <w:szCs w:val="21"/>
              </w:rPr>
            </w:pPr>
            <w:r>
              <w:rPr>
                <w:rFonts w:ascii="楷体" w:hAnsi="楷体" w:cs="楷体" w:eastAsia="楷体"/>
              </w:rPr>
              <w:t>1.280992</w:t>
            </w:r>
          </w:p>
        </w:tc>
      </w:tr>
      <w:tr>
        <w:trPr>
          <w:jc w:val="center"/>
        </w:trPr>
        <w:tc>
          <w:tcPr>
            <w:tcW w:w="1587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J02568</w:t>
            </w:r>
          </w:p>
        </w:tc>
        <w:tc>
          <w:tcPr>
            <w:tcW w:w="300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苏银理财恒源周开放1号W</w:t>
            </w:r>
          </w:p>
        </w:tc>
        <w:tc>
          <w:tcPr>
            <w:tcW w:w="1984" w:type="dxa"/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/>
                <w:szCs w:val="21"/>
              </w:rPr>
            </w:pPr>
            <w:r>
              <w:rPr>
                <w:rFonts w:ascii="楷体" w:hAnsi="楷体" w:cs="楷体" w:eastAsia="楷体"/>
              </w:rPr>
              <w:t>1.279100</w:t>
            </w:r>
          </w:p>
        </w:tc>
        <w:tc>
          <w:tcPr>
            <w:tcW w:w="1984" w:type="dxa"/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/>
                <w:szCs w:val="21"/>
              </w:rPr>
            </w:pPr>
            <w:r>
              <w:rPr>
                <w:rFonts w:ascii="楷体" w:hAnsi="楷体" w:cs="楷体" w:eastAsia="楷体"/>
              </w:rPr>
              <w:t>1.279100</w:t>
            </w:r>
          </w:p>
        </w:tc>
      </w:tr>
    </w:tbl>
    <w:p>
      <w:pPr>
        <w:widowControl/>
        <w:ind w:firstLine="540" w:firstLineChars="200"/>
        <w:jc w:val="left"/>
        <w:rPr>
          <w:rFonts w:hint="eastAsia" w:ascii="楷体" w:hAnsi="楷体" w:eastAsia="楷体" w:cs="楷体"/>
          <w:color w:val="000000"/>
          <w:kern w:val="0"/>
          <w:sz w:val="20"/>
          <w:szCs w:val="20"/>
        </w:rPr>
      </w:pP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各份额业绩表现如下：</w:t>
      </w:r>
    </w:p>
    <w:tbl>
      <w:tblPr>
        <w:tblStyle w:val="10"/>
        <w:tblW w:w="8615" w:type="dxa"/>
        <w:jc w:val="center"/>
        <w:tblInd w:w="0" w:type="dxa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00"/>
        <w:gridCol w:w="3247"/>
        <w:gridCol w:w="2668"/>
      </w:tblGrid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3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2662A2" w:fill="auto"/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  <w:t>销售代码</w:t>
            </w:r>
          </w:p>
        </w:tc>
        <w:tc>
          <w:tcPr>
            <w:tcW w:w="32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2662A2" w:fill="auto"/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  <w:t>销售简称</w:t>
            </w:r>
          </w:p>
        </w:tc>
        <w:tc>
          <w:tcPr>
            <w:tcW w:w="26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2662A2" w:fill="auto"/>
            <w:tcMar>
              <w:top w:w="9" w:type="dxa"/>
              <w:left w:w="9" w:type="dxa"/>
              <w:right w:w="9" w:type="dxa"/>
            </w:tcMar>
            <w:vAlign w:val="center"/>
          </w:tcPr>
          <w:p>
            <w:pPr>
              <w:widowControl/>
              <w:jc w:val="center"/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kern w:val="0"/>
                <w:szCs w:val="21"/>
              </w:rPr>
              <w:t>上一投资周期收益率（年化）</w:t>
            </w:r>
          </w:p>
        </w:tc>
      </w:tr>
      <w:tr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J172411SA799</w:t>
            </w:r>
          </w:p>
        </w:tc>
        <w:tc>
          <w:tcPr>
            <w:tcW w:w="3247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苏银理财恒源周开放1号A</w:t>
            </w:r>
          </w:p>
        </w:tc>
        <w:tc>
          <w:tcPr>
            <w:tcW w:w="266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2.29%</w:t>
            </w:r>
          </w:p>
        </w:tc>
      </w:tr>
      <w:tr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J172411SA79C</w:t>
            </w:r>
          </w:p>
        </w:tc>
        <w:tc>
          <w:tcPr>
            <w:tcW w:w="3247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苏银理财恒源周开放1号D</w:t>
            </w:r>
          </w:p>
        </w:tc>
        <w:tc>
          <w:tcPr>
            <w:tcW w:w="266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2.43%</w:t>
            </w:r>
          </w:p>
        </w:tc>
      </w:tr>
      <w:tr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J172411SA79B</w:t>
            </w:r>
          </w:p>
        </w:tc>
        <w:tc>
          <w:tcPr>
            <w:tcW w:w="3247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苏银理财恒源周开放1号DF</w:t>
            </w:r>
          </w:p>
        </w:tc>
        <w:tc>
          <w:tcPr>
            <w:tcW w:w="266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2.34%</w:t>
            </w:r>
          </w:p>
        </w:tc>
      </w:tr>
      <w:tr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J02479</w:t>
            </w:r>
          </w:p>
        </w:tc>
        <w:tc>
          <w:tcPr>
            <w:tcW w:w="3247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苏银理财恒源周开放1号E</w:t>
            </w:r>
          </w:p>
        </w:tc>
        <w:tc>
          <w:tcPr>
            <w:tcW w:w="266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2.54%</w:t>
            </w:r>
          </w:p>
        </w:tc>
      </w:tr>
      <w:tr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J01995</w:t>
            </w:r>
          </w:p>
        </w:tc>
        <w:tc>
          <w:tcPr>
            <w:tcW w:w="3247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苏银理财恒源周开放1号F</w:t>
            </w:r>
          </w:p>
        </w:tc>
        <w:tc>
          <w:tcPr>
            <w:tcW w:w="266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2.29%</w:t>
            </w:r>
          </w:p>
        </w:tc>
      </w:tr>
      <w:tr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J02462</w:t>
            </w:r>
          </w:p>
        </w:tc>
        <w:tc>
          <w:tcPr>
            <w:tcW w:w="3247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苏银理财恒源周开放1号G</w:t>
            </w:r>
          </w:p>
        </w:tc>
        <w:tc>
          <w:tcPr>
            <w:tcW w:w="266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2.39%</w:t>
            </w:r>
          </w:p>
        </w:tc>
      </w:tr>
      <w:tr>
        <w:trPr>
          <w:trHeight w:val="170" w:hRule="atLeast"/>
          <w:jc w:val="center"/>
        </w:trPr>
        <w:tc>
          <w:tcPr>
            <w:tcW w:w="2700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J02568</w:t>
            </w:r>
          </w:p>
        </w:tc>
        <w:tc>
          <w:tcPr>
            <w:tcW w:w="3247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top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苏银理财恒源周开放1号W</w:t>
            </w:r>
          </w:p>
        </w:tc>
        <w:tc>
          <w:tcPr>
            <w:tcW w:w="2668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9" w:type="dxa"/>
              <w:left w:w="9" w:type="dxa"/>
              <w:right w:w="9" w:type="dxa"/>
            </w:tcMar>
            <w:vAlign w:val="center"/>
            <w:vAlign w:val="center"/>
          </w:tcPr>
          <w:p>
            <w:pPr>
              <w:widowControl/>
              <w:jc w:val="center"/>
              <w:textAlignment w:val="center"/>
              <w:rPr>
                <w:rFonts w:ascii="楷体" w:hAnsi="楷体" w:eastAsia="楷体" w:cs="楷体"/>
                <w:color w:val="000000"/>
                <w:kern w:val="0"/>
                <w:szCs w:val="21"/>
              </w:rPr>
            </w:pPr>
            <w:r>
              <w:rPr>
                <w:rFonts w:ascii="楷体" w:hAnsi="楷体" w:cs="楷体" w:eastAsia="楷体"/>
              </w:rPr>
              <w:t>2.19%</w:t>
            </w:r>
          </w:p>
        </w:tc>
      </w:tr>
    </w:tbl>
    <w:p>
      <w:pPr>
        <w:widowControl/>
        <w:spacing w:line="0" w:lineRule="atLeast"/>
        <w:jc w:val="left"/>
        <w:rPr>
          <w:rFonts w:hint="eastAsia" w:ascii="楷体" w:hAnsi="楷体" w:eastAsia="楷体" w:cs="楷体"/>
          <w:color w:val="000000"/>
          <w:kern w:val="0"/>
          <w:sz w:val="20"/>
          <w:szCs w:val="20"/>
        </w:rPr>
      </w:pPr>
    </w:p>
    <w:p>
      <w:pPr>
        <w:widowControl/>
        <w:spacing w:line="0" w:lineRule="atLeast"/>
        <w:jc w:val="left"/>
        <w:rPr>
          <w:rFonts w:hint="eastAsia" w:ascii="楷体" w:hAnsi="楷体" w:eastAsia="楷体" w:cs="楷体"/>
          <w:color w:val="000000"/>
          <w:kern w:val="0"/>
          <w:sz w:val="20"/>
          <w:szCs w:val="20"/>
        </w:rPr>
      </w:pPr>
      <w:r>
        <w:rPr>
          <w:rFonts w:hint="eastAsia" w:ascii="楷体" w:hAnsi="楷体" w:eastAsia="楷体" w:cs="楷体"/>
          <w:color w:val="000000"/>
          <w:kern w:val="0"/>
          <w:sz w:val="20"/>
          <w:szCs w:val="20"/>
        </w:rPr>
        <w:t>注：上一投资周期为</w:t>
      </w:r>
      <w:r>
        <w:rPr>
          <w:rFonts w:ascii="楷体" w:hAnsi="楷体" w:eastAsia="楷体" w:cs="楷体"/>
          <w:color w:val="000000"/>
          <w:kern w:val="0"/>
          <w:sz w:val="20"/>
          <w:szCs w:val="20"/>
        </w:rPr>
        <w:t>2024</w:t>
      </w:r>
      <w:r>
        <w:rPr>
          <w:rFonts w:hint="eastAsia" w:ascii="楷体" w:hAnsi="楷体" w:eastAsia="楷体" w:cs="楷体"/>
          <w:color w:val="000000"/>
          <w:kern w:val="0"/>
          <w:sz w:val="20"/>
          <w:szCs w:val="20"/>
        </w:rPr>
        <w:t>年</w:t>
      </w:r>
      <w:r>
        <w:rPr>
          <w:rFonts w:ascii="楷体" w:hAnsi="楷体" w:eastAsia="楷体" w:cs="楷体"/>
          <w:color w:val="000000"/>
          <w:kern w:val="0"/>
          <w:sz w:val="20"/>
          <w:szCs w:val="20"/>
        </w:rPr>
        <w:t>7</w:t>
      </w:r>
      <w:r>
        <w:rPr>
          <w:rFonts w:hint="eastAsia" w:ascii="楷体" w:hAnsi="楷体" w:eastAsia="楷体" w:cs="楷体"/>
          <w:color w:val="000000"/>
          <w:kern w:val="0"/>
          <w:sz w:val="20"/>
          <w:szCs w:val="20"/>
        </w:rPr>
        <w:t>月</w:t>
      </w:r>
      <w:r>
        <w:rPr>
          <w:rFonts w:ascii="楷体" w:hAnsi="楷体" w:eastAsia="楷体" w:cs="楷体"/>
          <w:color w:val="000000"/>
          <w:kern w:val="0"/>
          <w:sz w:val="20"/>
          <w:szCs w:val="20"/>
        </w:rPr>
        <w:t/>
      </w:r>
      <w:r>
        <w:rPr>
          <w:rFonts w:hint="eastAsia" w:ascii="楷体" w:hAnsi="楷体" w:eastAsia="楷体" w:cs="楷体"/>
          <w:color w:val="000000"/>
          <w:kern w:val="0"/>
          <w:sz w:val="20"/>
          <w:szCs w:val="20"/>
        </w:rPr>
        <w:t/>
      </w:r>
      <w:r>
        <w:rPr>
          <w:rFonts w:ascii="楷体" w:hAnsi="楷体" w:eastAsia="楷体" w:cs="楷体"/>
          <w:color w:val="000000"/>
          <w:kern w:val="0"/>
          <w:sz w:val="20"/>
          <w:szCs w:val="20"/>
        </w:rPr>
        <w:t>4</w:t>
      </w:r>
      <w:r>
        <w:rPr>
          <w:rFonts w:hint="eastAsia" w:ascii="楷体" w:hAnsi="楷体" w:eastAsia="楷体" w:cs="楷体"/>
          <w:color w:val="000000"/>
          <w:kern w:val="0"/>
          <w:sz w:val="20"/>
          <w:szCs w:val="20"/>
        </w:rPr>
        <w:t>日-</w:t>
      </w:r>
      <w:r>
        <w:rPr>
          <w:rFonts w:ascii="楷体" w:hAnsi="楷体" w:eastAsia="楷体" w:cs="楷体"/>
          <w:color w:val="000000"/>
          <w:kern w:val="0"/>
          <w:sz w:val="20"/>
          <w:szCs w:val="20"/>
        </w:rPr>
        <w:t>2024</w:t>
      </w:r>
      <w:r>
        <w:rPr>
          <w:rFonts w:hint="eastAsia" w:ascii="楷体" w:hAnsi="楷体" w:eastAsia="楷体" w:cs="楷体"/>
          <w:color w:val="000000"/>
          <w:kern w:val="0"/>
          <w:sz w:val="20"/>
          <w:szCs w:val="20"/>
        </w:rPr>
        <w:t>年</w:t>
      </w:r>
      <w:r>
        <w:rPr>
          <w:rFonts w:ascii="楷体" w:hAnsi="楷体" w:eastAsia="楷体" w:cs="楷体"/>
          <w:color w:val="000000"/>
          <w:kern w:val="0"/>
          <w:sz w:val="20"/>
          <w:szCs w:val="20"/>
        </w:rPr>
        <w:t>7</w:t>
      </w:r>
      <w:r>
        <w:rPr>
          <w:rFonts w:hint="eastAsia" w:ascii="楷体" w:hAnsi="楷体" w:eastAsia="楷体" w:cs="楷体"/>
          <w:color w:val="000000"/>
          <w:kern w:val="0"/>
          <w:sz w:val="20"/>
          <w:szCs w:val="20"/>
        </w:rPr>
        <w:t>月</w:t>
      </w:r>
      <w:r>
        <w:rPr>
          <w:rFonts w:ascii="楷体" w:hAnsi="楷体" w:eastAsia="楷体" w:cs="楷体"/>
          <w:color w:val="000000"/>
          <w:kern w:val="0"/>
          <w:sz w:val="20"/>
          <w:szCs w:val="20"/>
        </w:rPr>
        <w:t/>
      </w:r>
      <w:r>
        <w:rPr>
          <w:rFonts w:hint="eastAsia" w:ascii="楷体" w:hAnsi="楷体" w:eastAsia="楷体" w:cs="楷体"/>
          <w:color w:val="000000"/>
          <w:kern w:val="0"/>
          <w:sz w:val="20"/>
          <w:szCs w:val="20"/>
        </w:rPr>
        <w:t/>
      </w:r>
      <w:r>
        <w:rPr>
          <w:rFonts w:ascii="楷体" w:hAnsi="楷体" w:eastAsia="楷体" w:cs="楷体"/>
          <w:color w:val="000000"/>
          <w:kern w:val="0"/>
          <w:sz w:val="20"/>
          <w:szCs w:val="20"/>
        </w:rPr>
        <w:t>10</w:t>
      </w:r>
      <w:r>
        <w:rPr>
          <w:rFonts w:hint="eastAsia" w:ascii="楷体" w:hAnsi="楷体" w:eastAsia="楷体" w:cs="楷体"/>
          <w:color w:val="000000"/>
          <w:kern w:val="0"/>
          <w:sz w:val="20"/>
          <w:szCs w:val="20"/>
        </w:rPr>
        <w:t>日。</w:t>
      </w:r>
    </w:p>
    <w:p>
      <w:pPr>
        <w:widowControl/>
        <w:ind w:firstLine="540" w:firstLineChars="200"/>
        <w:jc w:val="left"/>
        <w:rPr>
          <w:rFonts w:ascii="楷体" w:hAnsi="楷体" w:eastAsia="楷体" w:cs="楷体"/>
          <w:color w:val="000000"/>
          <w:kern w:val="0"/>
          <w:sz w:val="27"/>
          <w:szCs w:val="27"/>
        </w:rPr>
      </w:pP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过往业绩仅供参考，不代表未来表现，不等于理财产品实际收益，投资须谨慎。</w:t>
      </w:r>
    </w:p>
    <w:p>
      <w:pPr>
        <w:widowControl/>
        <w:ind w:firstLine="540" w:firstLineChars="200"/>
        <w:jc w:val="left"/>
        <w:rPr>
          <w:rFonts w:ascii="楷体" w:hAnsi="楷体" w:eastAsia="楷体" w:cs="楷体"/>
          <w:color w:val="000000"/>
          <w:kern w:val="0"/>
          <w:sz w:val="27"/>
          <w:szCs w:val="27"/>
        </w:rPr>
      </w:pP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特此公告。</w:t>
      </w:r>
    </w:p>
    <w:p>
      <w:pPr>
        <w:widowControl/>
        <w:ind w:firstLine="540" w:firstLineChars="200"/>
        <w:jc w:val="right"/>
        <w:rPr>
          <w:rFonts w:ascii="楷体" w:hAnsi="楷体" w:eastAsia="楷体" w:cs="楷体"/>
          <w:color w:val="000000"/>
          <w:kern w:val="0"/>
          <w:sz w:val="27"/>
          <w:szCs w:val="27"/>
        </w:rPr>
      </w:pP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苏银理财有限责任公司</w:t>
      </w:r>
    </w:p>
    <w:p>
      <w:pPr>
        <w:widowControl/>
        <w:ind w:firstLine="540" w:firstLineChars="200"/>
        <w:jc w:val="right"/>
        <w:rPr>
          <w:rFonts w:ascii="楷体" w:hAnsi="楷体" w:eastAsia="楷体" w:cs="楷体"/>
          <w:color w:val="000000"/>
          <w:kern w:val="0"/>
          <w:sz w:val="27"/>
          <w:szCs w:val="27"/>
        </w:rPr>
      </w:pPr>
      <w:r>
        <w:rPr>
          <w:rFonts w:ascii="楷体" w:hAnsi="楷体" w:eastAsia="楷体" w:cs="楷体"/>
          <w:color w:val="000000"/>
          <w:kern w:val="0"/>
          <w:sz w:val="27"/>
          <w:szCs w:val="27"/>
        </w:rPr>
        <w:t>2024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年</w:t>
      </w:r>
      <w:r>
        <w:rPr>
          <w:rFonts w:ascii="楷体" w:hAnsi="楷体" w:eastAsia="楷体" w:cs="楷体"/>
          <w:color w:val="000000"/>
          <w:kern w:val="0"/>
          <w:sz w:val="27"/>
          <w:szCs w:val="27"/>
        </w:rPr>
        <w:t>7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月</w:t>
      </w:r>
      <w:r>
        <w:rPr>
          <w:rFonts w:ascii="楷体" w:hAnsi="楷体" w:eastAsia="楷体" w:cs="楷体"/>
          <w:color w:val="000000"/>
          <w:kern w:val="0"/>
          <w:sz w:val="27"/>
          <w:szCs w:val="27"/>
        </w:rPr>
        <w:t>11</w:t>
      </w:r>
      <w:r>
        <w:rPr>
          <w:rFonts w:hint="eastAsia" w:ascii="楷体" w:hAnsi="楷体" w:eastAsia="楷体" w:cs="楷体"/>
          <w:color w:val="000000"/>
          <w:kern w:val="0"/>
          <w:sz w:val="27"/>
          <w:szCs w:val="27"/>
        </w:rPr>
        <w:t>日</w:t>
      </w:r>
    </w:p>
    <w:p>
      <w:pPr>
        <w:rPr>
          <w:rFonts w:ascii="楷体" w:hAnsi="楷体" w:eastAsia="楷体" w:cs="楷体"/>
        </w:rPr>
      </w:pPr>
    </w:p>
    <w:p>
      <w:pPr>
        <w:rPr>
          <w:rFonts w:ascii="楷体" w:hAnsi="楷体" w:eastAsia="楷体" w:cs="楷体"/>
        </w:rPr>
      </w:pPr>
      <w:r>
        <w:rPr>
          <w:rFonts w:hint="eastAsia" w:ascii="楷体" w:hAnsi="楷体" w:eastAsia="楷体" w:cs="楷体"/>
        </w:rPr>
        <w:t>备注：本次披露内容解释权归苏银理财所有，不构成任何形式的法律要约或承诺。</w:t>
      </w:r>
    </w:p>
    <w:sectPr>
      <w:headerReference r:id="rId5" w:type="first"/>
      <w:headerReference r:id="rId3" w:type="default"/>
      <w:footerReference r:id="rId6" w:type="default"/>
      <w:headerReference r:id="rId4" w:type="even"/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等线">
    <w:altName w:val="微软雅黑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微软雅黑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微软雅黑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jc w:val="center"/>
    </w:pPr>
    <w:r>
      <w:rPr>
        <w:lang w:val="zh-CN"/>
      </w:rPr>
      <w:t xml:space="preserve">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 xml:space="preserve">PAGE</w:instrText>
    </w:r>
    <w:r>
      <w:rPr>
        <w:b/>
        <w:bCs/>
        <w:sz w:val="24"/>
        <w:szCs w:val="24"/>
      </w:rPr>
      <w:fldChar w:fldCharType="separate"/>
    </w:r>
    <w:r>
      <w:rPr>
        <w:b/>
        <w:bCs/>
      </w:rPr>
      <w:t>1</w:t>
    </w:r>
    <w:r>
      <w:rPr>
        <w:b/>
        <w:bCs/>
        <w:sz w:val="24"/>
        <w:szCs w:val="24"/>
      </w:rPr>
      <w:fldChar w:fldCharType="end"/>
    </w:r>
    <w:r>
      <w:rPr>
        <w:lang w:val="zh-CN"/>
      </w:rPr>
      <w:t xml:space="preserve"> /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 xml:space="preserve">NUMPAGES</w:instrText>
    </w:r>
    <w:r>
      <w:rPr>
        <w:b/>
        <w:bCs/>
        <w:sz w:val="24"/>
        <w:szCs w:val="24"/>
      </w:rPr>
      <w:fldChar w:fldCharType="separate"/>
    </w:r>
    <w:r>
      <w:rPr>
        <w:b/>
        <w:bCs/>
      </w:rPr>
      <w:t>1</w:t>
    </w:r>
    <w:r>
      <w:rPr>
        <w:b/>
        <w:bCs/>
        <w:sz w:val="24"/>
        <w:szCs w:val="24"/>
      </w:rPr>
      <w:fldChar w:fldCharType="end"/>
    </w:r>
  </w:p>
  <w:p>
    <w:pPr>
      <w:pStyle w:val="6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kinsoku w:val="0"/>
      <w:overflowPunct w:val="0"/>
      <w:spacing w:before="0" w:line="320" w:lineRule="exact"/>
      <w:ind w:left="20"/>
      <w:jc w:val="both"/>
      <w:rPr>
        <w:rFonts w:ascii="楷体" w:hAnsi="楷体" w:eastAsia="楷体" w:cs="黑体"/>
        <w:b/>
        <w:spacing w:val="-2"/>
        <w:sz w:val="24"/>
        <w:szCs w:val="24"/>
      </w:rPr>
    </w:pPr>
    <w:r>
      <w:rPr>
        <w:rFonts w:ascii="楷体" w:hAnsi="楷体" w:eastAsia="楷体"/>
        <w:b/>
      </w:rPr>
      <w:pict>
        <v:shape id="WordPictureWatermark367128483" o:spid="_x0000_s4098" o:spt="75" type="#_x0000_t75" style="position:absolute;left:0pt;height:862.85pt;width:1137.35pt;mso-position-horizontal:center;mso-position-horizontal-relative:margin;mso-position-vertical:center;mso-position-vertical-relative:margin;z-index:-251655168;mso-width-relative:page;mso-height-relative:page;" filled="f" o:preferrelative="t" stroked="f" coordsize="21600,21600" o:allowincell="f">
          <v:path/>
          <v:fill on="f" focussize="0,0"/>
          <v:stroke on="f" joinstyle="miter"/>
          <v:imagedata r:id="rId1" gain="19661f" blacklevel="22938f" o:title="苏银理财"/>
          <o:lock v:ext="edit" aspectratio="t"/>
        </v:shape>
      </w:pict>
    </w:r>
    <w: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3923665</wp:posOffset>
          </wp:positionH>
          <wp:positionV relativeFrom="paragraph">
            <wp:posOffset>-95250</wp:posOffset>
          </wp:positionV>
          <wp:extent cx="1325245" cy="424815"/>
          <wp:effectExtent l="0" t="0" r="8255" b="0"/>
          <wp:wrapSquare wrapText="bothSides"/>
          <wp:docPr id="1" name="图片 1" descr="说明: 说明: C:\Users\JSYH\Desktop\苏银理财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说明: 说明: C:\Users\JSYH\Desktop\苏银理财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325245" cy="424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hint="eastAsia" w:ascii="楷体" w:hAnsi="楷体" w:eastAsia="楷体" w:cs="黑体"/>
        <w:b/>
        <w:bCs/>
        <w:spacing w:val="-2"/>
        <w:sz w:val="24"/>
        <w:szCs w:val="24"/>
      </w:rPr>
      <w:t>理财非存款、产品有风险、投资须谨慎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</w:pPr>
    <w:r>
      <w:pict>
        <v:shape id="WordPictureWatermark367128482" o:spid="_x0000_s4099" o:spt="75" type="#_x0000_t75" style="position:absolute;left:0pt;height:862.85pt;width:1137.35pt;mso-position-horizontal:center;mso-position-horizontal-relative:margin;mso-position-vertical:center;mso-position-vertical-relative:margin;z-index:-251656192;mso-width-relative:page;mso-height-relative:page;" filled="f" o:preferrelative="t" stroked="f" coordsize="21600,21600" o:allowincell="f">
          <v:path/>
          <v:fill on="f" focussize="0,0"/>
          <v:stroke on="f" joinstyle="miter"/>
          <v:imagedata r:id="rId1" gain="19661f" blacklevel="22938f" o:title="苏银理财"/>
          <o:lock v:ext="edit" aspectratio="t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</w:pPr>
    <w:r>
      <w:pict>
        <v:shape id="WordPictureWatermark367128481" o:spid="_x0000_s4097" o:spt="75" type="#_x0000_t75" style="position:absolute;left:0pt;height:862.85pt;width:1137.35pt;mso-position-horizontal:center;mso-position-horizontal-relative:margin;mso-position-vertical:center;mso-position-vertical-relative:margin;z-index:-251657216;mso-width-relative:page;mso-height-relative:page;" filled="f" o:preferrelative="t" stroked="f" coordsize="21600,21600" o:allowincell="f">
          <v:path/>
          <v:fill on="f" focussize="0,0"/>
          <v:stroke on="f" joinstyle="miter"/>
          <v:imagedata r:id="rId1" gain="19661f" blacklevel="22938f" o:title="苏银理财"/>
          <o:lock v:ext="edit" aspectratio="t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mI0ZjE2ZGJmODM3N2NiNDJiYWY5YjdkYWE5MWQwMWMifQ=="/>
  </w:docVars>
  <w:rsids>
    <w:rsidRoot w:val="00C82298"/>
    <w:rsid w:val="00060B3C"/>
    <w:rsid w:val="000C729A"/>
    <w:rsid w:val="00191CA7"/>
    <w:rsid w:val="002010EC"/>
    <w:rsid w:val="00212BF8"/>
    <w:rsid w:val="00246CD5"/>
    <w:rsid w:val="002A12A3"/>
    <w:rsid w:val="002E297E"/>
    <w:rsid w:val="002F4B1C"/>
    <w:rsid w:val="00384393"/>
    <w:rsid w:val="00444F66"/>
    <w:rsid w:val="0053098E"/>
    <w:rsid w:val="0056651E"/>
    <w:rsid w:val="00572614"/>
    <w:rsid w:val="0066652C"/>
    <w:rsid w:val="00676A42"/>
    <w:rsid w:val="006B59C2"/>
    <w:rsid w:val="007C1CB0"/>
    <w:rsid w:val="007D2760"/>
    <w:rsid w:val="00805935"/>
    <w:rsid w:val="00812D85"/>
    <w:rsid w:val="008420B9"/>
    <w:rsid w:val="008626CF"/>
    <w:rsid w:val="008E2898"/>
    <w:rsid w:val="00905588"/>
    <w:rsid w:val="009D169F"/>
    <w:rsid w:val="00A9591A"/>
    <w:rsid w:val="00AE1428"/>
    <w:rsid w:val="00B0267E"/>
    <w:rsid w:val="00BC44F4"/>
    <w:rsid w:val="00C15EF6"/>
    <w:rsid w:val="00C82298"/>
    <w:rsid w:val="00CB3B08"/>
    <w:rsid w:val="00CC1DB4"/>
    <w:rsid w:val="00D12FB8"/>
    <w:rsid w:val="00D14797"/>
    <w:rsid w:val="00D71270"/>
    <w:rsid w:val="00E72933"/>
    <w:rsid w:val="00F82353"/>
    <w:rsid w:val="409A6CA3"/>
    <w:rsid w:val="472332B4"/>
    <w:rsid w:val="479A3771"/>
    <w:rsid w:val="6F00275F"/>
    <w:rsid w:val="73BD3516"/>
    <w:rsid w:val="73F809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8">
    <w:name w:val="Default Paragraph Font"/>
    <w:semiHidden/>
    <w:unhideWhenUsed/>
    <w:uiPriority w:val="1"/>
  </w:style>
  <w:style w:type="table" w:default="1" w:styleId="10">
    <w:name w:val="Normal Table"/>
    <w:semiHidden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subject"/>
    <w:basedOn w:val="3"/>
    <w:next w:val="3"/>
    <w:link w:val="16"/>
    <w:semiHidden/>
    <w:unhideWhenUsed/>
    <w:qFormat/>
    <w:uiPriority w:val="99"/>
    <w:rPr>
      <w:b/>
      <w:bCs/>
    </w:rPr>
  </w:style>
  <w:style w:type="paragraph" w:styleId="3">
    <w:name w:val="annotation text"/>
    <w:basedOn w:val="1"/>
    <w:link w:val="11"/>
    <w:unhideWhenUsed/>
    <w:qFormat/>
    <w:uiPriority w:val="99"/>
    <w:pPr>
      <w:jc w:val="left"/>
    </w:pPr>
  </w:style>
  <w:style w:type="paragraph" w:styleId="4">
    <w:name w:val="Body Text"/>
    <w:basedOn w:val="1"/>
    <w:link w:val="12"/>
    <w:qFormat/>
    <w:uiPriority w:val="1"/>
    <w:pPr>
      <w:autoSpaceDE w:val="0"/>
      <w:autoSpaceDN w:val="0"/>
      <w:adjustRightInd w:val="0"/>
      <w:spacing w:before="162"/>
      <w:ind w:left="120"/>
      <w:jc w:val="left"/>
    </w:pPr>
    <w:rPr>
      <w:rFonts w:ascii="宋体"/>
      <w:kern w:val="0"/>
      <w:sz w:val="20"/>
      <w:szCs w:val="21"/>
    </w:rPr>
  </w:style>
  <w:style w:type="paragraph" w:styleId="5">
    <w:name w:val="Balloon Text"/>
    <w:basedOn w:val="1"/>
    <w:link w:val="15"/>
    <w:semiHidden/>
    <w:unhideWhenUsed/>
    <w:qFormat/>
    <w:uiPriority w:val="99"/>
    <w:rPr>
      <w:sz w:val="18"/>
      <w:szCs w:val="18"/>
    </w:rPr>
  </w:style>
  <w:style w:type="paragraph" w:styleId="6">
    <w:name w:val="footer"/>
    <w:basedOn w:val="1"/>
    <w:link w:val="13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7">
    <w:name w:val="header"/>
    <w:basedOn w:val="1"/>
    <w:link w:val="14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character" w:styleId="9">
    <w:name w:val="annotation reference"/>
    <w:basedOn w:val="8"/>
    <w:semiHidden/>
    <w:unhideWhenUsed/>
    <w:qFormat/>
    <w:uiPriority w:val="99"/>
    <w:rPr>
      <w:sz w:val="21"/>
      <w:szCs w:val="21"/>
    </w:rPr>
  </w:style>
  <w:style w:type="character" w:customStyle="1" w:styleId="11">
    <w:name w:val="批注文字 字符"/>
    <w:basedOn w:val="8"/>
    <w:link w:val="3"/>
    <w:qFormat/>
    <w:uiPriority w:val="99"/>
    <w:rPr>
      <w:rFonts w:ascii="Times New Roman" w:hAnsi="Times New Roman" w:eastAsia="宋体" w:cs="Times New Roman"/>
    </w:rPr>
  </w:style>
  <w:style w:type="character" w:customStyle="1" w:styleId="12">
    <w:name w:val="正文文本 字符"/>
    <w:basedOn w:val="8"/>
    <w:link w:val="4"/>
    <w:qFormat/>
    <w:uiPriority w:val="1"/>
    <w:rPr>
      <w:rFonts w:ascii="宋体" w:hAnsi="Times New Roman" w:eastAsia="宋体" w:cs="Times New Roman"/>
      <w:kern w:val="0"/>
      <w:sz w:val="20"/>
      <w:szCs w:val="21"/>
    </w:rPr>
  </w:style>
  <w:style w:type="character" w:customStyle="1" w:styleId="13">
    <w:name w:val="页脚 字符"/>
    <w:basedOn w:val="8"/>
    <w:link w:val="6"/>
    <w:qFormat/>
    <w:uiPriority w:val="99"/>
    <w:rPr>
      <w:rFonts w:ascii="Times New Roman" w:hAnsi="Times New Roman" w:eastAsia="宋体" w:cs="Times New Roman"/>
      <w:kern w:val="0"/>
      <w:sz w:val="18"/>
      <w:szCs w:val="18"/>
    </w:rPr>
  </w:style>
  <w:style w:type="character" w:customStyle="1" w:styleId="14">
    <w:name w:val="页眉 字符"/>
    <w:basedOn w:val="8"/>
    <w:link w:val="7"/>
    <w:qFormat/>
    <w:uiPriority w:val="99"/>
    <w:rPr>
      <w:rFonts w:ascii="Times New Roman" w:hAnsi="Times New Roman" w:eastAsia="宋体" w:cs="Times New Roman"/>
      <w:kern w:val="0"/>
      <w:sz w:val="18"/>
      <w:szCs w:val="18"/>
    </w:rPr>
  </w:style>
  <w:style w:type="character" w:customStyle="1" w:styleId="15">
    <w:name w:val="批注框文本 字符"/>
    <w:basedOn w:val="8"/>
    <w:link w:val="5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6">
    <w:name w:val="批注主题 字符"/>
    <w:basedOn w:val="11"/>
    <w:link w:val="2"/>
    <w:semiHidden/>
    <w:qFormat/>
    <w:uiPriority w:val="99"/>
    <w:rPr>
      <w:rFonts w:ascii="Times New Roman" w:hAnsi="Times New Roman" w:eastAsia="宋体" w:cs="Times New Roman"/>
      <w:b/>
      <w:bCs/>
    </w:rPr>
  </w:style>
</w:styles>
</file>

<file path=word/_rels/document.xml.rels><?xml version="1.0" encoding="UTF-8" standalone="yes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header1.xml" Type="http://schemas.openxmlformats.org/officeDocument/2006/relationships/header"/><Relationship Id="rId4" Target="header2.xml" Type="http://schemas.openxmlformats.org/officeDocument/2006/relationships/header"/><Relationship Id="rId5" Target="header3.xml" Type="http://schemas.openxmlformats.org/officeDocument/2006/relationships/header"/><Relationship Id="rId6" Target="footer1.xml" Type="http://schemas.openxmlformats.org/officeDocument/2006/relationships/footer"/><Relationship Id="rId7" Target="theme/theme1.xml" Type="http://schemas.openxmlformats.org/officeDocument/2006/relationships/theme"/><Relationship Id="rId8" Target="../customXml/item1.xml" Type="http://schemas.openxmlformats.org/officeDocument/2006/relationships/customXml"/><Relationship Id="rId9" Target="fontTable.xml" Type="http://schemas.openxmlformats.org/officeDocument/2006/relationships/fontTable"/></Relationships>
</file>

<file path=word/_rels/header1.xml.rels><?xml version="1.0" encoding="UTF-8" standalone="yes"?><Relationships xmlns="http://schemas.openxmlformats.org/package/2006/relationships"><Relationship Id="rId1" Target="media/image1.png" Type="http://schemas.openxmlformats.org/officeDocument/2006/relationships/image"/><Relationship Id="rId2" Target="media/image2.png" Type="http://schemas.openxmlformats.org/officeDocument/2006/relationships/image"/></Relationships>
</file>

<file path=word/_rels/header2.xml.rels><?xml version="1.0" encoding="UTF-8" standalone="yes"?><Relationships xmlns="http://schemas.openxmlformats.org/package/2006/relationships"><Relationship Id="rId1" Target="media/image1.png" Type="http://schemas.openxmlformats.org/officeDocument/2006/relationships/image"/></Relationships>
</file>

<file path=word/_rels/header3.xml.rels><?xml version="1.0" encoding="UTF-8" standalone="yes"?><Relationships xmlns="http://schemas.openxmlformats.org/package/2006/relationships"><Relationship Id="rId1" Target="media/image1.png" Type="http://schemas.openxmlformats.org/officeDocument/2006/relationships/image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4098"/>
    <customShpInfo spid="_x0000_s4099"/>
    <customShpInfo spid="_x0000_s4097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WORKGROUP</Company>
  <Pages>1</Pages>
  <Words>271</Words>
  <Characters>686</Characters>
  <Lines>5</Lines>
  <Paragraphs>1</Paragraphs>
  <TotalTime>0</TotalTime>
  <ScaleCrop>false</ScaleCrop>
  <LinksUpToDate>false</LinksUpToDate>
  <CharactersWithSpaces>687</CharactersWithSpaces>
  <Application>WPS Office_10.8.2.7119_F1E327BC-269C-435d-A152-05C5408002CA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2023-08-01T10:40:00Z</dcterms:created>
  <dc:creator>User</dc:creator>
  <cp:lastModifiedBy>User</cp:lastModifiedBy>
  <dcterms:modified xsi:type="dcterms:W3CDTF">2024-03-04T07:45:35Z</dcterms:modified>
  <cp:revision>35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2052-10.8.2.7119</vt:lpwstr>
  </property>
  <property fmtid="{D5CDD505-2E9C-101B-9397-08002B2CF9AE}" pid="3" name="ICV">
    <vt:lpwstr>B6DFC727162244C79636D651D7D6EB42</vt:lpwstr>
  </property>
</Properties>
</file>