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南银理财珠联璧合鑫逸稳两年10期（低波款）封闭式公募人民币理财产品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南银理财珠联璧合鑫逸稳两年10期（低波款）封闭式公募人民币理财产品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Z7003223000025（投资者可依据该编码在中国理财网www.chinawealth.com.cn查询理财产品相关信息）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2023年02月15日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1,049,842,607.00份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100.12%</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国投泰康信托有限公司,创金合信基金管理有限公司,平安资产管理有限责任公司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Y60010</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9,183,722.09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1.0651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1.0651</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17,500.00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Y61010</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566,411,437.87</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1.0680</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1.0680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Y62010</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547,123,282.27</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1.0709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1.0709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截至报告期末，本产品Y60010份额净值为1.0652元，Y61010份额净值为1.0681元，Y62010份额净值为1.0710元。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ZJQTT202302150021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创金合信鑫稳3号单一资产管理计划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264,575,000.00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23.56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23880385</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23太湖湾05</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194,000,000.00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17.28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177,239,653.13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15.78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ZJQTT202210120029</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平安资产如意37号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100,039,124.94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8.91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23880408</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23清江浦01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8.91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23880347</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23沿江开发01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84,000,000.00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7.48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23880358</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23盐城交通04</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63,000,000.00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5.61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23880488</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23高教投资01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59,000,000.00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5.25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162721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19新昌02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30,175,840.17</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196040</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21溧源03</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19,944,247.08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1.78</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泰州高教投资发展有限公司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23高教投资01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江苏武进太湖湾旅游发展有限公司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23太湖湾05</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盐城市交通投资建设控股集团有限公司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23盐城交通04</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扬州市江都沿江开发有限公司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23沿江开发01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淮安市清江浦城投控股集团有限公司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23清江浦01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0120010000001049</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南银理财鑫逸稳两年10期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