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南银理财珠联璧合鑫逸稳两年11期（低波款）封闭式公募人民币理财产品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南银理财珠联璧合鑫逸稳两年11期（低波款）封闭式公募人民币理财产品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Z7003223000026（投资者可依据该编码在中国理财网www.chinawealth.com.cn查询理财产品相关信息）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2023年02月22日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774,219,806.00份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100.10%</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国投泰康信托有限公司,平安资产管理有限责任公司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Y60011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14,045,744.76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1.0643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1.0643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Y61011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297,949,961.93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1.0672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1.0672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Y62011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515,609,524.62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1.0700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1.0700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截至报告期末，本产品Y60011份额净值为1.0644元，Y61011份额净值为1.0673元，Y62011份额净值为1.0702元。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299,764,605.88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36.22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150,124,313.00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23880488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23高教投资01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141,000,000.00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23880523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23镇江文旅03</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115,000,000.00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13.89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23880527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23太湖湾08</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7.73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23880483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23盐都交通01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6.04</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泰州高教投资发展有限公司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23高教投资01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盐城市盐都交通建设发展有限公司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23盐都交通01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江苏武进太湖湾旅游发展有限公司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23太湖湾08</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镇江文化旅游产业集团有限责任公司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23镇江文旅03</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0120090000001050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南银理财鑫逸稳两年11期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