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223,744,184.00份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58,876,256.28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69,366,053.74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108,962,164.93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截至报告期末，本产品Y60018份额净值为1.0587元，Y61018份额净值为1.0600元，Y62018份额净值为1.0612元。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74,444,204.59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61,270,709.87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镇江城市建设产业集团有限公司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79,889.96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