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264,159,028.00份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100.58%</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72,442,775.88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121,331,608.62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82,499,188.42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截至报告期末，本产品Y60027份额净值为1.0449元，Y61027份额净值为1.0459元，Y62027份额净值为1.0470元。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143,338,436.72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45.96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0101070000000581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97,328.09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