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杭银理财幸福99丰裕固收（混合估值）377天23175期理财C款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杭银理财幸福99丰裕固收（混合估值）377天23175期理财C款</w:t>
      </w:r>
      <w:r>
        <w:rPr>
          <w:sz w:val="28"/>
        </w:rPr>
        <w:t>产品已于</w:t>
      </w:r>
      <w:r>
        <w:rPr>
          <w:sz w:val="28"/>
        </w:rPr>
        <w:t>2024年10月21日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杭银理财幸福99丰裕固收（混合估值）377天23175期理财C款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FYG23175C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Z7002223000260</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2023-10-10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2024-10-21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3.55%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3.6112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940.74</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2024年10月22日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