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黑体简体" w:hAnsi="黑体" w:eastAsia="方正黑体简体"/>
          <w:b/>
          <w:sz w:val="24"/>
        </w:rPr>
      </w:pPr>
      <w:r>
        <w:rPr>
          <w:rFonts w:ascii="方正黑体简体" w:hAnsi="黑体" w:eastAsia="方正黑体简体"/>
          <w:b/>
          <w:sz w:val="24"/>
        </w:rPr>
        <w:t>南银理财珠联璧合鑫逸稳三个月63期封闭式公募人民币理财产品</w:t>
      </w:r>
      <w:r>
        <w:rPr>
          <w:rFonts w:hint="eastAsia" w:ascii="方正黑体简体" w:hAnsi="黑体" w:eastAsia="方正黑体简体"/>
          <w:b/>
          <w:sz w:val="24"/>
        </w:rPr>
        <w:t>到期公告</w:t>
      </w:r>
    </w:p>
    <w:p>
      <w:pPr>
        <w:rPr>
          <w:rFonts w:hint="eastAsia" w:ascii="方正仿宋简体" w:hAnsi="仿宋_GB2312" w:eastAsia="方正仿宋简体" w:cs="仿宋_GB2312"/>
          <w:lang w:val="en-US" w:eastAsia="zh-CN"/>
        </w:rPr>
      </w:pPr>
      <w:r>
        <w:rPr>
          <w:rFonts w:hint="eastAsia" w:ascii="方正仿宋简体" w:hAnsi="仿宋_GB2312" w:eastAsia="方正仿宋简体" w:cs="仿宋_GB2312"/>
        </w:rPr>
        <w:t>尊敬的投资者：</w:t>
      </w:r>
      <w:r>
        <w:rPr>
          <w:rFonts w:hint="eastAsia" w:ascii="方正仿宋简体" w:hAnsi="仿宋_GB2312" w:eastAsia="方正仿宋简体" w:cs="仿宋_GB2312"/>
          <w:lang w:val="en-US" w:eastAsia="zh-CN"/>
        </w:rPr>
        <w:t xml:space="preserve"> </w:t>
      </w:r>
      <w:bookmarkStart w:id="0" w:name="_GoBack"/>
      <w:bookmarkEnd w:id="0"/>
    </w:p>
    <w:p>
      <w:pPr>
        <w:ind w:firstLine="420" w:firstLineChars="200"/>
        <w:rPr>
          <w:rFonts w:ascii="方正仿宋简体" w:hAnsi="仿宋_GB2312" w:eastAsia="方正仿宋简体" w:cs="仿宋_GB2312"/>
        </w:rPr>
      </w:pPr>
      <w:r>
        <w:rPr>
          <w:rFonts w:hint="eastAsia" w:ascii="方正仿宋简体" w:hAnsi="仿宋_GB2312" w:eastAsia="方正仿宋简体" w:cs="仿宋_GB2312"/>
        </w:rPr>
        <w:t>本公司发行的理财产品已到期，现将有关情况公告如下：</w:t>
      </w:r>
    </w:p>
    <w:tbl>
      <w:tblPr>
        <w:tblStyle w:val="7"/>
        <w:tblW w:w="8522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产品名称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南银理财珠联璧合鑫逸稳三个月63期封闭式公募人民币理财产品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产品代码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ZZ700322400568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理财登记编码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Z7003224000285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成立日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2024年12月25日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到期日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2025年04月03日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期限（天）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99</w:t>
            </w:r>
          </w:p>
        </w:tc>
      </w:tr>
    </w:tbl>
    <w:p>
      <w:pPr>
        <w:rPr>
          <w:rFonts w:ascii="方正仿宋简体" w:hAnsi="仿宋_GB2312" w:eastAsia="方正仿宋简体" w:cs="仿宋_GB2312"/>
        </w:rPr>
      </w:pPr>
    </w:p>
    <w:p>
      <w:pPr>
        <w:ind w:firstLine="420" w:firstLineChars="200"/>
        <w:rPr>
          <w:rFonts w:ascii="方正仿宋简体" w:hAnsi="仿宋_GB2312" w:eastAsia="方正仿宋简体" w:cs="仿宋_GB2312"/>
        </w:rPr>
      </w:pPr>
      <w:r>
        <w:rPr>
          <w:rFonts w:hint="eastAsia" w:ascii="方正仿宋简体" w:hAnsi="仿宋_GB2312" w:eastAsia="方正仿宋简体" w:cs="仿宋_GB2312"/>
        </w:rPr>
        <w:t>产品净值收益表现</w:t>
      </w:r>
    </w:p>
    <w:tbl>
      <w:tblPr>
        <w:tblStyle w:val="8"/>
        <w:tblW w:w="8500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2174"/>
        <w:gridCol w:w="1974"/>
        <w:gridCol w:w="2278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074" w:type="dxa"/>
          </w:tcPr>
          <w:p>
            <w:pPr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销售代码</w:t>
            </w:r>
          </w:p>
        </w:tc>
        <w:tc>
          <w:tcPr>
            <w:tcW w:w="2174" w:type="dxa"/>
          </w:tcPr>
          <w:p>
            <w:pPr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累计净值</w:t>
            </w:r>
          </w:p>
        </w:tc>
        <w:tc>
          <w:tcPr>
            <w:tcW w:w="1974" w:type="dxa"/>
          </w:tcPr>
          <w:p>
            <w:pPr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参考年化收益率</w:t>
            </w:r>
          </w:p>
        </w:tc>
        <w:tc>
          <w:tcPr>
            <w:tcW w:w="2278" w:type="dxa"/>
          </w:tcPr>
          <w:p>
            <w:pPr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客户收益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Y80063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1.0066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2.43%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910,887.77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Y81063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1.0068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2.53%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1,920,503.90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Y82063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2.63%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917,638.44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Y83063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1.0076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2.80%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361,250.05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Y84063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2.63%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157,372.16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Y86063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1.0070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2.58%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336,399.11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Y87063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1.0068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2.50%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方正仿宋简体" w:eastAsia="方正仿宋简体" w:cs="方正仿宋简体"/>
              </w:rPr>
              <w:t>264,792.93</w:t>
            </w:r>
          </w:p>
        </w:tc>
      </w:tr>
    </w:tbl>
    <w:p>
      <w:pPr>
        <w:rPr>
          <w:rFonts w:ascii="方正仿宋简体" w:hAnsi="仿宋_GB2312" w:eastAsia="方正仿宋简体" w:cs="仿宋_GB2312"/>
        </w:rPr>
      </w:pPr>
    </w:p>
    <w:p>
      <w:pPr>
        <w:ind w:firstLine="420" w:firstLineChars="200"/>
        <w:rPr>
          <w:rFonts w:ascii="方正仿宋简体" w:hAnsi="仿宋_GB2312" w:eastAsia="方正仿宋简体" w:cs="仿宋_GB2312"/>
        </w:rPr>
      </w:pPr>
      <w:r>
        <w:rPr>
          <w:rFonts w:hint="eastAsia" w:ascii="方正仿宋简体" w:hAnsi="仿宋_GB2312" w:eastAsia="方正仿宋简体" w:cs="仿宋_GB2312"/>
        </w:rPr>
        <w:t>收费情况（以下费用包含所有子代码产品费用）：</w:t>
      </w:r>
    </w:p>
    <w:tbl>
      <w:tblPr>
        <w:tblStyle w:val="7"/>
        <w:tblW w:w="8522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费用名称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金额（元）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托管费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37,787.99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固定管理费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171,969.78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业绩报酬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106,582.84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销售费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315,858.48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申购费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-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赎回费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ascii="方正仿宋简体" w:hAnsi="仿宋_GB2312" w:eastAsia="方正仿宋简体" w:cs="仿宋_GB2312"/>
              </w:rPr>
              <w:t>-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spacing w:afterLines="50"/>
              <w:jc w:val="center"/>
              <w:rPr>
                <w:rFonts w:hint="eastAsia"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其他费用</w:t>
            </w:r>
          </w:p>
        </w:tc>
        <w:tc>
          <w:tcPr>
            <w:tcW w:w="4261" w:type="dxa"/>
          </w:tcPr>
          <w:p>
            <w:pPr>
              <w:spacing w:afterLines="50"/>
              <w:jc w:val="center"/>
              <w:rPr>
                <w:rFonts w:ascii="方正仿宋简体" w:hAnsi="仿宋_GB2312" w:eastAsia="方正仿宋简体" w:cs="仿宋_GB2312"/>
              </w:rPr>
            </w:pPr>
            <w:r>
              <w:rPr>
                <w:rFonts w:hint="eastAsia" w:ascii="方正仿宋简体" w:hAnsi="仿宋_GB2312" w:eastAsia="方正仿宋简体" w:cs="仿宋_GB2312"/>
              </w:rPr>
              <w:t>-</w:t>
            </w:r>
          </w:p>
        </w:tc>
      </w:tr>
    </w:tbl>
    <w:p>
      <w:pPr>
        <w:rPr>
          <w:rFonts w:ascii="方正仿宋简体" w:hAnsi="仿宋_GB2312" w:eastAsia="方正仿宋简体" w:cs="仿宋_GB2312"/>
        </w:rPr>
      </w:pPr>
    </w:p>
    <w:p>
      <w:pPr>
        <w:rPr>
          <w:rFonts w:ascii="方正仿宋简体" w:hAnsi="仿宋_GB2312" w:eastAsia="方正仿宋简体" w:cs="仿宋_GB2312"/>
        </w:rPr>
      </w:pPr>
      <w:r>
        <w:rPr>
          <w:rFonts w:hint="eastAsia" w:ascii="方正仿宋简体" w:hAnsi="仿宋_GB2312" w:eastAsia="方正仿宋简体" w:cs="仿宋_GB2312"/>
        </w:rPr>
        <w:t>注：1.清算资金将划转至投资者指定账户，具体到账日期以产品说明书为准。</w:t>
      </w:r>
    </w:p>
    <w:p>
      <w:pPr>
        <w:ind w:firstLine="420"/>
        <w:rPr>
          <w:rFonts w:ascii="方正仿宋简体" w:hAnsi="仿宋_GB2312" w:eastAsia="方正仿宋简体" w:cs="仿宋_GB2312"/>
        </w:rPr>
      </w:pPr>
      <w:r>
        <w:rPr>
          <w:rFonts w:hint="eastAsia" w:ascii="方正仿宋简体" w:hAnsi="仿宋_GB2312" w:eastAsia="方正仿宋简体" w:cs="仿宋_GB2312"/>
        </w:rPr>
        <w:t>2.请继续关注正在销售的其他产品。</w:t>
      </w:r>
    </w:p>
    <w:p>
      <w:pPr>
        <w:ind w:firstLine="420"/>
        <w:rPr>
          <w:rFonts w:ascii="方正仿宋简体" w:hAnsi="仿宋_GB2312" w:eastAsia="方正仿宋简体" w:cs="仿宋_GB2312"/>
        </w:rPr>
      </w:pPr>
      <w:r>
        <w:rPr>
          <w:rFonts w:hint="eastAsia" w:ascii="方正仿宋简体" w:hAnsi="仿宋_GB2312" w:eastAsia="方正仿宋简体" w:cs="仿宋_GB2312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spacing w:after="120"/>
        <w:ind w:firstLine="420"/>
        <w:rPr>
          <w:rFonts w:ascii="方正仿宋简体" w:hAnsi="仿宋_GB2312" w:eastAsia="方正仿宋简体" w:cs="仿宋_GB2312"/>
        </w:rPr>
      </w:pPr>
      <w:r>
        <w:rPr>
          <w:rFonts w:hint="eastAsia" w:ascii="方正仿宋简体" w:hAnsi="仿宋_GB2312" w:eastAsia="方正仿宋简体" w:cs="仿宋_GB2312"/>
        </w:rPr>
        <w:t>特此公告。</w:t>
      </w:r>
    </w:p>
    <w:p>
      <w:pPr>
        <w:spacing w:line="360" w:lineRule="auto"/>
        <w:rPr>
          <w:rFonts w:ascii="方正仿宋简体" w:hAnsi="仿宋_GB2312" w:eastAsia="方正仿宋简体" w:cs="仿宋_GB2312"/>
          <w:sz w:val="24"/>
        </w:rPr>
      </w:pPr>
    </w:p>
    <w:p>
      <w:pPr>
        <w:spacing w:line="360" w:lineRule="auto"/>
        <w:ind w:firstLine="5040" w:firstLineChars="2400"/>
        <w:jc w:val="right"/>
        <w:rPr>
          <w:rFonts w:ascii="方正仿宋简体" w:hAnsi="仿宋_GB2312" w:eastAsia="方正仿宋简体" w:cs="仿宋_GB2312"/>
          <w:szCs w:val="21"/>
        </w:rPr>
      </w:pPr>
      <w:r>
        <w:rPr>
          <w:rFonts w:hint="eastAsia" w:ascii="方正仿宋简体" w:hAnsi="仿宋_GB2312" w:eastAsia="方正仿宋简体" w:cs="仿宋_GB2312"/>
          <w:szCs w:val="21"/>
        </w:rPr>
        <w:t>南银理财有限责任公司</w:t>
      </w:r>
    </w:p>
    <w:p>
      <w:pPr>
        <w:spacing w:line="360" w:lineRule="auto"/>
        <w:ind w:firstLine="420"/>
        <w:jc w:val="right"/>
        <w:rPr>
          <w:rFonts w:ascii="方正仿宋简体" w:hAnsi="仿宋_GB2312" w:eastAsia="方正仿宋简体" w:cs="仿宋_GB2312"/>
          <w:szCs w:val="21"/>
        </w:rPr>
      </w:pPr>
      <w:r>
        <w:rPr>
          <w:rFonts w:ascii="方正仿宋简体" w:hAnsi="仿宋_GB2312" w:eastAsia="方正仿宋简体" w:cs="仿宋_GB2312"/>
          <w:szCs w:val="21"/>
        </w:rPr>
        <w:t>2025年04月03日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8C0BF3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1"/>
    <w:qFormat/>
    <w:uiPriority w:val="0"/>
    <w:rPr>
      <w:sz w:val="18"/>
      <w:szCs w:val="18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nhideWhenUsed/>
    <w:qFormat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脚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1">
    <w:name w:val="批注框文本 Char"/>
    <w:basedOn w:val="9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95</Words>
  <Characters>548</Characters>
  <Lines>4</Lines>
  <Paragraphs>1</Paragraphs>
  <TotalTime>54</TotalTime>
  <ScaleCrop>false</ScaleCrop>
  <LinksUpToDate>false</LinksUpToDate>
  <CharactersWithSpaces>642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2022-07-26T05:58:00Z</dcterms:created>
  <dc:creator>DELL</dc:creator>
  <cp:lastModifiedBy>admin</cp:lastModifiedBy>
  <cp:lastPrinted>2021-03-29T09:44:00Z</cp:lastPrinted>
  <dcterms:modified xsi:type="dcterms:W3CDTF">2025-04-07T09:53:20Z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EC5F15B380314F628661D4FF0872FE3F</vt:lpwstr>
  </property>
</Properties>
</file>