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幸福99丰裕固收（稳利低波）386天24126期理财C款</w:t>
      </w:r>
    </w:p>
    <w:p w:rsidR="00B11AE6">
      <w:pPr>
        <w:widowControl/>
        <w:shd w:val="clear" w:color="auto" w:fill="FFFFFF"/>
        <w:spacing w:line="837" w:lineRule="atLeast"/>
        <w:jc w:val="center"/>
        <w:outlineLvl w:val="1"/>
        <w:rPr>
          <w:rFonts w:ascii="微软雅黑" w:eastAsia="宋体" w:hAnsi="微软雅黑" w:cs="宋体"/>
          <w:b/>
          <w:bCs/>
          <w:color w:val="004EA2"/>
          <w:kern w:val="0"/>
          <w:sz w:val="28"/>
          <w:szCs w:val="28"/>
        </w:rPr>
      </w:pPr>
      <w:r>
        <w:rPr>
          <w:rFonts w:ascii="微软雅黑" w:eastAsia="宋体" w:hAnsi="微软雅黑" w:cs="宋体" w:hint="eastAsia"/>
          <w:b/>
          <w:bCs/>
          <w:color w:val="004EA2"/>
          <w:kern w:val="0"/>
          <w:sz w:val="28"/>
          <w:szCs w:val="28"/>
        </w:rPr>
        <w:t>产品到期兑付公告</w:t>
      </w:r>
    </w:p>
    <w:p w:rsidR="00B11AE6">
      <w:pPr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尊敬的投资者：</w:t>
      </w:r>
    </w:p>
    <w:p w:rsidR="00B11AE6">
      <w:pPr>
        <w:ind w:firstLine="480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幸福99丰裕固收（稳利低波）386天24126期理财C款</w:t>
      </w:r>
      <w:r>
        <w:rPr>
          <w:rFonts w:asciiTheme="minorEastAsia" w:hAnsiTheme="minorEastAsia" w:cstheme="minorEastAsia" w:hint="eastAsia"/>
          <w:sz w:val="28"/>
          <w:szCs w:val="28"/>
        </w:rPr>
        <w:t>产品已于</w:t>
      </w:r>
      <w:r>
        <w:rPr>
          <w:rFonts w:asciiTheme="minorEastAsia" w:hAnsiTheme="minorEastAsia" w:cstheme="minorEastAsia" w:hint="eastAsia"/>
          <w:sz w:val="28"/>
          <w:szCs w:val="28"/>
        </w:rPr>
        <w:t>2025年6月18日</w:t>
      </w:r>
      <w:r>
        <w:rPr>
          <w:rFonts w:asciiTheme="minorEastAsia" w:hAnsiTheme="minorEastAsia" w:cstheme="minorEastAsia" w:hint="eastAsia"/>
          <w:sz w:val="28"/>
          <w:szCs w:val="28"/>
        </w:rPr>
        <w:t>到期终止，现将相关信息公告如下：</w:t>
      </w:r>
    </w:p>
    <w:tbl>
      <w:tblPr>
        <w:tblStyle w:val="TableGrid"/>
        <w:tblW w:w="8516" w:type="dxa"/>
        <w:jc w:val="center"/>
        <w:tblLayout w:type="fixed"/>
        <w:tblLook w:val="04A0"/>
      </w:tblPr>
      <w:tblGrid>
        <w:gridCol w:w="3934"/>
        <w:gridCol w:w="4582"/>
      </w:tblGrid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产品名称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幸福99丰裕固收（稳利低波）386天24126期理财C款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理财产品代码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FYG24126C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产品登记编码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Z7002224000148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（可在中国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理财网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www.chinawealth.com.cn 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查询产品信息）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 xml:space="preserve"> 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产品起始日期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2024-05-28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产品终止日期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2025-06-18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产品存续天数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386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产品累计净值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1.0318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产品到期兑付净值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1.0318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业绩比较基准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2.90%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折合年化收益率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3.0069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固定管理费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0.11%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销售服务费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0.10%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浮动管理费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80.00%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托管费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0.025</w:t>
            </w:r>
            <w:r>
              <w:rPr>
                <w:rFonts w:eastAsia="宋体" w:asciiTheme="minorEastAsia" w:hAnsiTheme="minorEastAsia" w:cstheme="minorEastAsia" w:hint="eastAsia"/>
                <w:sz w:val="24"/>
              </w:rPr>
              <w:t>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其他费用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0.00%</w:t>
            </w:r>
          </w:p>
        </w:tc>
      </w:tr>
      <w:tr>
        <w:tblPrEx>
          <w:tblW w:w="8516" w:type="dxa"/>
          <w:jc w:val="center"/>
          <w:tblLayout w:type="fixed"/>
          <w:tblLook w:val="04A0"/>
        </w:tblPrEx>
        <w:trPr>
          <w:jc w:val="center"/>
        </w:trPr>
        <w:tc>
          <w:tcPr>
            <w:tcW w:w="3934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  <w:szCs w:val="22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收益分配情况（单位：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万元</w:t>
            </w:r>
            <w:r>
              <w:rPr>
                <w:rFonts w:eastAsia="宋体" w:asciiTheme="minorEastAsia" w:hAnsiTheme="minorEastAsia" w:cstheme="minorEastAsia" w:hint="eastAsia"/>
                <w:sz w:val="24"/>
                <w:szCs w:val="22"/>
              </w:rPr>
              <w:t>）</w:t>
            </w:r>
          </w:p>
        </w:tc>
        <w:tc>
          <w:tcPr>
            <w:tcW w:w="4582" w:type="dxa"/>
            <w:vAlign w:val="center"/>
          </w:tcPr>
          <w:p w:rsidR="00B11AE6">
            <w:pPr>
              <w:rPr>
                <w:rFonts w:eastAsia="宋体" w:asciiTheme="minorEastAsia" w:hAnsiTheme="minorEastAsia" w:cstheme="minorEastAsia"/>
                <w:sz w:val="24"/>
              </w:rPr>
            </w:pPr>
            <w:r>
              <w:rPr>
                <w:rFonts w:eastAsia="宋体" w:asciiTheme="minorEastAsia" w:hAnsiTheme="minorEastAsia" w:cstheme="minorEastAsia" w:hint="eastAsia"/>
                <w:sz w:val="24"/>
              </w:rPr>
              <w:t>110.53</w:t>
            </w:r>
          </w:p>
        </w:tc>
      </w:tr>
    </w:tbl>
    <w:p w:rsidR="00B11AE6">
      <w:pPr>
        <w:rPr>
          <w:rFonts w:asciiTheme="minorEastAsia" w:hAnsiTheme="minorEastAsia" w:cstheme="minorEastAsia"/>
          <w:sz w:val="24"/>
          <w:szCs w:val="22"/>
        </w:rPr>
      </w:pPr>
    </w:p>
    <w:p w:rsidR="00B11AE6">
      <w:pPr>
        <w:ind w:firstLine="560" w:firstLineChars="200"/>
        <w:rPr>
          <w:rFonts w:asciiTheme="minorEastAsia" w:hAnsiTheme="minorEastAsia" w:cstheme="minorEastAsia"/>
          <w:sz w:val="28"/>
        </w:rPr>
      </w:pPr>
      <w:r>
        <w:rPr>
          <w:rFonts w:asciiTheme="minorEastAsia" w:hAnsiTheme="minorEastAsia" w:cstheme="minorEastAsia" w:hint="eastAsia"/>
          <w:sz w:val="28"/>
        </w:rPr>
        <w:t>特此公告。</w:t>
      </w:r>
    </w:p>
    <w:p w:rsidR="00B11AE6">
      <w:pPr>
        <w:rPr>
          <w:rFonts w:asciiTheme="minorEastAsia" w:hAnsiTheme="minorEastAsia" w:cstheme="minorEastAsia"/>
          <w:sz w:val="24"/>
        </w:rPr>
      </w:pPr>
    </w:p>
    <w:p w:rsidR="00B11AE6">
      <w:p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注：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理财计划财产在管理、运用、处分过程中产生的税费（包括但不限于增值税及相应的附加税费等），由理财计划财产承担；产品管理人对该等税费无垫付义务。前述税费（包括但不限于增值税及相应附加税费）的计算、提取及缴</w:t>
      </w:r>
      <w:r>
        <w:rPr>
          <w:rFonts w:asciiTheme="minorEastAsia" w:hAnsiTheme="minorEastAsia" w:cstheme="minorEastAsia" w:hint="eastAsia"/>
          <w:sz w:val="24"/>
        </w:rPr>
        <w:t>纳，由产品管理人按</w:t>
      </w:r>
      <w:r>
        <w:rPr>
          <w:rFonts w:asciiTheme="minorEastAsia" w:hAnsiTheme="minorEastAsia" w:cstheme="minorEastAsia" w:hint="eastAsia"/>
          <w:sz w:val="24"/>
        </w:rPr>
        <w:t>照应税</w:t>
      </w:r>
      <w:r>
        <w:rPr>
          <w:rFonts w:asciiTheme="minorEastAsia" w:hAnsiTheme="minorEastAsia" w:cstheme="minorEastAsia" w:hint="eastAsia"/>
          <w:sz w:val="24"/>
        </w:rPr>
        <w:t>行为发生时有效的相关法律法规的规定执行。支付给客户的理财收益的应纳税款由客户自行申报及缴纳。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本理财产品终止日起，清算过程中各项利息及费用与实际结算金额的尾差由管理人承担。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托管费：原则上按日计提，逐日累计至到期日从理财计划财产中扣除。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固定管理费：原则上按日计提，逐日累计至到期日从理财</w:t>
      </w:r>
      <w:r>
        <w:rPr>
          <w:rFonts w:asciiTheme="minorEastAsia" w:hAnsiTheme="minorEastAsia" w:cstheme="minorEastAsia" w:hint="eastAsia"/>
          <w:sz w:val="24"/>
        </w:rPr>
        <w:t>计划财产中扣除。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固定管理费、销售服务费、托管费、其他费</w:t>
      </w:r>
      <w:bookmarkStart w:id="0" w:name="_GoBack"/>
      <w:bookmarkEnd w:id="0"/>
      <w:r>
        <w:rPr>
          <w:rFonts w:asciiTheme="minorEastAsia" w:hAnsiTheme="minorEastAsia" w:cstheme="minorEastAsia" w:hint="eastAsia"/>
          <w:sz w:val="24"/>
        </w:rPr>
        <w:t>用为对应费用的收取费率。浮动管理费为产品实际业绩超出产品说明书中约定的提取标准后，管理人对超出部分收取的超额业绩报酬比例。</w:t>
      </w:r>
    </w:p>
    <w:p w:rsidR="00B11AE6">
      <w:pPr>
        <w:numPr>
          <w:ilvl w:val="0"/>
          <w:numId w:val="1"/>
        </w:numPr>
        <w:rPr>
          <w:rFonts w:asciiTheme="minorEastAsia" w:hAnsiTheme="minorEastAsia" w:cstheme="minorEastAsia"/>
          <w:sz w:val="24"/>
        </w:rPr>
      </w:pPr>
      <w:r>
        <w:rPr>
          <w:rFonts w:asciiTheme="minorEastAsia" w:hAnsiTheme="minorEastAsia" w:cstheme="minorEastAsia" w:hint="eastAsia"/>
          <w:sz w:val="24"/>
        </w:rPr>
        <w:t>各期理财产品详细信息可根据产品登记编码登</w:t>
      </w:r>
      <w:r>
        <w:rPr>
          <w:rFonts w:asciiTheme="minorEastAsia" w:hAnsiTheme="minorEastAsia" w:cstheme="minorEastAsia" w:hint="eastAsia"/>
          <w:sz w:val="24"/>
        </w:rPr>
        <w:t>录</w:t>
      </w:r>
      <w:r>
        <w:rPr>
          <w:rFonts w:asciiTheme="minorEastAsia" w:hAnsiTheme="minorEastAsia" w:cstheme="minorEastAsia" w:hint="eastAsia"/>
          <w:sz w:val="24"/>
        </w:rPr>
        <w:t>中国</w:t>
      </w:r>
      <w:r>
        <w:rPr>
          <w:rFonts w:asciiTheme="minorEastAsia" w:hAnsiTheme="minorEastAsia" w:cstheme="minorEastAsia" w:hint="eastAsia"/>
          <w:sz w:val="24"/>
        </w:rPr>
        <w:t>理财网</w:t>
      </w:r>
      <w:r>
        <w:rPr>
          <w:rFonts w:asciiTheme="minorEastAsia" w:hAnsiTheme="minorEastAsia" w:cstheme="minorEastAsia" w:hint="eastAsia"/>
          <w:sz w:val="24"/>
        </w:rPr>
        <w:t>进行查询。</w:t>
      </w:r>
    </w:p>
    <w:p w:rsidR="00B11AE6">
      <w:pPr>
        <w:ind w:left="360"/>
        <w:jc w:val="right"/>
        <w:rPr>
          <w:rFonts w:ascii="仿宋_GB2312" w:eastAsia="仿宋_GB2312" w:hAnsi="仿宋_GB2312" w:cs="仿宋_GB2312"/>
          <w:sz w:val="24"/>
        </w:rPr>
      </w:pPr>
    </w:p>
    <w:p w:rsidR="00B11AE6">
      <w:pPr>
        <w:ind w:left="360"/>
        <w:jc w:val="right"/>
        <w:rPr>
          <w:rFonts w:ascii="仿宋_GB2312" w:eastAsia="仿宋_GB2312" w:hAnsi="仿宋_GB2312" w:cs="仿宋_GB2312"/>
          <w:sz w:val="28"/>
          <w:szCs w:val="28"/>
        </w:rPr>
      </w:pPr>
    </w:p>
    <w:p w:rsidR="00B11AE6">
      <w:pPr>
        <w:ind w:left="360"/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杭银理财</w:t>
      </w:r>
      <w:r>
        <w:rPr>
          <w:rFonts w:asciiTheme="minorEastAsia" w:hAnsiTheme="minorEastAsia" w:cstheme="minorEastAsia" w:hint="eastAsia"/>
          <w:sz w:val="28"/>
          <w:szCs w:val="28"/>
        </w:rPr>
        <w:t>有限责任公司</w:t>
      </w:r>
    </w:p>
    <w:p w:rsidR="00B11AE6">
      <w:pPr>
        <w:jc w:val="right"/>
        <w:rPr>
          <w:rFonts w:asciiTheme="minorEastAsia" w:hAnsiTheme="minorEastAsia" w:cstheme="minorEastAsia"/>
          <w:sz w:val="28"/>
          <w:szCs w:val="28"/>
        </w:rPr>
      </w:pPr>
      <w:r>
        <w:rPr>
          <w:rFonts w:asciiTheme="minorEastAsia" w:hAnsiTheme="minorEastAsia" w:cstheme="minorEastAsia" w:hint="eastAsia"/>
          <w:sz w:val="28"/>
          <w:szCs w:val="28"/>
        </w:rPr>
        <w:t>2025年6月19日</w:t>
      </w:r>
    </w:p>
    <w:sectPr>
      <w:headerReference w:type="default" r:id="rId5"/>
      <w:pgSz w:w="11906" w:h="16838"/>
      <w:pgMar w:top="2551" w:right="1803" w:bottom="2551" w:left="1803" w:header="851" w:footer="992" w:gutter="0"/>
      <w:cols w:space="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仿宋_GB2312">
    <w:altName w:val="仿宋"/>
    <w:charset w:val="86"/>
    <w:family w:val="auto"/>
    <w:pitch w:val="default"/>
    <w:sig w:usb0="00000001" w:usb1="080E0000" w:usb2="00000000" w:usb3="00000000" w:csb0="0004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B11AE6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1D3811CC"/>
    <w:multiLevelType w:val="multilevel"/>
    <w:tmpl w:val="1D3811CC"/>
    <w:lvl w:ilvl="0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10"/>
  <w:embedSystemFonts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E34DE"/>
    <w:rsid w:val="00200A72"/>
    <w:rsid w:val="002469CB"/>
    <w:rsid w:val="002B4BBF"/>
    <w:rsid w:val="003841A4"/>
    <w:rsid w:val="00412E97"/>
    <w:rsid w:val="005200AA"/>
    <w:rsid w:val="00573563"/>
    <w:rsid w:val="00592C06"/>
    <w:rsid w:val="00603D57"/>
    <w:rsid w:val="00632F14"/>
    <w:rsid w:val="0073172D"/>
    <w:rsid w:val="007809D7"/>
    <w:rsid w:val="007A3E72"/>
    <w:rsid w:val="007B0559"/>
    <w:rsid w:val="00860348"/>
    <w:rsid w:val="00863721"/>
    <w:rsid w:val="008D2DFF"/>
    <w:rsid w:val="009D66D1"/>
    <w:rsid w:val="00AC2AB6"/>
    <w:rsid w:val="00B11AE6"/>
    <w:rsid w:val="00BB5D37"/>
    <w:rsid w:val="00C10907"/>
    <w:rsid w:val="00C47DF8"/>
    <w:rsid w:val="00C87BF7"/>
    <w:rsid w:val="00D00D6A"/>
    <w:rsid w:val="00E846FF"/>
    <w:rsid w:val="00F965A1"/>
    <w:rsid w:val="00FA50AB"/>
    <w:rsid w:val="050F5184"/>
    <w:rsid w:val="0AB0656E"/>
    <w:rsid w:val="0CB459D4"/>
    <w:rsid w:val="151D7E14"/>
    <w:rsid w:val="18462C74"/>
    <w:rsid w:val="190B63BC"/>
    <w:rsid w:val="1F0A0FE5"/>
    <w:rsid w:val="1F48553E"/>
    <w:rsid w:val="21F964F5"/>
    <w:rsid w:val="28362D7D"/>
    <w:rsid w:val="2AB67C98"/>
    <w:rsid w:val="3286081F"/>
    <w:rsid w:val="3BF50A6E"/>
    <w:rsid w:val="3C231661"/>
    <w:rsid w:val="3E174A3C"/>
    <w:rsid w:val="3ED86525"/>
    <w:rsid w:val="3F221A4C"/>
    <w:rsid w:val="3FC04F0B"/>
    <w:rsid w:val="447B660D"/>
    <w:rsid w:val="462266D9"/>
    <w:rsid w:val="4C4A04BD"/>
    <w:rsid w:val="50B7489E"/>
    <w:rsid w:val="50DC0E7A"/>
    <w:rsid w:val="548E4345"/>
    <w:rsid w:val="595715BE"/>
    <w:rsid w:val="5A7F5A78"/>
    <w:rsid w:val="600F7924"/>
    <w:rsid w:val="612B75BF"/>
    <w:rsid w:val="661D745C"/>
    <w:rsid w:val="6687052B"/>
    <w:rsid w:val="6B6670CE"/>
    <w:rsid w:val="6D5B6E8B"/>
    <w:rsid w:val="6D623B7E"/>
    <w:rsid w:val="6E683E61"/>
    <w:rsid w:val="71B3167E"/>
    <w:rsid w:val="78026722"/>
    <w:rsid w:val="79337090"/>
    <w:rsid w:val="7EA037DA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9161B409-4ACC-4B12-A793-B6166DB3E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iPriority="99" w:unhideWhenUsed="1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TableGrid">
    <w:name w:val="Table Grid"/>
    <w:basedOn w:val="TableNormal"/>
    <w:uiPriority w:val="99"/>
    <w:qFormat/>
    <w:pPr>
      <w:widowControl w:val="0"/>
      <w:jc w:val="both"/>
    </w:pPr>
    <w:rPr>
      <w:rFonts w:ascii="Times New Roman" w:eastAsia="宋体" w:hAnsi="Times New Roman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567</Words>
  <Characters>292</Characters>
  <Application>Microsoft Office Word</Application>
  <DocSecurity>0</DocSecurity>
  <Lines>2</Lines>
  <Paragraphs>1</Paragraphs>
  <ScaleCrop>false</ScaleCrop>
  <Company/>
  <LinksUpToDate>false</LinksUpToDate>
  <CharactersWithSpaces>858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22</cp:revision>
  <dcterms:created xsi:type="dcterms:W3CDTF">2022-08-17T14:47:00Z</dcterms:created>
  <dcterms:modified xsi:type="dcterms:W3CDTF">2025-05-28T06:40:00Z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2052-11.8.2.8411</vt:lpwstr>
  </property>
</Properties>
</file>