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pacing w:line="480" w:lineRule="auto"/>
        <w:jc w:val="center"/>
        <w:rPr>
          <w:rFonts w:hint="eastAsia" w:hAnsi="宋体" w:cs="宋体"/>
          <w:b/>
          <w:sz w:val="28"/>
          <w:highlight w:val="none"/>
        </w:rPr>
      </w:pPr>
      <w:bookmarkStart w:id="0" w:name="_GoBack"/>
      <w:bookmarkEnd w:id="0"/>
      <w:r>
        <w:rPr>
          <w:rFonts w:hint="eastAsia" w:hAnsi="宋体" w:cs="宋体"/>
          <w:b/>
          <w:color w:val="000000"/>
          <w:sz w:val="28"/>
          <w:highlight w:val="none"/>
          <w:lang w:val="en-US" w:eastAsia="zh-CN"/>
        </w:rPr>
        <w:t>“金鹿理财-温盈”20046号</w:t>
      </w:r>
      <w:r>
        <w:rPr>
          <w:rFonts w:hint="eastAsia" w:hAnsi="宋体" w:cs="宋体"/>
          <w:b/>
          <w:sz w:val="28"/>
          <w:highlight w:val="none"/>
        </w:rPr>
        <w:t>（</w:t>
      </w:r>
      <w:r>
        <w:rPr>
          <w:rFonts w:hint="eastAsia" w:hAnsi="宋体" w:cs="宋体"/>
          <w:b/>
          <w:color w:val="000000"/>
          <w:sz w:val="28"/>
          <w:highlight w:val="none"/>
          <w:lang w:val="en-US" w:eastAsia="zh-CN"/>
        </w:rPr>
        <w:t>第11期182天</w:t>
      </w:r>
      <w:r>
        <w:rPr>
          <w:rFonts w:hint="eastAsia" w:hAnsi="宋体" w:cs="宋体"/>
          <w:b/>
          <w:sz w:val="28"/>
          <w:highlight w:val="none"/>
        </w:rPr>
        <w:t>）定期开放式净值型银行理财计划投资运作周期到期公告</w:t>
      </w:r>
    </w:p>
    <w:p>
      <w:pPr>
        <w:pStyle w:val="2"/>
        <w:rPr>
          <w:rFonts w:hAnsi="宋体" w:cs="宋体"/>
          <w:highlight w:val="none"/>
        </w:rPr>
      </w:pPr>
    </w:p>
    <w:p>
      <w:pPr>
        <w:widowControl/>
        <w:adjustRightInd w:val="0"/>
        <w:snapToGrid w:val="0"/>
        <w:spacing w:line="360" w:lineRule="auto"/>
        <w:jc w:val="left"/>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rPr>
        <w:t>尊敬的投资者：</w:t>
      </w:r>
    </w:p>
    <w:p>
      <w:pPr>
        <w:widowControl/>
        <w:adjustRightInd w:val="0"/>
        <w:snapToGrid w:val="0"/>
        <w:spacing w:line="360" w:lineRule="auto"/>
        <w:ind w:firstLine="480" w:firstLineChars="200"/>
        <w:jc w:val="left"/>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本行于</w:t>
      </w:r>
      <w:r>
        <w:rPr>
          <w:rFonts w:hint="eastAsia" w:ascii="宋体" w:hAnsi="宋体" w:eastAsia="宋体" w:cs="宋体"/>
          <w:color w:val="000000"/>
          <w:kern w:val="0"/>
          <w:sz w:val="24"/>
          <w:szCs w:val="24"/>
          <w:highlight w:val="none"/>
          <w:lang w:val="en-US" w:eastAsia="zh-CN" w:bidi="ar-SA"/>
        </w:rPr>
        <w:t>2025年5月7日</w:t>
      </w:r>
      <w:r>
        <w:rPr>
          <w:rFonts w:hint="eastAsia" w:ascii="宋体" w:hAnsi="宋体" w:eastAsia="宋体" w:cs="宋体"/>
          <w:kern w:val="0"/>
          <w:sz w:val="24"/>
          <w:szCs w:val="24"/>
          <w:highlight w:val="none"/>
          <w:lang w:val="en-US" w:eastAsia="zh-CN" w:bidi="ar-SA"/>
        </w:rPr>
        <w:t>成立运作的温州银行</w:t>
      </w:r>
      <w:r>
        <w:rPr>
          <w:rFonts w:hint="eastAsia" w:ascii="宋体" w:hAnsi="宋体" w:eastAsia="宋体" w:cs="宋体"/>
          <w:color w:val="000000"/>
          <w:kern w:val="0"/>
          <w:sz w:val="24"/>
          <w:szCs w:val="24"/>
          <w:highlight w:val="none"/>
          <w:lang w:val="en-US" w:eastAsia="zh-CN" w:bidi="ar-SA"/>
        </w:rPr>
        <w:t>“金鹿理财-温盈”20046号</w:t>
      </w:r>
      <w:r>
        <w:rPr>
          <w:rFonts w:hint="eastAsia" w:ascii="宋体" w:hAnsi="宋体" w:eastAsia="宋体" w:cs="宋体"/>
          <w:kern w:val="0"/>
          <w:sz w:val="24"/>
          <w:szCs w:val="24"/>
          <w:highlight w:val="none"/>
          <w:lang w:val="en-US" w:eastAsia="zh-CN" w:bidi="ar-SA"/>
        </w:rPr>
        <w:t>定期开放式净值型银行理财计划（产品编号：</w:t>
      </w:r>
      <w:r>
        <w:rPr>
          <w:rFonts w:hint="eastAsia" w:ascii="宋体" w:hAnsi="宋体" w:eastAsia="宋体" w:cs="宋体"/>
          <w:color w:val="000000"/>
          <w:kern w:val="0"/>
          <w:sz w:val="24"/>
          <w:szCs w:val="24"/>
          <w:highlight w:val="none"/>
          <w:lang w:val="en-US" w:eastAsia="zh-CN" w:bidi="ar-SA"/>
        </w:rPr>
        <w:t>YJ2046</w:t>
      </w:r>
      <w:r>
        <w:rPr>
          <w:rFonts w:hint="eastAsia" w:ascii="宋体" w:hAnsi="宋体" w:eastAsia="宋体" w:cs="宋体"/>
          <w:kern w:val="0"/>
          <w:sz w:val="24"/>
          <w:szCs w:val="24"/>
          <w:highlight w:val="none"/>
          <w:lang w:val="en-US" w:eastAsia="zh-CN" w:bidi="ar-SA"/>
        </w:rPr>
        <w:t>）（</w:t>
      </w:r>
      <w:r>
        <w:rPr>
          <w:rFonts w:hint="eastAsia" w:ascii="宋体" w:hAnsi="宋体" w:eastAsia="宋体" w:cs="宋体"/>
          <w:color w:val="000000"/>
          <w:kern w:val="0"/>
          <w:sz w:val="24"/>
          <w:szCs w:val="24"/>
          <w:highlight w:val="none"/>
          <w:lang w:val="en-US" w:eastAsia="zh-CN" w:bidi="ar-SA"/>
        </w:rPr>
        <w:t>第11期182天</w:t>
      </w:r>
      <w:r>
        <w:rPr>
          <w:rFonts w:hint="eastAsia" w:ascii="宋体" w:hAnsi="宋体" w:eastAsia="宋体" w:cs="宋体"/>
          <w:kern w:val="0"/>
          <w:sz w:val="24"/>
          <w:szCs w:val="24"/>
          <w:highlight w:val="none"/>
          <w:lang w:val="en-US" w:eastAsia="zh-CN" w:bidi="ar-SA"/>
        </w:rPr>
        <w:t>）投资运作周期于</w:t>
      </w:r>
      <w:r>
        <w:rPr>
          <w:rFonts w:hint="eastAsia" w:ascii="宋体" w:hAnsi="宋体" w:eastAsia="宋体" w:cs="宋体"/>
          <w:color w:val="000000"/>
          <w:kern w:val="0"/>
          <w:sz w:val="24"/>
          <w:szCs w:val="24"/>
          <w:highlight w:val="none"/>
          <w:lang w:val="en-US" w:eastAsia="zh-CN" w:bidi="ar-SA"/>
        </w:rPr>
        <w:t>2025年11月5日</w:t>
      </w:r>
      <w:r>
        <w:rPr>
          <w:rFonts w:hint="eastAsia" w:ascii="宋体" w:hAnsi="宋体" w:eastAsia="宋体" w:cs="宋体"/>
          <w:kern w:val="0"/>
          <w:sz w:val="24"/>
          <w:szCs w:val="24"/>
          <w:highlight w:val="none"/>
          <w:lang w:val="en-US" w:eastAsia="zh-CN" w:bidi="ar-SA"/>
        </w:rPr>
        <w:t>到期清算，本周期内提交赎回申请的理财产品本金及所有投资者的理财产品收益已于</w:t>
      </w:r>
      <w:r>
        <w:rPr>
          <w:rFonts w:hint="eastAsia" w:ascii="宋体" w:hAnsi="宋体" w:eastAsia="宋体" w:cs="宋体"/>
          <w:color w:val="000000"/>
          <w:kern w:val="0"/>
          <w:sz w:val="24"/>
          <w:szCs w:val="24"/>
          <w:highlight w:val="none"/>
          <w:lang w:val="en-US" w:eastAsia="zh-CN" w:bidi="ar-SA"/>
        </w:rPr>
        <w:t>2025年11月5日</w:t>
      </w:r>
      <w:r>
        <w:rPr>
          <w:rFonts w:hint="eastAsia" w:ascii="宋体" w:hAnsi="宋体" w:eastAsia="宋体" w:cs="宋体"/>
          <w:kern w:val="0"/>
          <w:sz w:val="24"/>
          <w:szCs w:val="24"/>
          <w:highlight w:val="none"/>
          <w:lang w:val="en-US" w:eastAsia="zh-CN" w:bidi="ar-SA"/>
        </w:rPr>
        <w:t>分配至投资者签约账户。</w:t>
      </w:r>
    </w:p>
    <w:p>
      <w:pPr>
        <w:widowControl/>
        <w:adjustRightInd w:val="0"/>
        <w:snapToGrid w:val="0"/>
        <w:spacing w:line="360" w:lineRule="auto"/>
        <w:ind w:firstLine="480" w:firstLineChars="200"/>
        <w:jc w:val="left"/>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根据理财产品实际运作情况，同时在扣除相应费用后，本投资运作周期理财产品投资者持有至周期到期的实际收益率约为</w:t>
      </w:r>
      <w:r>
        <w:rPr>
          <w:rFonts w:hint="eastAsia" w:ascii="宋体" w:hAnsi="宋体" w:eastAsia="宋体" w:cs="宋体"/>
          <w:color w:val="000000"/>
          <w:kern w:val="0"/>
          <w:sz w:val="24"/>
          <w:szCs w:val="24"/>
          <w:highlight w:val="none"/>
          <w:lang w:val="en-US" w:eastAsia="zh-CN" w:bidi="ar-SA"/>
        </w:rPr>
        <w:t>2.74%</w:t>
      </w:r>
      <w:r>
        <w:rPr>
          <w:rFonts w:hint="eastAsia" w:ascii="宋体" w:hAnsi="宋体" w:eastAsia="宋体" w:cs="宋体"/>
          <w:kern w:val="0"/>
          <w:sz w:val="24"/>
          <w:szCs w:val="24"/>
          <w:highlight w:val="none"/>
          <w:lang w:val="en-US" w:eastAsia="zh-CN" w:bidi="ar-SA"/>
        </w:rPr>
        <w:t>（年化）。</w:t>
      </w:r>
    </w:p>
    <w:p>
      <w:pPr>
        <w:widowControl/>
        <w:adjustRightInd w:val="0"/>
        <w:snapToGrid w:val="0"/>
        <w:spacing w:line="360" w:lineRule="auto"/>
        <w:ind w:firstLine="480" w:firstLineChars="200"/>
        <w:jc w:val="left"/>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同时，本次投资运作周期清算在完成收益分配后，本产品在周期清算日的单位净值为1.00，开放期内提交的申购、赎回交易申请根据该单位净值完成交易确认。在完成周期清算后，产品合计存续份额</w:t>
      </w:r>
      <w:r>
        <w:rPr>
          <w:rFonts w:hint="eastAsia" w:ascii="宋体" w:hAnsi="宋体" w:eastAsia="宋体" w:cs="宋体"/>
          <w:color w:val="000000"/>
          <w:kern w:val="0"/>
          <w:sz w:val="24"/>
          <w:szCs w:val="24"/>
          <w:highlight w:val="none"/>
          <w:lang w:val="en-US" w:eastAsia="zh-CN" w:bidi="ar-SA"/>
        </w:rPr>
        <w:t>273135000</w:t>
      </w:r>
      <w:r>
        <w:rPr>
          <w:rFonts w:hint="eastAsia" w:ascii="宋体" w:hAnsi="宋体" w:eastAsia="宋体" w:cs="宋体"/>
          <w:kern w:val="0"/>
          <w:sz w:val="24"/>
          <w:szCs w:val="24"/>
          <w:highlight w:val="none"/>
          <w:lang w:val="en-US" w:eastAsia="zh-CN" w:bidi="ar-SA"/>
        </w:rPr>
        <w:t>份，并于</w:t>
      </w:r>
      <w:r>
        <w:rPr>
          <w:rFonts w:hint="eastAsia" w:ascii="宋体" w:hAnsi="宋体" w:eastAsia="宋体" w:cs="宋体"/>
          <w:color w:val="000000"/>
          <w:kern w:val="0"/>
          <w:sz w:val="24"/>
          <w:szCs w:val="24"/>
          <w:highlight w:val="none"/>
          <w:lang w:val="en-US" w:eastAsia="zh-CN" w:bidi="ar-SA"/>
        </w:rPr>
        <w:t>2025年11月5日</w:t>
      </w:r>
      <w:r>
        <w:rPr>
          <w:rFonts w:hint="eastAsia" w:ascii="宋体" w:hAnsi="宋体" w:eastAsia="宋体" w:cs="宋体"/>
          <w:kern w:val="0"/>
          <w:sz w:val="24"/>
          <w:szCs w:val="24"/>
          <w:highlight w:val="none"/>
          <w:lang w:val="en-US" w:eastAsia="zh-CN" w:bidi="ar-SA"/>
        </w:rPr>
        <w:t>起正式进入“</w:t>
      </w:r>
      <w:r>
        <w:rPr>
          <w:rFonts w:hint="eastAsia" w:ascii="宋体" w:hAnsi="宋体" w:eastAsia="宋体" w:cs="宋体"/>
          <w:color w:val="000000"/>
          <w:kern w:val="0"/>
          <w:sz w:val="24"/>
          <w:szCs w:val="24"/>
          <w:highlight w:val="none"/>
          <w:lang w:val="en-US" w:eastAsia="zh-CN" w:bidi="ar-SA"/>
        </w:rPr>
        <w:t>第12期182天</w:t>
      </w:r>
      <w:r>
        <w:rPr>
          <w:rFonts w:hint="eastAsia" w:ascii="宋体" w:hAnsi="宋体" w:eastAsia="宋体" w:cs="宋体"/>
          <w:kern w:val="0"/>
          <w:sz w:val="24"/>
          <w:szCs w:val="24"/>
          <w:highlight w:val="none"/>
          <w:lang w:val="en-US" w:eastAsia="zh-CN" w:bidi="ar-SA"/>
        </w:rPr>
        <w:t>”投资运作周期进行投资运作，本产品在周期清算日的累计单位净值为</w:t>
      </w:r>
      <w:r>
        <w:rPr>
          <w:rFonts w:hint="eastAsia" w:ascii="宋体" w:hAnsi="宋体" w:eastAsia="宋体" w:cs="宋体"/>
          <w:color w:val="000000"/>
          <w:kern w:val="0"/>
          <w:sz w:val="24"/>
          <w:szCs w:val="24"/>
          <w:highlight w:val="none"/>
          <w:lang w:val="en-US" w:eastAsia="zh-CN" w:bidi="ar-SA"/>
        </w:rPr>
        <w:t>1.19844468</w:t>
      </w:r>
      <w:r>
        <w:rPr>
          <w:rFonts w:hint="eastAsia" w:ascii="宋体" w:hAnsi="宋体" w:eastAsia="宋体" w:cs="宋体"/>
          <w:kern w:val="0"/>
          <w:sz w:val="24"/>
          <w:szCs w:val="24"/>
          <w:highlight w:val="none"/>
          <w:lang w:val="en-US" w:eastAsia="zh-CN" w:bidi="ar-SA"/>
        </w:rPr>
        <w:t>。</w:t>
      </w:r>
    </w:p>
    <w:p>
      <w:pPr>
        <w:widowControl/>
        <w:adjustRightInd w:val="0"/>
        <w:snapToGrid w:val="0"/>
        <w:spacing w:line="360" w:lineRule="auto"/>
        <w:ind w:firstLine="480" w:firstLineChars="200"/>
        <w:jc w:val="left"/>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详情请咨询温州银行各营业网点或拨打客服热线：</w:t>
      </w:r>
      <w:r>
        <w:rPr>
          <w:rFonts w:hint="eastAsia" w:ascii="宋体" w:hAnsi="宋体" w:eastAsia="宋体" w:cs="宋体"/>
          <w:kern w:val="0"/>
          <w:sz w:val="24"/>
          <w:szCs w:val="24"/>
          <w:highlight w:val="none"/>
          <w:lang w:val="zh-CN" w:eastAsia="zh-CN" w:bidi="ar-SA"/>
        </w:rPr>
        <w:t>96699 (浙江) 、962699 (上海)、0577－96699 (其他地区)</w:t>
      </w:r>
      <w:r>
        <w:rPr>
          <w:rFonts w:hint="eastAsia" w:ascii="宋体" w:hAnsi="宋体" w:eastAsia="宋体" w:cs="宋体"/>
          <w:kern w:val="0"/>
          <w:sz w:val="24"/>
          <w:szCs w:val="24"/>
          <w:highlight w:val="none"/>
          <w:lang w:val="en-US" w:eastAsia="zh-CN" w:bidi="ar-SA"/>
        </w:rPr>
        <w:t>。</w:t>
      </w:r>
    </w:p>
    <w:p>
      <w:pPr>
        <w:widowControl/>
        <w:adjustRightInd w:val="0"/>
        <w:snapToGrid w:val="0"/>
        <w:spacing w:line="360" w:lineRule="auto"/>
        <w:ind w:firstLine="480" w:firstLineChars="200"/>
        <w:jc w:val="left"/>
        <w:rPr>
          <w:rFonts w:hint="eastAsia" w:ascii="宋体" w:hAnsi="宋体" w:eastAsia="宋体" w:cs="宋体"/>
          <w:kern w:val="0"/>
          <w:sz w:val="24"/>
          <w:szCs w:val="24"/>
          <w:highlight w:val="none"/>
          <w:lang w:val="en-US" w:eastAsia="zh-CN" w:bidi="ar-SA"/>
        </w:rPr>
      </w:pPr>
    </w:p>
    <w:p>
      <w:pPr>
        <w:widowControl/>
        <w:adjustRightInd w:val="0"/>
        <w:snapToGrid w:val="0"/>
        <w:spacing w:line="360" w:lineRule="auto"/>
        <w:ind w:firstLine="480" w:firstLineChars="200"/>
        <w:jc w:val="left"/>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注：根据产品说明书约定，本理财产品在投资运作周期清算时收取相应费用如下：</w:t>
      </w:r>
    </w:p>
    <w:p>
      <w:pPr>
        <w:widowControl/>
        <w:numPr>
          <w:ilvl w:val="0"/>
          <w:numId w:val="0"/>
        </w:numPr>
        <w:adjustRightInd w:val="0"/>
        <w:snapToGrid w:val="0"/>
        <w:spacing w:line="360" w:lineRule="auto"/>
        <w:ind w:firstLine="480" w:firstLineChars="200"/>
        <w:jc w:val="left"/>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1.固定管理费：最高不超过0.8%（年化）。若本理财产品扣除产品固定管理费、托管费及其他费用（如有）后,期末累计单位净值年化增长率超过业绩比较基准，则温州银行按0.8%（年化）收取固定管理费；若本理财产品扣除产品固定管理费、托管费及其他费用（如有）后,期末累计单位净值年化增长率低于业绩比较基准，则温州银行将减免与业绩比较基准的差额部分，减免上限最高不超过0.8%（年化）。</w:t>
      </w:r>
    </w:p>
    <w:p>
      <w:pPr>
        <w:widowControl/>
        <w:adjustRightInd w:val="0"/>
        <w:snapToGrid w:val="0"/>
        <w:spacing w:line="360" w:lineRule="auto"/>
        <w:ind w:firstLine="480" w:firstLineChars="200"/>
        <w:jc w:val="left"/>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2.托管费：原则上按日计提，逐日累计至每个投资运作周期到期日从理财计划财产中扣除。托管费率为0.005%（年化）。</w:t>
      </w:r>
    </w:p>
    <w:p>
      <w:pPr>
        <w:widowControl/>
        <w:adjustRightInd w:val="0"/>
        <w:snapToGrid w:val="0"/>
        <w:spacing w:line="360" w:lineRule="auto"/>
        <w:ind w:firstLine="480" w:firstLineChars="200"/>
        <w:jc w:val="left"/>
        <w:rPr>
          <w:rFonts w:hint="eastAsia" w:ascii="宋体" w:hAnsi="宋体" w:eastAsia="宋体" w:cs="宋体"/>
          <w:color w:val="auto"/>
          <w:kern w:val="0"/>
          <w:sz w:val="24"/>
          <w:szCs w:val="24"/>
        </w:rPr>
      </w:pPr>
      <w:r>
        <w:rPr>
          <w:rFonts w:hint="eastAsia" w:ascii="宋体" w:hAnsi="宋体" w:eastAsia="宋体" w:cs="宋体"/>
          <w:kern w:val="0"/>
          <w:sz w:val="24"/>
          <w:szCs w:val="24"/>
          <w:highlight w:val="none"/>
          <w:lang w:val="en-US" w:eastAsia="zh-CN" w:bidi="ar-SA"/>
        </w:rPr>
        <w:t>3.</w:t>
      </w:r>
      <w:r>
        <w:rPr>
          <w:rFonts w:hint="eastAsia" w:ascii="宋体" w:hAnsi="宋体" w:eastAsia="宋体" w:cs="宋体"/>
          <w:color w:val="auto"/>
          <w:kern w:val="0"/>
          <w:sz w:val="24"/>
          <w:szCs w:val="24"/>
        </w:rPr>
        <w:t>浮动管理费：本理财产品扣除产品固定管理费及托管费等各项费用后,每日对比投资周期起始日至当日的累计单位净值年化增长率与业绩比较基准，投资管理人收取相应的浮动管理费。浮动管理费的具体计提及提取方式参照产品说明书中约定执行。</w:t>
      </w:r>
    </w:p>
    <w:p>
      <w:pPr>
        <w:widowControl/>
        <w:adjustRightInd w:val="0"/>
        <w:snapToGrid w:val="0"/>
        <w:spacing w:line="360" w:lineRule="auto"/>
        <w:ind w:firstLine="480" w:firstLineChars="200"/>
        <w:jc w:val="left"/>
        <w:rPr>
          <w:rFonts w:hint="eastAsia" w:ascii="宋体" w:hAnsi="宋体" w:eastAsia="宋体" w:cs="宋体"/>
          <w:kern w:val="0"/>
          <w:sz w:val="24"/>
          <w:szCs w:val="24"/>
          <w:highlight w:val="none"/>
          <w:lang w:val="en-US" w:eastAsia="zh-CN" w:bidi="ar-SA"/>
        </w:rPr>
      </w:pPr>
    </w:p>
    <w:p>
      <w:pPr>
        <w:widowControl/>
        <w:adjustRightInd w:val="0"/>
        <w:snapToGrid w:val="0"/>
        <w:spacing w:line="360" w:lineRule="auto"/>
        <w:ind w:firstLine="480" w:firstLineChars="200"/>
        <w:jc w:val="left"/>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特此公告！</w:t>
      </w:r>
    </w:p>
    <w:p>
      <w:pPr>
        <w:widowControl/>
        <w:adjustRightInd w:val="0"/>
        <w:snapToGrid w:val="0"/>
        <w:spacing w:line="360" w:lineRule="auto"/>
        <w:ind w:firstLine="480" w:firstLineChars="200"/>
        <w:jc w:val="right"/>
        <w:rPr>
          <w:rFonts w:hint="default"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温州银行股份有限公司</w:t>
      </w:r>
    </w:p>
    <w:p>
      <w:pPr>
        <w:widowControl/>
        <w:adjustRightInd w:val="0"/>
        <w:snapToGrid w:val="0"/>
        <w:spacing w:line="360" w:lineRule="auto"/>
        <w:ind w:firstLine="480" w:firstLineChars="200"/>
        <w:jc w:val="right"/>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2025年11月5日</w:t>
      </w:r>
    </w:p>
    <w:sectPr>
      <w:pgSz w:w="11906" w:h="16838"/>
      <w:pgMar w:top="1440" w:right="1753" w:bottom="1440" w:left="1753"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val="0"/>
  <w:bordersDoNotSurroundFooter w:val="0"/>
  <w:documentProtection w:edit="readOnly" w:enforcement="1" w:cryptProviderType="rsaFull" w:cryptAlgorithmClass="hash" w:cryptAlgorithmType="typeAny" w:cryptAlgorithmSid="4" w:cryptSpinCount="0" w:hash="UBxaANp7ld2/+QmObWHg0OA9/uk=" w:salt="jXW7j1O5oV1OmunZOYNGhw=="/>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4346"/>
    <w:rsid w:val="000048CD"/>
    <w:rsid w:val="000138A2"/>
    <w:rsid w:val="00044076"/>
    <w:rsid w:val="00055130"/>
    <w:rsid w:val="000A2A5A"/>
    <w:rsid w:val="000D499A"/>
    <w:rsid w:val="000E6E24"/>
    <w:rsid w:val="000F63FE"/>
    <w:rsid w:val="0013318E"/>
    <w:rsid w:val="00147537"/>
    <w:rsid w:val="00147D52"/>
    <w:rsid w:val="00157F91"/>
    <w:rsid w:val="00173DA9"/>
    <w:rsid w:val="001A2978"/>
    <w:rsid w:val="001A503B"/>
    <w:rsid w:val="001B3AB4"/>
    <w:rsid w:val="001C5AE3"/>
    <w:rsid w:val="001D12A2"/>
    <w:rsid w:val="001D6B42"/>
    <w:rsid w:val="00207AF9"/>
    <w:rsid w:val="0023572E"/>
    <w:rsid w:val="00242890"/>
    <w:rsid w:val="00273514"/>
    <w:rsid w:val="00282621"/>
    <w:rsid w:val="002962DC"/>
    <w:rsid w:val="002C146D"/>
    <w:rsid w:val="00313099"/>
    <w:rsid w:val="00365E0D"/>
    <w:rsid w:val="00381FB9"/>
    <w:rsid w:val="00391170"/>
    <w:rsid w:val="00393175"/>
    <w:rsid w:val="003D39FF"/>
    <w:rsid w:val="003D64EF"/>
    <w:rsid w:val="003D7540"/>
    <w:rsid w:val="003F3FE0"/>
    <w:rsid w:val="0040423A"/>
    <w:rsid w:val="00451A98"/>
    <w:rsid w:val="004B2864"/>
    <w:rsid w:val="004B6F80"/>
    <w:rsid w:val="004D50F3"/>
    <w:rsid w:val="004E2ACB"/>
    <w:rsid w:val="004E3146"/>
    <w:rsid w:val="005206EB"/>
    <w:rsid w:val="0056212F"/>
    <w:rsid w:val="0056669F"/>
    <w:rsid w:val="005C28C9"/>
    <w:rsid w:val="005C7F69"/>
    <w:rsid w:val="006535CC"/>
    <w:rsid w:val="00662DDC"/>
    <w:rsid w:val="006B2DF5"/>
    <w:rsid w:val="006D5E34"/>
    <w:rsid w:val="006E1514"/>
    <w:rsid w:val="006F371B"/>
    <w:rsid w:val="00716B9F"/>
    <w:rsid w:val="00730B40"/>
    <w:rsid w:val="0073797D"/>
    <w:rsid w:val="00787503"/>
    <w:rsid w:val="00794DD0"/>
    <w:rsid w:val="00795FD1"/>
    <w:rsid w:val="007A532A"/>
    <w:rsid w:val="007B16AF"/>
    <w:rsid w:val="007F5BF6"/>
    <w:rsid w:val="0084251A"/>
    <w:rsid w:val="0084502E"/>
    <w:rsid w:val="00893D92"/>
    <w:rsid w:val="008F09A8"/>
    <w:rsid w:val="008F6B8F"/>
    <w:rsid w:val="0090529F"/>
    <w:rsid w:val="00906AF8"/>
    <w:rsid w:val="00915E3F"/>
    <w:rsid w:val="00924324"/>
    <w:rsid w:val="009813DD"/>
    <w:rsid w:val="00994BA9"/>
    <w:rsid w:val="009A0374"/>
    <w:rsid w:val="009A6E1E"/>
    <w:rsid w:val="009B5FCE"/>
    <w:rsid w:val="009C2332"/>
    <w:rsid w:val="00A057DB"/>
    <w:rsid w:val="00A2219A"/>
    <w:rsid w:val="00A412D7"/>
    <w:rsid w:val="00A44AE3"/>
    <w:rsid w:val="00A9083F"/>
    <w:rsid w:val="00A9222C"/>
    <w:rsid w:val="00A9498F"/>
    <w:rsid w:val="00B02F70"/>
    <w:rsid w:val="00B7192B"/>
    <w:rsid w:val="00BB4716"/>
    <w:rsid w:val="00BC1CAF"/>
    <w:rsid w:val="00BC6242"/>
    <w:rsid w:val="00BD3DF2"/>
    <w:rsid w:val="00C64A52"/>
    <w:rsid w:val="00CC24F5"/>
    <w:rsid w:val="00CD0432"/>
    <w:rsid w:val="00D02856"/>
    <w:rsid w:val="00D454CB"/>
    <w:rsid w:val="00D92CB1"/>
    <w:rsid w:val="00D959B8"/>
    <w:rsid w:val="00D95C83"/>
    <w:rsid w:val="00E2602C"/>
    <w:rsid w:val="00E54336"/>
    <w:rsid w:val="00E54346"/>
    <w:rsid w:val="00E55ABE"/>
    <w:rsid w:val="00E7168B"/>
    <w:rsid w:val="00E7178A"/>
    <w:rsid w:val="00F014F9"/>
    <w:rsid w:val="00F41B00"/>
    <w:rsid w:val="00F465B0"/>
    <w:rsid w:val="00F82C94"/>
    <w:rsid w:val="00FA0D6B"/>
    <w:rsid w:val="00FC71C0"/>
    <w:rsid w:val="00FF3ADF"/>
    <w:rsid w:val="03150E40"/>
    <w:rsid w:val="031E3836"/>
    <w:rsid w:val="03903781"/>
    <w:rsid w:val="04A739CB"/>
    <w:rsid w:val="05116554"/>
    <w:rsid w:val="06560068"/>
    <w:rsid w:val="08C42592"/>
    <w:rsid w:val="09E26A24"/>
    <w:rsid w:val="0C771BC5"/>
    <w:rsid w:val="0E3B138F"/>
    <w:rsid w:val="11B2662E"/>
    <w:rsid w:val="129431CF"/>
    <w:rsid w:val="13021265"/>
    <w:rsid w:val="15AB3B98"/>
    <w:rsid w:val="161372AD"/>
    <w:rsid w:val="172B7847"/>
    <w:rsid w:val="175000DE"/>
    <w:rsid w:val="19F31A67"/>
    <w:rsid w:val="1A633052"/>
    <w:rsid w:val="1A7127D8"/>
    <w:rsid w:val="1AA92F79"/>
    <w:rsid w:val="1AFE78ED"/>
    <w:rsid w:val="20E147AA"/>
    <w:rsid w:val="214870DC"/>
    <w:rsid w:val="21B9465F"/>
    <w:rsid w:val="22EC4758"/>
    <w:rsid w:val="26A30CDE"/>
    <w:rsid w:val="26FA2A0E"/>
    <w:rsid w:val="27405844"/>
    <w:rsid w:val="27507E1B"/>
    <w:rsid w:val="2AAE6812"/>
    <w:rsid w:val="2C554FA6"/>
    <w:rsid w:val="2CDC4D6B"/>
    <w:rsid w:val="2EE94633"/>
    <w:rsid w:val="2F932AF0"/>
    <w:rsid w:val="34FC3145"/>
    <w:rsid w:val="374A2275"/>
    <w:rsid w:val="3809253D"/>
    <w:rsid w:val="3A2D582C"/>
    <w:rsid w:val="3AAC2BBB"/>
    <w:rsid w:val="3C6F372E"/>
    <w:rsid w:val="3CF37409"/>
    <w:rsid w:val="3ED0417E"/>
    <w:rsid w:val="40B37D6F"/>
    <w:rsid w:val="468F0B75"/>
    <w:rsid w:val="46BC1406"/>
    <w:rsid w:val="48B753BE"/>
    <w:rsid w:val="49891F57"/>
    <w:rsid w:val="4A0F1A59"/>
    <w:rsid w:val="4A113E3B"/>
    <w:rsid w:val="4A60183E"/>
    <w:rsid w:val="4CA252D1"/>
    <w:rsid w:val="4D8E558F"/>
    <w:rsid w:val="4DAA230F"/>
    <w:rsid w:val="4DD46498"/>
    <w:rsid w:val="4F601B8D"/>
    <w:rsid w:val="50D82457"/>
    <w:rsid w:val="524B2E83"/>
    <w:rsid w:val="533C240D"/>
    <w:rsid w:val="53755746"/>
    <w:rsid w:val="539853E6"/>
    <w:rsid w:val="5404026A"/>
    <w:rsid w:val="54650FC5"/>
    <w:rsid w:val="546D0C77"/>
    <w:rsid w:val="54C04264"/>
    <w:rsid w:val="56B936F7"/>
    <w:rsid w:val="57925254"/>
    <w:rsid w:val="59F757C5"/>
    <w:rsid w:val="5ADA0E4E"/>
    <w:rsid w:val="5BB21576"/>
    <w:rsid w:val="5C115BF5"/>
    <w:rsid w:val="61770040"/>
    <w:rsid w:val="62A2261A"/>
    <w:rsid w:val="62F42038"/>
    <w:rsid w:val="65BF3B98"/>
    <w:rsid w:val="66D11124"/>
    <w:rsid w:val="67984D06"/>
    <w:rsid w:val="682248CE"/>
    <w:rsid w:val="6A1E3C65"/>
    <w:rsid w:val="6DAD175B"/>
    <w:rsid w:val="6E602721"/>
    <w:rsid w:val="6FFF380A"/>
    <w:rsid w:val="71AC229A"/>
    <w:rsid w:val="71BE1634"/>
    <w:rsid w:val="71CF24E4"/>
    <w:rsid w:val="72336766"/>
    <w:rsid w:val="73DE7F89"/>
    <w:rsid w:val="74B05F13"/>
    <w:rsid w:val="751A0CDE"/>
    <w:rsid w:val="78D42724"/>
    <w:rsid w:val="7B7E674D"/>
    <w:rsid w:val="7BFC1DE6"/>
    <w:rsid w:val="7CF35D76"/>
    <w:rsid w:val="7DC717F3"/>
    <w:rsid w:val="7DD943E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uiPriority="99" w:name="Normal (Web)"/>
    <w:lsdException w:uiPriority="99" w:name="HTML Acronym"/>
    <w:lsdException w:uiPriority="99" w:name="HTML Address"/>
    <w:lsdException w:qFormat="1" w:uiPriority="99" w:name="HTML Cite"/>
    <w:lsdException w:qFormat="1" w:uiPriority="99" w:name="HTML Code"/>
    <w:lsdException w:qFormat="1" w:uiPriority="99" w:name="HTML Definition"/>
    <w:lsdException w:uiPriority="99" w:name="HTML Keyboard"/>
    <w:lsdException w:uiPriority="99" w:name="HTML Preformatted"/>
    <w:lsdException w:uiPriority="99" w:name="HTML Sample"/>
    <w:lsdException w:uiPriority="99" w:name="HTML Typewriter"/>
    <w:lsdException w:qFormat="1"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6">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Plain Text"/>
    <w:basedOn w:val="1"/>
    <w:link w:val="13"/>
    <w:unhideWhenUsed/>
    <w:qFormat/>
    <w:uiPriority w:val="99"/>
    <w:rPr>
      <w:rFonts w:ascii="宋体" w:hAnsi="Courier New" w:eastAsia="宋体" w:cs="Courier New"/>
      <w:szCs w:val="21"/>
    </w:rPr>
  </w:style>
  <w:style w:type="paragraph" w:styleId="3">
    <w:name w:val="footer"/>
    <w:basedOn w:val="1"/>
    <w:link w:val="15"/>
    <w:semiHidden/>
    <w:unhideWhenUsed/>
    <w:qFormat/>
    <w:uiPriority w:val="99"/>
    <w:pPr>
      <w:tabs>
        <w:tab w:val="center" w:pos="4153"/>
        <w:tab w:val="right" w:pos="8306"/>
      </w:tabs>
      <w:snapToGrid w:val="0"/>
      <w:jc w:val="left"/>
    </w:pPr>
    <w:rPr>
      <w:sz w:val="18"/>
      <w:szCs w:val="18"/>
    </w:rPr>
  </w:style>
  <w:style w:type="paragraph" w:styleId="4">
    <w:name w:val="header"/>
    <w:basedOn w:val="1"/>
    <w:link w:val="14"/>
    <w:semiHidden/>
    <w:unhideWhenUsed/>
    <w:qFormat/>
    <w:uiPriority w:val="99"/>
    <w:pPr>
      <w:pBdr>
        <w:bottom w:val="single" w:color="auto" w:sz="6" w:space="1"/>
      </w:pBdr>
      <w:tabs>
        <w:tab w:val="center" w:pos="4153"/>
        <w:tab w:val="right" w:pos="8306"/>
      </w:tabs>
      <w:snapToGrid w:val="0"/>
      <w:jc w:val="center"/>
    </w:pPr>
    <w:rPr>
      <w:sz w:val="18"/>
      <w:szCs w:val="18"/>
    </w:rPr>
  </w:style>
  <w:style w:type="character" w:styleId="7">
    <w:name w:val="Strong"/>
    <w:basedOn w:val="6"/>
    <w:qFormat/>
    <w:uiPriority w:val="22"/>
    <w:rPr>
      <w:shd w:val="clear" w:fill="FFFFFF"/>
    </w:rPr>
  </w:style>
  <w:style w:type="character" w:styleId="8">
    <w:name w:val="Emphasis"/>
    <w:basedOn w:val="6"/>
    <w:qFormat/>
    <w:uiPriority w:val="20"/>
  </w:style>
  <w:style w:type="character" w:styleId="9">
    <w:name w:val="HTML Definition"/>
    <w:basedOn w:val="6"/>
    <w:semiHidden/>
    <w:unhideWhenUsed/>
    <w:qFormat/>
    <w:uiPriority w:val="99"/>
  </w:style>
  <w:style w:type="character" w:styleId="10">
    <w:name w:val="HTML Variable"/>
    <w:basedOn w:val="6"/>
    <w:semiHidden/>
    <w:unhideWhenUsed/>
    <w:qFormat/>
    <w:uiPriority w:val="99"/>
  </w:style>
  <w:style w:type="character" w:styleId="11">
    <w:name w:val="HTML Code"/>
    <w:basedOn w:val="6"/>
    <w:semiHidden/>
    <w:unhideWhenUsed/>
    <w:qFormat/>
    <w:uiPriority w:val="99"/>
    <w:rPr>
      <w:rFonts w:ascii="Courier New" w:hAnsi="Courier New"/>
      <w:sz w:val="20"/>
    </w:rPr>
  </w:style>
  <w:style w:type="character" w:styleId="12">
    <w:name w:val="HTML Cite"/>
    <w:basedOn w:val="6"/>
    <w:semiHidden/>
    <w:unhideWhenUsed/>
    <w:qFormat/>
    <w:uiPriority w:val="99"/>
  </w:style>
  <w:style w:type="character" w:customStyle="1" w:styleId="13">
    <w:name w:val="纯文本 Char"/>
    <w:basedOn w:val="6"/>
    <w:link w:val="2"/>
    <w:qFormat/>
    <w:uiPriority w:val="99"/>
    <w:rPr>
      <w:rFonts w:ascii="宋体" w:hAnsi="Courier New" w:eastAsia="宋体" w:cs="Courier New"/>
      <w:szCs w:val="21"/>
    </w:rPr>
  </w:style>
  <w:style w:type="character" w:customStyle="1" w:styleId="14">
    <w:name w:val="页眉 Char"/>
    <w:basedOn w:val="6"/>
    <w:link w:val="4"/>
    <w:semiHidden/>
    <w:qFormat/>
    <w:uiPriority w:val="99"/>
    <w:rPr>
      <w:sz w:val="18"/>
      <w:szCs w:val="18"/>
    </w:rPr>
  </w:style>
  <w:style w:type="character" w:customStyle="1" w:styleId="15">
    <w:name w:val="页脚 Char"/>
    <w:basedOn w:val="6"/>
    <w:link w:val="3"/>
    <w:semiHidden/>
    <w:qFormat/>
    <w:uiPriority w:val="99"/>
    <w:rPr>
      <w:sz w:val="18"/>
      <w:szCs w:val="18"/>
    </w:rPr>
  </w:style>
  <w:style w:type="character" w:customStyle="1" w:styleId="16">
    <w:name w:val="x-tab-strip-text"/>
    <w:basedOn w:val="6"/>
    <w:qFormat/>
    <w:uiPriority w:val="0"/>
    <w:rPr>
      <w:rFonts w:ascii="Tahoma" w:hAnsi="Tahoma" w:eastAsia="Tahoma" w:cs="Tahoma"/>
      <w:color w:val="FFFFFF"/>
      <w:sz w:val="18"/>
      <w:szCs w:val="18"/>
    </w:rPr>
  </w:style>
  <w:style w:type="character" w:customStyle="1" w:styleId="17">
    <w:name w:val="x-tab-strip-text1"/>
    <w:basedOn w:val="6"/>
    <w:qFormat/>
    <w:uiPriority w:val="0"/>
  </w:style>
  <w:style w:type="character" w:customStyle="1" w:styleId="18">
    <w:name w:val="x-tab-strip-text2"/>
    <w:basedOn w:val="6"/>
    <w:qFormat/>
    <w:uiPriority w:val="0"/>
  </w:style>
  <w:style w:type="character" w:customStyle="1" w:styleId="19">
    <w:name w:val="x-tab-strip-text3"/>
    <w:basedOn w:val="6"/>
    <w:qFormat/>
    <w:uiPriority w:val="0"/>
    <w:rPr>
      <w:b/>
      <w:color w:val="0471B4"/>
    </w:rPr>
  </w:style>
  <w:style w:type="character" w:customStyle="1" w:styleId="20">
    <w:name w:val="x-tab-strip-text4"/>
    <w:basedOn w:val="6"/>
    <w:qFormat/>
    <w:uiPriority w:val="0"/>
  </w:style>
  <w:style w:type="character" w:customStyle="1" w:styleId="21">
    <w:name w:val="x-tab-strip-text5"/>
    <w:basedOn w:val="6"/>
    <w:qFormat/>
    <w:uiPriority w:val="0"/>
    <w:rPr>
      <w:color w:val="15428B"/>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Sky123.Org</Company>
  <Pages>1</Pages>
  <Words>105</Words>
  <Characters>604</Characters>
  <Lines>5</Lines>
  <Paragraphs>1</Paragraphs>
  <TotalTime>95</TotalTime>
  <ScaleCrop>false</ScaleCrop>
  <LinksUpToDate>false</LinksUpToDate>
  <CharactersWithSpaces>708</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2018-10-10T05:47:00Z</dcterms:created>
  <dc:creator>admin</dc:creator>
  <cp:lastModifiedBy>User</cp:lastModifiedBy>
  <cp:lastPrinted>2020-01-08T03:32:00Z</cp:lastPrinted>
  <dcterms:modified xsi:type="dcterms:W3CDTF">2025-11-08T07:52:45Z</dcterms:modified>
  <cp:revision>41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y fmtid="{D5CDD505-2E9C-101B-9397-08002B2CF9AE}" pid="3" name="ICV">
    <vt:lpwstr>19297A7FEC764B66BFDDCC66DDAAE09F</vt:lpwstr>
  </property>
</Properties>
</file>