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highlight w:val="none"/>
        </w:rPr>
      </w:pPr>
      <w:bookmarkStart w:id="0" w:name="_GoBack"/>
      <w:bookmarkEnd w:id="0"/>
      <w:r>
        <w:rPr>
          <w:rFonts w:hint="eastAsia" w:hAnsi="宋体" w:cs="宋体"/>
          <w:b/>
          <w:color w:val="000000"/>
          <w:sz w:val="28"/>
          <w:highlight w:val="none"/>
          <w:lang w:val="en-US" w:eastAsia="zh-CN"/>
        </w:rPr>
        <w:t>“金鹿理财-普惠季享”11号</w:t>
      </w:r>
      <w:r>
        <w:rPr>
          <w:rFonts w:hint="eastAsia" w:hAnsi="宋体" w:cs="宋体"/>
          <w:b/>
          <w:sz w:val="28"/>
          <w:highlight w:val="none"/>
        </w:rPr>
        <w:t>（</w:t>
      </w:r>
      <w:r>
        <w:rPr>
          <w:rFonts w:hint="eastAsia" w:hAnsi="宋体" w:cs="宋体"/>
          <w:b/>
          <w:color w:val="000000"/>
          <w:sz w:val="28"/>
          <w:highlight w:val="none"/>
          <w:lang w:val="en-US" w:eastAsia="zh-CN"/>
        </w:rPr>
        <w:t>第17期91天</w:t>
      </w:r>
      <w:r>
        <w:rPr>
          <w:rFonts w:hint="eastAsia" w:hAnsi="宋体" w:cs="宋体"/>
          <w:b/>
          <w:sz w:val="28"/>
          <w:highlight w:val="none"/>
        </w:rPr>
        <w:t>）定期开放式净值型银行理财计划投资运作周期到期公告</w:t>
      </w:r>
    </w:p>
    <w:p>
      <w:pPr>
        <w:pStyle w:val="2"/>
        <w:rPr>
          <w:rFonts w:hAnsi="宋体" w:cs="宋体"/>
          <w:highlight w:val="none"/>
        </w:rPr>
      </w:pPr>
    </w:p>
    <w:p>
      <w:pPr>
        <w:widowControl/>
        <w:adjustRightInd w:val="0"/>
        <w:snapToGrid w:val="0"/>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尊敬的投资者：</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本行</w:t>
      </w:r>
      <w:r>
        <w:rPr>
          <w:rFonts w:hint="eastAsia" w:ascii="宋体" w:hAnsi="宋体" w:eastAsia="宋体" w:cs="宋体"/>
          <w:color w:val="000000"/>
          <w:kern w:val="0"/>
          <w:sz w:val="24"/>
          <w:szCs w:val="24"/>
          <w:highlight w:val="none"/>
          <w:lang w:val="en-US" w:eastAsia="zh-CN" w:bidi="ar-SA"/>
        </w:rPr>
        <w:t>2025年8月5日</w:t>
      </w:r>
      <w:r>
        <w:rPr>
          <w:rFonts w:hint="eastAsia" w:ascii="宋体" w:hAnsi="宋体" w:eastAsia="宋体" w:cs="宋体"/>
          <w:kern w:val="0"/>
          <w:sz w:val="24"/>
          <w:szCs w:val="24"/>
          <w:highlight w:val="none"/>
          <w:lang w:val="en-US" w:eastAsia="zh-CN" w:bidi="ar-SA"/>
        </w:rPr>
        <w:t>成立运作的温州银行</w:t>
      </w:r>
      <w:r>
        <w:rPr>
          <w:rFonts w:hint="eastAsia" w:ascii="宋体" w:hAnsi="宋体" w:eastAsia="宋体" w:cs="宋体"/>
          <w:color w:val="000000"/>
          <w:kern w:val="0"/>
          <w:sz w:val="24"/>
          <w:szCs w:val="24"/>
          <w:highlight w:val="none"/>
          <w:lang w:val="en-US" w:eastAsia="zh-CN" w:bidi="ar-SA"/>
        </w:rPr>
        <w:t>“金鹿理财-普惠季享”11号</w:t>
      </w:r>
      <w:r>
        <w:rPr>
          <w:rFonts w:hint="eastAsia" w:ascii="宋体" w:hAnsi="宋体" w:eastAsia="宋体" w:cs="宋体"/>
          <w:kern w:val="0"/>
          <w:sz w:val="24"/>
          <w:szCs w:val="24"/>
          <w:highlight w:val="none"/>
          <w:lang w:val="en-US" w:eastAsia="zh-CN" w:bidi="ar-SA"/>
        </w:rPr>
        <w:t>定期开放式净值型银行理财计划（产品编号：</w:t>
      </w:r>
      <w:r>
        <w:rPr>
          <w:rFonts w:hint="eastAsia" w:ascii="宋体" w:hAnsi="宋体" w:eastAsia="宋体" w:cs="宋体"/>
          <w:color w:val="000000"/>
          <w:kern w:val="0"/>
          <w:sz w:val="24"/>
          <w:szCs w:val="24"/>
          <w:highlight w:val="none"/>
          <w:lang w:val="en-US" w:eastAsia="zh-CN" w:bidi="ar-SA"/>
        </w:rPr>
        <w:t>JX0011</w:t>
      </w:r>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000000"/>
          <w:kern w:val="0"/>
          <w:sz w:val="24"/>
          <w:szCs w:val="24"/>
          <w:highlight w:val="none"/>
          <w:lang w:val="en-US" w:eastAsia="zh-CN" w:bidi="ar-SA"/>
        </w:rPr>
        <w:t>第17期91天</w:t>
      </w:r>
      <w:r>
        <w:rPr>
          <w:rFonts w:hint="eastAsia" w:ascii="宋体" w:hAnsi="宋体" w:eastAsia="宋体" w:cs="宋体"/>
          <w:kern w:val="0"/>
          <w:sz w:val="24"/>
          <w:szCs w:val="24"/>
          <w:highlight w:val="none"/>
          <w:lang w:val="en-US" w:eastAsia="zh-CN" w:bidi="ar-SA"/>
        </w:rPr>
        <w:t>）投资运作周期于</w:t>
      </w:r>
      <w:r>
        <w:rPr>
          <w:rFonts w:hint="eastAsia" w:ascii="宋体" w:hAnsi="宋体" w:eastAsia="宋体" w:cs="宋体"/>
          <w:color w:val="000000"/>
          <w:kern w:val="0"/>
          <w:sz w:val="24"/>
          <w:szCs w:val="24"/>
          <w:highlight w:val="none"/>
          <w:lang w:val="en-US" w:eastAsia="zh-CN" w:bidi="ar-SA"/>
        </w:rPr>
        <w:t>2025年11月4日</w:t>
      </w:r>
      <w:r>
        <w:rPr>
          <w:rFonts w:hint="eastAsia" w:ascii="宋体" w:hAnsi="宋体" w:eastAsia="宋体" w:cs="宋体"/>
          <w:kern w:val="0"/>
          <w:sz w:val="24"/>
          <w:szCs w:val="24"/>
          <w:highlight w:val="none"/>
          <w:lang w:val="en-US" w:eastAsia="zh-CN" w:bidi="ar-SA"/>
        </w:rPr>
        <w:t>到期清算，本周期内提交赎回申请的理财产品本金及所有投资者的理财产品收益已于</w:t>
      </w:r>
      <w:r>
        <w:rPr>
          <w:rFonts w:hint="eastAsia" w:ascii="宋体" w:hAnsi="宋体" w:eastAsia="宋体" w:cs="宋体"/>
          <w:color w:val="000000"/>
          <w:kern w:val="0"/>
          <w:sz w:val="24"/>
          <w:szCs w:val="24"/>
          <w:highlight w:val="none"/>
          <w:lang w:val="en-US" w:eastAsia="zh-CN" w:bidi="ar-SA"/>
        </w:rPr>
        <w:t>2025年11月4日</w:t>
      </w:r>
      <w:r>
        <w:rPr>
          <w:rFonts w:hint="eastAsia" w:ascii="宋体" w:hAnsi="宋体" w:eastAsia="宋体" w:cs="宋体"/>
          <w:kern w:val="0"/>
          <w:sz w:val="24"/>
          <w:szCs w:val="24"/>
          <w:highlight w:val="none"/>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根据理财产品实际运作情况，同时在扣除相应费用后，本投资运作周期理财产品投资者持有至周期到期的实际收益率约为</w:t>
      </w:r>
      <w:r>
        <w:rPr>
          <w:rFonts w:hint="eastAsia" w:ascii="宋体" w:hAnsi="宋体" w:eastAsia="宋体" w:cs="宋体"/>
          <w:color w:val="000000"/>
          <w:kern w:val="0"/>
          <w:sz w:val="24"/>
          <w:szCs w:val="24"/>
          <w:highlight w:val="none"/>
          <w:lang w:val="en-US" w:eastAsia="zh-CN" w:bidi="ar-SA"/>
        </w:rPr>
        <w:t>2.31%</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w:t>
      </w:r>
      <w:r>
        <w:rPr>
          <w:rFonts w:hint="eastAsia" w:ascii="宋体" w:hAnsi="宋体" w:eastAsia="宋体" w:cs="宋体"/>
          <w:color w:val="000000"/>
          <w:kern w:val="0"/>
          <w:sz w:val="24"/>
          <w:szCs w:val="24"/>
          <w:highlight w:val="none"/>
          <w:lang w:val="en-US" w:eastAsia="zh-CN" w:bidi="ar-SA"/>
        </w:rPr>
        <w:t>436969200</w:t>
      </w:r>
      <w:r>
        <w:rPr>
          <w:rFonts w:hint="eastAsia" w:ascii="宋体" w:hAnsi="宋体" w:eastAsia="宋体" w:cs="宋体"/>
          <w:kern w:val="0"/>
          <w:sz w:val="24"/>
          <w:szCs w:val="24"/>
          <w:highlight w:val="none"/>
          <w:lang w:val="en-US" w:eastAsia="zh-CN" w:bidi="ar-SA"/>
        </w:rPr>
        <w:t>.00份，并于</w:t>
      </w:r>
      <w:r>
        <w:rPr>
          <w:rFonts w:hint="eastAsia" w:ascii="宋体" w:hAnsi="宋体" w:eastAsia="宋体" w:cs="宋体"/>
          <w:color w:val="000000"/>
          <w:kern w:val="0"/>
          <w:sz w:val="24"/>
          <w:szCs w:val="24"/>
          <w:highlight w:val="none"/>
          <w:lang w:val="en-US" w:eastAsia="zh-CN" w:bidi="ar-SA"/>
        </w:rPr>
        <w:t>2025年11月4日</w:t>
      </w:r>
      <w:r>
        <w:rPr>
          <w:rFonts w:hint="eastAsia" w:ascii="宋体" w:hAnsi="宋体" w:eastAsia="宋体" w:cs="宋体"/>
          <w:kern w:val="0"/>
          <w:sz w:val="24"/>
          <w:szCs w:val="24"/>
          <w:highlight w:val="none"/>
          <w:lang w:val="en-US" w:eastAsia="zh-CN" w:bidi="ar-SA"/>
        </w:rPr>
        <w:t>起正式进入“</w:t>
      </w:r>
      <w:r>
        <w:rPr>
          <w:rFonts w:hint="eastAsia" w:ascii="宋体" w:hAnsi="宋体" w:eastAsia="宋体" w:cs="宋体"/>
          <w:color w:val="000000"/>
          <w:kern w:val="0"/>
          <w:sz w:val="24"/>
          <w:szCs w:val="24"/>
          <w:highlight w:val="none"/>
          <w:lang w:val="en-US" w:eastAsia="zh-CN" w:bidi="ar-SA"/>
        </w:rPr>
        <w:t>第18期91天</w:t>
      </w:r>
      <w:r>
        <w:rPr>
          <w:rFonts w:hint="eastAsia" w:ascii="宋体" w:hAnsi="宋体" w:eastAsia="宋体" w:cs="宋体"/>
          <w:kern w:val="0"/>
          <w:sz w:val="24"/>
          <w:szCs w:val="24"/>
          <w:highlight w:val="none"/>
          <w:lang w:val="en-US" w:eastAsia="zh-CN" w:bidi="ar-SA"/>
        </w:rPr>
        <w:t>”投资运作周期进行投资运作，本产品在周期清算日的累计单位净值为</w:t>
      </w:r>
      <w:r>
        <w:rPr>
          <w:rFonts w:hint="eastAsia" w:ascii="宋体" w:hAnsi="宋体" w:eastAsia="宋体" w:cs="宋体"/>
          <w:color w:val="000000"/>
          <w:kern w:val="0"/>
          <w:sz w:val="24"/>
          <w:szCs w:val="24"/>
          <w:highlight w:val="none"/>
          <w:lang w:val="en-US" w:eastAsia="zh-CN" w:bidi="ar-SA"/>
        </w:rPr>
        <w:t>1.13864047</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详情请咨询温州银行各营业网点或拨打客服热线：</w:t>
      </w:r>
      <w:r>
        <w:rPr>
          <w:rFonts w:hint="eastAsia" w:ascii="宋体" w:hAnsi="宋体" w:eastAsia="宋体" w:cs="宋体"/>
          <w:kern w:val="0"/>
          <w:sz w:val="24"/>
          <w:szCs w:val="24"/>
          <w:highlight w:val="none"/>
          <w:lang w:val="zh-CN" w:eastAsia="zh-CN" w:bidi="ar-SA"/>
        </w:rPr>
        <w:t>96699 (浙江) 、962699 (上海)、0577－96699 (其他地区)</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注：根据产品说明书约定，本理财产品在投资运作周期清算时收取相应费用如下：</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固定管理费率最高不超过</w:t>
      </w:r>
      <w:r>
        <w:rPr>
          <w:rFonts w:hint="eastAsia" w:ascii="宋体" w:hAnsi="宋体" w:eastAsia="宋体" w:cs="宋体"/>
          <w:color w:val="000000"/>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%（年化）。若本理财产品扣除产品固定管理费、托管费及其他费用（如有）后,期末累计单位净值年化增长率超过业绩比较基准，则温州银行按</w:t>
      </w:r>
      <w:r>
        <w:rPr>
          <w:rFonts w:hint="eastAsia" w:ascii="宋体" w:hAnsi="宋体" w:eastAsia="宋体" w:cs="宋体"/>
          <w:color w:val="000000"/>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ascii="宋体" w:hAnsi="宋体" w:eastAsia="宋体" w:cs="宋体"/>
          <w:color w:val="000000"/>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浮动管理费：本理财产品扣除产品固定管理费及托管费等各项费用后,每日对比投资周期起始日至当日的累计单位净值年化增长率与业绩比较基准，投资管理人收取相应的浮动管理费。浮动管理费的具体计提及提取方式参照产品说明书中约定执行。</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4.其他费用（如有）：交易费用（包括但不限于交易佣金、撮合费用等）、理财计划外包估值服务费、理财计划验资费、审计费、律师费、信息披露费、清算费、执行费用等相关费用，具体以实际发生为准。</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特此公告！</w:t>
      </w:r>
    </w:p>
    <w:p>
      <w:pPr>
        <w:widowControl/>
        <w:adjustRightInd w:val="0"/>
        <w:snapToGrid w:val="0"/>
        <w:spacing w:line="360" w:lineRule="auto"/>
        <w:ind w:firstLine="480" w:firstLineChars="200"/>
        <w:jc w:val="righ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2025年11月6日</w:t>
      </w:r>
    </w:p>
    <w:p>
      <w:pPr>
        <w:rPr>
          <w:rFonts w:hint="eastAsia"/>
          <w:lang w:val="en-US" w:eastAsia="zh-CN"/>
        </w:rPr>
      </w:pP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dit="readOnly" w:enforcement="1" w:cryptProviderType="rsaFull" w:cryptAlgorithmClass="hash" w:cryptAlgorithmType="typeAny" w:cryptAlgorithmSid="4" w:cryptSpinCount="0" w:hash="yzuVJZ8I13ObD+lsIozQyvipOWY=" w:salt="EBCrT4DEe1GJaO0+8cqo5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525DE"/>
    <w:rsid w:val="00787503"/>
    <w:rsid w:val="00794DD0"/>
    <w:rsid w:val="00795FD1"/>
    <w:rsid w:val="007A532A"/>
    <w:rsid w:val="007B16AF"/>
    <w:rsid w:val="007F5BF6"/>
    <w:rsid w:val="0084251A"/>
    <w:rsid w:val="0084502E"/>
    <w:rsid w:val="00893D92"/>
    <w:rsid w:val="008D74FC"/>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17A00D8"/>
    <w:rsid w:val="031E3836"/>
    <w:rsid w:val="04020776"/>
    <w:rsid w:val="04A739CB"/>
    <w:rsid w:val="04F679A5"/>
    <w:rsid w:val="05116554"/>
    <w:rsid w:val="08C42592"/>
    <w:rsid w:val="0ABC1B6F"/>
    <w:rsid w:val="0C5156D0"/>
    <w:rsid w:val="0C771BC5"/>
    <w:rsid w:val="13021265"/>
    <w:rsid w:val="14CC474B"/>
    <w:rsid w:val="15AB3B98"/>
    <w:rsid w:val="172B7847"/>
    <w:rsid w:val="19F31A67"/>
    <w:rsid w:val="1AA92F79"/>
    <w:rsid w:val="1AFE78ED"/>
    <w:rsid w:val="1BC62C10"/>
    <w:rsid w:val="1C920D92"/>
    <w:rsid w:val="214870DC"/>
    <w:rsid w:val="21B9465F"/>
    <w:rsid w:val="239169AF"/>
    <w:rsid w:val="24505696"/>
    <w:rsid w:val="26FA2A0E"/>
    <w:rsid w:val="2A7D3EF5"/>
    <w:rsid w:val="2AAE6812"/>
    <w:rsid w:val="2CDC4D6B"/>
    <w:rsid w:val="2F932AF0"/>
    <w:rsid w:val="374A2275"/>
    <w:rsid w:val="3809253D"/>
    <w:rsid w:val="3A3834D5"/>
    <w:rsid w:val="3C6F372E"/>
    <w:rsid w:val="3CF37409"/>
    <w:rsid w:val="40B37D6F"/>
    <w:rsid w:val="43A03D7E"/>
    <w:rsid w:val="457A4C4A"/>
    <w:rsid w:val="46BC1406"/>
    <w:rsid w:val="48B753BE"/>
    <w:rsid w:val="4A113E3B"/>
    <w:rsid w:val="4CA252D1"/>
    <w:rsid w:val="4D8E558F"/>
    <w:rsid w:val="4DB43DF9"/>
    <w:rsid w:val="4F15757B"/>
    <w:rsid w:val="4F601B8D"/>
    <w:rsid w:val="50D82457"/>
    <w:rsid w:val="51DA5A26"/>
    <w:rsid w:val="528B0DC1"/>
    <w:rsid w:val="533C240D"/>
    <w:rsid w:val="53755746"/>
    <w:rsid w:val="5404026A"/>
    <w:rsid w:val="57670F19"/>
    <w:rsid w:val="57925254"/>
    <w:rsid w:val="59F757C5"/>
    <w:rsid w:val="5ADA0E4E"/>
    <w:rsid w:val="5BB21576"/>
    <w:rsid w:val="5C115BF5"/>
    <w:rsid w:val="5F297D71"/>
    <w:rsid w:val="62743FD3"/>
    <w:rsid w:val="62A2261A"/>
    <w:rsid w:val="62F42038"/>
    <w:rsid w:val="65BF3B98"/>
    <w:rsid w:val="66D11124"/>
    <w:rsid w:val="67984D06"/>
    <w:rsid w:val="682248CE"/>
    <w:rsid w:val="6A1E3C65"/>
    <w:rsid w:val="6CDE15A9"/>
    <w:rsid w:val="6DAD175B"/>
    <w:rsid w:val="6F3959CD"/>
    <w:rsid w:val="6FFF380A"/>
    <w:rsid w:val="704F2589"/>
    <w:rsid w:val="71030A8E"/>
    <w:rsid w:val="72336766"/>
    <w:rsid w:val="73DE7F89"/>
    <w:rsid w:val="74313FD0"/>
    <w:rsid w:val="74B05F13"/>
    <w:rsid w:val="75AC371E"/>
    <w:rsid w:val="760005AA"/>
    <w:rsid w:val="78482E05"/>
    <w:rsid w:val="798854EF"/>
    <w:rsid w:val="7CF35D76"/>
    <w:rsid w:val="7D5F5A8A"/>
    <w:rsid w:val="7DC717F3"/>
    <w:rsid w:val="7DD943E5"/>
    <w:rsid w:val="7ECB7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shd w:val="clear" w:fill="FFFFFF"/>
    </w:rPr>
  </w:style>
  <w:style w:type="character" w:styleId="8">
    <w:name w:val="Emphasis"/>
    <w:basedOn w:val="6"/>
    <w:qFormat/>
    <w:uiPriority w:val="20"/>
  </w:style>
  <w:style w:type="character" w:styleId="9">
    <w:name w:val="HTML Definition"/>
    <w:basedOn w:val="6"/>
    <w:semiHidden/>
    <w:unhideWhenUsed/>
    <w:qFormat/>
    <w:uiPriority w:val="99"/>
  </w:style>
  <w:style w:type="character" w:styleId="10">
    <w:name w:val="HTML Variable"/>
    <w:basedOn w:val="6"/>
    <w:semiHidden/>
    <w:unhideWhenUsed/>
    <w:qFormat/>
    <w:uiPriority w:val="99"/>
  </w:style>
  <w:style w:type="character" w:styleId="11">
    <w:name w:val="HTML Code"/>
    <w:basedOn w:val="6"/>
    <w:semiHidden/>
    <w:unhideWhenUsed/>
    <w:qFormat/>
    <w:uiPriority w:val="99"/>
    <w:rPr>
      <w:rFonts w:ascii="Courier New" w:hAnsi="Courier New"/>
      <w:sz w:val="20"/>
    </w:rPr>
  </w:style>
  <w:style w:type="character" w:styleId="12">
    <w:name w:val="HTML Cite"/>
    <w:basedOn w:val="6"/>
    <w:semiHidden/>
    <w:unhideWhenUsed/>
    <w:qFormat/>
    <w:uiPriority w:val="99"/>
  </w:style>
  <w:style w:type="character" w:customStyle="1" w:styleId="13">
    <w:name w:val="纯文本 Char"/>
    <w:basedOn w:val="6"/>
    <w:link w:val="2"/>
    <w:qFormat/>
    <w:uiPriority w:val="99"/>
    <w:rPr>
      <w:rFonts w:ascii="宋体" w:hAnsi="Courier New" w:eastAsia="宋体" w:cs="Courier New"/>
      <w:szCs w:val="21"/>
    </w:rPr>
  </w:style>
  <w:style w:type="character" w:customStyle="1" w:styleId="14">
    <w:name w:val="页眉 Char"/>
    <w:basedOn w:val="6"/>
    <w:link w:val="4"/>
    <w:semiHidden/>
    <w:qFormat/>
    <w:uiPriority w:val="99"/>
    <w:rPr>
      <w:sz w:val="18"/>
      <w:szCs w:val="18"/>
    </w:rPr>
  </w:style>
  <w:style w:type="character" w:customStyle="1" w:styleId="15">
    <w:name w:val="页脚 Char"/>
    <w:basedOn w:val="6"/>
    <w:link w:val="3"/>
    <w:semiHidden/>
    <w:qFormat/>
    <w:uiPriority w:val="99"/>
    <w:rPr>
      <w:sz w:val="18"/>
      <w:szCs w:val="18"/>
    </w:rPr>
  </w:style>
  <w:style w:type="character" w:customStyle="1" w:styleId="16">
    <w:name w:val="x-tab-strip-text"/>
    <w:basedOn w:val="6"/>
    <w:qFormat/>
    <w:uiPriority w:val="0"/>
    <w:rPr>
      <w:rFonts w:ascii="Tahoma" w:hAnsi="Tahoma" w:eastAsia="Tahoma" w:cs="Tahoma"/>
      <w:color w:val="FFFFFF"/>
      <w:sz w:val="18"/>
      <w:szCs w:val="18"/>
    </w:rPr>
  </w:style>
  <w:style w:type="character" w:customStyle="1" w:styleId="17">
    <w:name w:val="x-tab-strip-text1"/>
    <w:basedOn w:val="6"/>
    <w:qFormat/>
    <w:uiPriority w:val="0"/>
  </w:style>
  <w:style w:type="character" w:customStyle="1" w:styleId="18">
    <w:name w:val="x-tab-strip-text2"/>
    <w:basedOn w:val="6"/>
    <w:qFormat/>
    <w:uiPriority w:val="0"/>
  </w:style>
  <w:style w:type="character" w:customStyle="1" w:styleId="19">
    <w:name w:val="x-tab-strip-text3"/>
    <w:basedOn w:val="6"/>
    <w:qFormat/>
    <w:uiPriority w:val="0"/>
    <w:rPr>
      <w:b/>
      <w:color w:val="0471B4"/>
    </w:rPr>
  </w:style>
  <w:style w:type="character" w:customStyle="1" w:styleId="20">
    <w:name w:val="x-tab-strip-text4"/>
    <w:basedOn w:val="6"/>
    <w:qFormat/>
    <w:uiPriority w:val="0"/>
  </w:style>
  <w:style w:type="character" w:customStyle="1" w:styleId="21">
    <w:name w:val="x-tab-strip-text5"/>
    <w:basedOn w:val="6"/>
    <w:qFormat/>
    <w:uiPriority w:val="0"/>
    <w:rPr>
      <w:color w:val="15428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6</TotalTime>
  <ScaleCrop>false</ScaleCrop>
  <LinksUpToDate>false</LinksUpToDate>
  <CharactersWithSpaces>708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2020-01-08T03:32:00Z</cp:lastPrinted>
  <dcterms:modified xsi:type="dcterms:W3CDTF">2025-11-08T07:52:46Z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F57B629E9685453093F97689049FC29F</vt:lpwstr>
  </property>
</Properties>
</file>