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pacing w:line="480" w:lineRule="auto"/>
        <w:jc w:val="center"/>
        <w:rPr>
          <w:rFonts w:hAnsi="宋体" w:cs="宋体"/>
          <w:b/>
          <w:sz w:val="28"/>
          <w:highlight w:val="none"/>
        </w:rPr>
      </w:pPr>
      <w:bookmarkStart w:id="0" w:name="_GoBack"/>
      <w:bookmarkEnd w:id="0"/>
      <w:r>
        <w:rPr>
          <w:rFonts w:hint="eastAsia" w:hAnsi="宋体" w:cs="宋体"/>
          <w:b/>
          <w:sz w:val="28"/>
          <w:highlight w:val="none"/>
        </w:rPr>
        <w:t>“金鹿理财-普惠盈周”1号银行理财计划</w:t>
      </w:r>
    </w:p>
    <w:p>
      <w:pPr>
        <w:widowControl/>
        <w:spacing w:line="480" w:lineRule="auto"/>
        <w:jc w:val="center"/>
        <w:rPr>
          <w:rFonts w:hAnsi="宋体" w:cs="宋体"/>
          <w:b/>
          <w:sz w:val="28"/>
          <w:highlight w:val="none"/>
        </w:rPr>
      </w:pPr>
      <w:r>
        <w:rPr>
          <w:rFonts w:hint="eastAsia" w:hAnsi="宋体" w:cs="宋体"/>
          <w:b/>
          <w:color w:val="000000"/>
          <w:sz w:val="28"/>
          <w:highlight w:val="none"/>
          <w:lang w:val="en-US" w:eastAsia="zh-CN"/>
        </w:rPr>
        <w:t>2025年11月6日</w:t>
      </w:r>
      <w:r>
        <w:rPr>
          <w:rFonts w:hint="eastAsia" w:hAnsi="宋体" w:cs="宋体"/>
          <w:b/>
          <w:sz w:val="28"/>
          <w:highlight w:val="none"/>
        </w:rPr>
        <w:t>清算公告</w:t>
      </w:r>
    </w:p>
    <w:p>
      <w:pPr>
        <w:widowControl/>
        <w:adjustRightInd w:val="0"/>
        <w:snapToGrid w:val="0"/>
        <w:spacing w:line="360" w:lineRule="auto"/>
        <w:rPr>
          <w:rFonts w:hAnsi="宋体" w:cs="宋体"/>
          <w:highlight w:val="none"/>
        </w:rPr>
      </w:pPr>
      <w:r>
        <w:rPr>
          <w:rFonts w:hint="eastAsia" w:ascii="宋体" w:hAnsi="宋体" w:eastAsia="宋体" w:cs="宋体"/>
          <w:kern w:val="0"/>
          <w:sz w:val="24"/>
          <w:szCs w:val="24"/>
          <w:highlight w:val="none"/>
        </w:rPr>
        <w:t>尊敬的投资者：</w:t>
      </w:r>
    </w:p>
    <w:p>
      <w:pPr>
        <w:widowControl/>
        <w:adjustRightInd w:val="0"/>
        <w:snapToGrid w:val="0"/>
        <w:spacing w:line="360" w:lineRule="auto"/>
        <w:ind w:firstLine="480" w:firstLineChars="200"/>
        <w:jc w:val="left"/>
        <w:rPr>
          <w:rFonts w:ascii="宋体" w:hAnsi="宋体" w:eastAsia="宋体" w:cs="宋体"/>
          <w:kern w:val="0"/>
          <w:sz w:val="24"/>
          <w:szCs w:val="24"/>
          <w:highlight w:val="none"/>
        </w:rPr>
      </w:pPr>
      <w:r>
        <w:rPr>
          <w:rFonts w:hint="eastAsia" w:ascii="宋体" w:hAnsi="宋体" w:eastAsia="宋体" w:cs="宋体"/>
          <w:kern w:val="0"/>
          <w:sz w:val="24"/>
          <w:szCs w:val="24"/>
          <w:highlight w:val="none"/>
        </w:rPr>
        <w:t>本行于2020年9月28日成立运作的温州银行“金鹿理财-普惠盈周”1号开放式净值型银行理财计划（产品编号：PZ0001</w:t>
      </w:r>
      <w:r>
        <w:rPr>
          <w:rFonts w:ascii="宋体" w:hAnsi="宋体" w:eastAsia="宋体" w:cs="宋体"/>
          <w:kern w:val="0"/>
          <w:sz w:val="24"/>
          <w:szCs w:val="24"/>
          <w:highlight w:val="none"/>
        </w:rPr>
        <w:t>）</w:t>
      </w:r>
      <w:r>
        <w:rPr>
          <w:rFonts w:hint="eastAsia" w:ascii="宋体" w:hAnsi="宋体" w:eastAsia="宋体" w:cs="宋体"/>
          <w:kern w:val="0"/>
          <w:sz w:val="24"/>
          <w:szCs w:val="24"/>
          <w:highlight w:val="none"/>
        </w:rPr>
        <w:t>于</w:t>
      </w:r>
      <w:r>
        <w:rPr>
          <w:rFonts w:hint="eastAsia" w:ascii="宋体" w:hAnsi="宋体" w:cs="宋体"/>
          <w:color w:val="000000"/>
          <w:kern w:val="0"/>
          <w:sz w:val="24"/>
          <w:szCs w:val="24"/>
          <w:highlight w:val="none"/>
          <w:lang w:val="en-US" w:eastAsia="zh-CN"/>
        </w:rPr>
        <w:t>2025年11月6日</w:t>
      </w:r>
      <w:r>
        <w:rPr>
          <w:rFonts w:hint="eastAsia" w:ascii="宋体" w:hAnsi="宋体" w:eastAsia="宋体" w:cs="宋体"/>
          <w:kern w:val="0"/>
          <w:sz w:val="24"/>
          <w:szCs w:val="24"/>
          <w:highlight w:val="none"/>
        </w:rPr>
        <w:t>进行周期清算，本周期内提交的赎回申请的理财产品本金及所有投资者的理财产品收益将于周期清算完成后分配至投资者签约账户。</w:t>
      </w:r>
    </w:p>
    <w:p>
      <w:pPr>
        <w:widowControl/>
        <w:adjustRightInd w:val="0"/>
        <w:snapToGrid w:val="0"/>
        <w:spacing w:line="360" w:lineRule="auto"/>
        <w:ind w:firstLine="480" w:firstLineChars="200"/>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根据理财产品实际运作情况，同时在扣除相应费用后，本投资运作周期（</w:t>
      </w:r>
      <w:r>
        <w:rPr>
          <w:rFonts w:hint="eastAsia" w:ascii="宋体" w:hAnsi="宋体" w:cs="宋体"/>
          <w:color w:val="000000"/>
          <w:kern w:val="0"/>
          <w:sz w:val="24"/>
          <w:szCs w:val="24"/>
          <w:highlight w:val="none"/>
          <w:lang w:val="en-US" w:eastAsia="zh-CN"/>
        </w:rPr>
        <w:t>2025年10月30日至2025年11月6日</w:t>
      </w:r>
      <w:r>
        <w:rPr>
          <w:rFonts w:hint="eastAsia" w:ascii="宋体" w:hAnsi="宋体" w:eastAsia="宋体" w:cs="宋体"/>
          <w:kern w:val="0"/>
          <w:sz w:val="24"/>
          <w:szCs w:val="24"/>
          <w:highlight w:val="none"/>
        </w:rPr>
        <w:t>）理财产品投资者持有至周期到期的实际年化收益率约为</w:t>
      </w:r>
      <w:r>
        <w:rPr>
          <w:rFonts w:hint="eastAsia" w:ascii="宋体" w:hAnsi="宋体" w:cs="宋体"/>
          <w:color w:val="000000"/>
          <w:kern w:val="0"/>
          <w:sz w:val="24"/>
          <w:szCs w:val="24"/>
          <w:highlight w:val="none"/>
          <w:lang w:val="en-US" w:eastAsia="zh-CN"/>
        </w:rPr>
        <w:t>1.91%</w:t>
      </w:r>
      <w:r>
        <w:rPr>
          <w:rFonts w:hint="eastAsia" w:ascii="宋体" w:hAnsi="宋体" w:eastAsia="宋体" w:cs="宋体"/>
          <w:kern w:val="0"/>
          <w:sz w:val="24"/>
          <w:szCs w:val="24"/>
          <w:highlight w:val="none"/>
        </w:rPr>
        <w:t>（年化），产品近</w:t>
      </w:r>
      <w:r>
        <w:rPr>
          <w:rFonts w:hint="eastAsia" w:ascii="宋体" w:hAnsi="宋体" w:cs="宋体"/>
          <w:kern w:val="0"/>
          <w:sz w:val="24"/>
          <w:szCs w:val="24"/>
          <w:highlight w:val="none"/>
          <w:lang w:val="en-US" w:eastAsia="zh-CN"/>
        </w:rPr>
        <w:t>1个月</w:t>
      </w:r>
      <w:r>
        <w:rPr>
          <w:rFonts w:hint="eastAsia" w:ascii="宋体" w:hAnsi="宋体" w:eastAsia="宋体" w:cs="宋体"/>
          <w:kern w:val="0"/>
          <w:sz w:val="24"/>
          <w:szCs w:val="24"/>
          <w:highlight w:val="none"/>
        </w:rPr>
        <w:t>年化收益率约为</w:t>
      </w:r>
      <w:r>
        <w:rPr>
          <w:rFonts w:hint="eastAsia" w:ascii="宋体" w:hAnsi="宋体" w:cs="宋体"/>
          <w:color w:val="000000"/>
          <w:kern w:val="0"/>
          <w:sz w:val="24"/>
          <w:szCs w:val="24"/>
          <w:highlight w:val="none"/>
          <w:lang w:val="en-US" w:eastAsia="zh-CN"/>
        </w:rPr>
        <w:t>1.93%</w:t>
      </w:r>
      <w:r>
        <w:rPr>
          <w:rFonts w:hint="eastAsia" w:ascii="宋体" w:hAnsi="宋体" w:eastAsia="宋体" w:cs="宋体"/>
          <w:kern w:val="0"/>
          <w:sz w:val="24"/>
          <w:szCs w:val="24"/>
          <w:highlight w:val="none"/>
        </w:rPr>
        <w:t>（年化）。</w:t>
      </w:r>
    </w:p>
    <w:p>
      <w:pPr>
        <w:widowControl/>
        <w:adjustRightInd w:val="0"/>
        <w:snapToGrid w:val="0"/>
        <w:spacing w:line="360" w:lineRule="auto"/>
        <w:ind w:firstLine="480" w:firstLineChars="200"/>
        <w:jc w:val="left"/>
        <w:rPr>
          <w:rFonts w:ascii="宋体" w:hAnsi="宋体" w:eastAsia="宋体" w:cs="宋体"/>
          <w:kern w:val="0"/>
          <w:sz w:val="24"/>
          <w:szCs w:val="24"/>
          <w:highlight w:val="none"/>
        </w:rPr>
      </w:pPr>
      <w:r>
        <w:rPr>
          <w:rFonts w:hint="eastAsia" w:ascii="宋体" w:hAnsi="宋体" w:eastAsia="宋体" w:cs="宋体"/>
          <w:kern w:val="0"/>
          <w:sz w:val="24"/>
          <w:szCs w:val="24"/>
          <w:highlight w:val="none"/>
        </w:rPr>
        <w:t>同时，本产品在</w:t>
      </w:r>
      <w:r>
        <w:rPr>
          <w:rFonts w:hint="eastAsia" w:ascii="宋体" w:hAnsi="宋体" w:cs="宋体"/>
          <w:color w:val="000000"/>
          <w:kern w:val="0"/>
          <w:sz w:val="24"/>
          <w:szCs w:val="24"/>
          <w:highlight w:val="none"/>
          <w:lang w:val="en-US" w:eastAsia="zh-CN"/>
        </w:rPr>
        <w:t>2025年11月5日</w:t>
      </w:r>
      <w:r>
        <w:rPr>
          <w:rFonts w:hint="eastAsia" w:ascii="宋体" w:hAnsi="宋体" w:eastAsia="宋体" w:cs="宋体"/>
          <w:kern w:val="0"/>
          <w:sz w:val="24"/>
          <w:szCs w:val="24"/>
          <w:highlight w:val="none"/>
        </w:rPr>
        <w:t>的单位净值为</w:t>
      </w:r>
      <w:r>
        <w:rPr>
          <w:rFonts w:hint="eastAsia" w:ascii="宋体" w:hAnsi="宋体" w:cs="宋体"/>
          <w:color w:val="000000"/>
          <w:kern w:val="0"/>
          <w:sz w:val="24"/>
          <w:szCs w:val="24"/>
          <w:highlight w:val="none"/>
          <w:lang w:val="en-US" w:eastAsia="zh-CN"/>
        </w:rPr>
        <w:t>1.16368613</w:t>
      </w:r>
      <w:r>
        <w:rPr>
          <w:rFonts w:hint="eastAsia" w:ascii="宋体" w:hAnsi="宋体" w:eastAsia="宋体" w:cs="宋体"/>
          <w:kern w:val="0"/>
          <w:sz w:val="24"/>
          <w:szCs w:val="24"/>
          <w:highlight w:val="none"/>
          <w:lang w:eastAsia="zh-CN"/>
        </w:rPr>
        <w:t>，</w:t>
      </w:r>
      <w:r>
        <w:rPr>
          <w:rFonts w:hint="eastAsia" w:ascii="宋体" w:hAnsi="宋体" w:eastAsia="宋体" w:cs="宋体"/>
          <w:kern w:val="0"/>
          <w:sz w:val="24"/>
          <w:szCs w:val="24"/>
          <w:highlight w:val="none"/>
        </w:rPr>
        <w:t>累计单位净值为</w:t>
      </w:r>
      <w:r>
        <w:rPr>
          <w:rFonts w:hint="eastAsia" w:ascii="宋体" w:hAnsi="宋体" w:cs="宋体"/>
          <w:color w:val="000000"/>
          <w:kern w:val="0"/>
          <w:sz w:val="24"/>
          <w:szCs w:val="24"/>
          <w:highlight w:val="none"/>
          <w:lang w:val="en-US" w:eastAsia="zh-CN"/>
        </w:rPr>
        <w:t>1.16368613</w:t>
      </w:r>
      <w:r>
        <w:rPr>
          <w:rFonts w:hint="eastAsia" w:ascii="宋体" w:hAnsi="宋体" w:eastAsia="宋体" w:cs="宋体"/>
          <w:kern w:val="0"/>
          <w:sz w:val="24"/>
          <w:szCs w:val="24"/>
          <w:highlight w:val="none"/>
        </w:rPr>
        <w:t>。本周期提交的申购、赎回交易申请根据该单位净值完成交易确认。在完成周期清算后，产品合计存续份额约为</w:t>
      </w:r>
      <w:r>
        <w:rPr>
          <w:rFonts w:hint="eastAsia" w:ascii="宋体" w:hAnsi="宋体" w:cs="宋体"/>
          <w:color w:val="000000"/>
          <w:kern w:val="0"/>
          <w:sz w:val="24"/>
          <w:szCs w:val="24"/>
          <w:highlight w:val="none"/>
          <w:lang w:val="en-US" w:eastAsia="zh-CN"/>
        </w:rPr>
        <w:t>1308071279.23</w:t>
      </w:r>
      <w:r>
        <w:rPr>
          <w:rFonts w:hint="eastAsia" w:ascii="宋体" w:hAnsi="宋体" w:eastAsia="宋体" w:cs="宋体"/>
          <w:kern w:val="0"/>
          <w:sz w:val="24"/>
          <w:szCs w:val="24"/>
          <w:highlight w:val="none"/>
        </w:rPr>
        <w:t>份。</w:t>
      </w:r>
    </w:p>
    <w:p>
      <w:pPr>
        <w:widowControl/>
        <w:adjustRightInd w:val="0"/>
        <w:snapToGrid w:val="0"/>
        <w:spacing w:line="360" w:lineRule="auto"/>
        <w:ind w:firstLine="480" w:firstLineChars="200"/>
        <w:jc w:val="left"/>
        <w:rPr>
          <w:rFonts w:ascii="宋体" w:hAnsi="宋体" w:eastAsia="宋体" w:cs="宋体"/>
          <w:kern w:val="0"/>
          <w:sz w:val="24"/>
          <w:szCs w:val="24"/>
          <w:highlight w:val="none"/>
        </w:rPr>
      </w:pPr>
      <w:r>
        <w:rPr>
          <w:rFonts w:hint="eastAsia" w:ascii="宋体" w:hAnsi="宋体" w:eastAsia="宋体" w:cs="宋体"/>
          <w:kern w:val="0"/>
          <w:sz w:val="24"/>
          <w:szCs w:val="24"/>
          <w:highlight w:val="none"/>
        </w:rPr>
        <w:t>详情请咨询温州银行各营业网点或拨打客服热线</w:t>
      </w:r>
      <w:r>
        <w:rPr>
          <w:rFonts w:hint="eastAsia" w:ascii="宋体" w:hAnsi="宋体" w:eastAsia="宋体" w:cs="宋体"/>
          <w:kern w:val="0"/>
          <w:sz w:val="24"/>
          <w:szCs w:val="24"/>
          <w:highlight w:val="none"/>
          <w:lang w:val="zh-CN"/>
        </w:rPr>
        <w:t>96699 (浙江) 、962699 (上海)、0577－96699 (其他地区)</w:t>
      </w:r>
      <w:r>
        <w:rPr>
          <w:rFonts w:hint="eastAsia" w:ascii="宋体" w:hAnsi="宋体" w:eastAsia="宋体" w:cs="宋体"/>
          <w:kern w:val="0"/>
          <w:sz w:val="24"/>
          <w:szCs w:val="24"/>
          <w:highlight w:val="none"/>
        </w:rPr>
        <w:t>。</w:t>
      </w:r>
    </w:p>
    <w:p>
      <w:pPr>
        <w:widowControl/>
        <w:adjustRightInd w:val="0"/>
        <w:snapToGrid w:val="0"/>
        <w:spacing w:line="360" w:lineRule="auto"/>
        <w:ind w:firstLine="480" w:firstLineChars="200"/>
        <w:jc w:val="left"/>
        <w:rPr>
          <w:rFonts w:ascii="宋体" w:hAnsi="宋体" w:eastAsia="宋体" w:cs="宋体"/>
          <w:kern w:val="0"/>
          <w:sz w:val="24"/>
          <w:szCs w:val="24"/>
          <w:highlight w:val="none"/>
        </w:rPr>
      </w:pPr>
    </w:p>
    <w:p>
      <w:pPr>
        <w:widowControl/>
        <w:adjustRightInd w:val="0"/>
        <w:snapToGrid w:val="0"/>
        <w:spacing w:line="360" w:lineRule="auto"/>
        <w:ind w:firstLine="480" w:firstLineChars="200"/>
        <w:jc w:val="left"/>
        <w:rPr>
          <w:rFonts w:ascii="宋体" w:hAnsi="宋体" w:eastAsia="宋体" w:cs="宋体"/>
          <w:kern w:val="0"/>
          <w:sz w:val="24"/>
          <w:szCs w:val="24"/>
          <w:highlight w:val="none"/>
        </w:rPr>
      </w:pPr>
      <w:r>
        <w:rPr>
          <w:rFonts w:hint="eastAsia" w:ascii="宋体" w:hAnsi="宋体" w:eastAsia="宋体" w:cs="宋体"/>
          <w:kern w:val="0"/>
          <w:sz w:val="24"/>
          <w:szCs w:val="24"/>
          <w:highlight w:val="none"/>
        </w:rPr>
        <w:t>注：根据产品说明书约定，本理财产品预计将收取的相应费用如下：</w:t>
      </w:r>
    </w:p>
    <w:p>
      <w:pPr>
        <w:widowControl/>
        <w:adjustRightInd w:val="0"/>
        <w:snapToGrid w:val="0"/>
        <w:spacing w:line="360" w:lineRule="auto"/>
        <w:ind w:firstLine="480" w:firstLineChars="200"/>
        <w:jc w:val="left"/>
        <w:rPr>
          <w:rFonts w:ascii="宋体" w:hAnsi="宋体" w:eastAsia="宋体" w:cs="宋体"/>
          <w:kern w:val="0"/>
          <w:sz w:val="24"/>
          <w:szCs w:val="24"/>
          <w:highlight w:val="none"/>
        </w:rPr>
      </w:pPr>
      <w:r>
        <w:rPr>
          <w:rFonts w:hint="eastAsia" w:ascii="宋体" w:hAnsi="宋体" w:eastAsia="宋体" w:cs="宋体"/>
          <w:kern w:val="0"/>
          <w:sz w:val="24"/>
          <w:szCs w:val="24"/>
          <w:highlight w:val="none"/>
        </w:rPr>
        <w:t>1.固定管理费：固定管理费原则上按日计提，固定管理费率为</w:t>
      </w:r>
      <w:r>
        <w:rPr>
          <w:rFonts w:hint="eastAsia" w:ascii="宋体" w:hAnsi="宋体" w:eastAsia="宋体" w:cs="宋体"/>
          <w:kern w:val="0"/>
          <w:sz w:val="24"/>
          <w:szCs w:val="24"/>
          <w:highlight w:val="none"/>
          <w:lang w:val="en-US" w:eastAsia="zh-CN"/>
        </w:rPr>
        <w:t>1</w:t>
      </w:r>
      <w:r>
        <w:rPr>
          <w:rFonts w:hint="eastAsia" w:ascii="宋体" w:hAnsi="宋体" w:eastAsia="宋体" w:cs="宋体"/>
          <w:kern w:val="0"/>
          <w:sz w:val="24"/>
          <w:szCs w:val="24"/>
          <w:highlight w:val="none"/>
        </w:rPr>
        <w:t>%（年化）。</w:t>
      </w:r>
    </w:p>
    <w:p>
      <w:pPr>
        <w:widowControl/>
        <w:adjustRightInd w:val="0"/>
        <w:snapToGrid w:val="0"/>
        <w:spacing w:line="360" w:lineRule="auto"/>
        <w:ind w:firstLine="480" w:firstLineChars="200"/>
        <w:jc w:val="left"/>
        <w:rPr>
          <w:rFonts w:ascii="宋体" w:hAnsi="宋体" w:eastAsia="宋体" w:cs="宋体"/>
          <w:kern w:val="0"/>
          <w:sz w:val="24"/>
          <w:szCs w:val="24"/>
          <w:highlight w:val="none"/>
        </w:rPr>
      </w:pPr>
      <w:r>
        <w:rPr>
          <w:rFonts w:hint="eastAsia" w:ascii="宋体" w:hAnsi="宋体" w:eastAsia="宋体" w:cs="宋体"/>
          <w:kern w:val="0"/>
          <w:sz w:val="24"/>
          <w:szCs w:val="24"/>
          <w:highlight w:val="none"/>
        </w:rPr>
        <w:t>2.浮动管理费：若本理财产品扣除产品固定管理费及托管费等各项费用后,日累计单位净值年化增长率超过业绩比较基准，投资管理人收取固定比例的浮动管理费。浮动管理费的具体计提及提取方式参照产品说明书中约定执行。</w:t>
      </w:r>
    </w:p>
    <w:p>
      <w:pPr>
        <w:widowControl/>
        <w:adjustRightInd w:val="0"/>
        <w:snapToGrid w:val="0"/>
        <w:spacing w:line="360" w:lineRule="auto"/>
        <w:ind w:firstLine="480" w:firstLineChars="200"/>
        <w:jc w:val="left"/>
        <w:rPr>
          <w:rFonts w:ascii="宋体" w:hAnsi="宋体" w:eastAsia="宋体" w:cs="宋体"/>
          <w:kern w:val="0"/>
          <w:sz w:val="24"/>
          <w:szCs w:val="24"/>
          <w:highlight w:val="none"/>
        </w:rPr>
      </w:pPr>
      <w:r>
        <w:rPr>
          <w:rFonts w:hint="eastAsia" w:ascii="宋体" w:hAnsi="宋体" w:eastAsia="宋体" w:cs="宋体"/>
          <w:kern w:val="0"/>
          <w:sz w:val="24"/>
          <w:szCs w:val="24"/>
          <w:highlight w:val="none"/>
        </w:rPr>
        <w:t>3.托管费：原则上按日计提，逐日累计至每季度最后一个自然月的15日（如遇法定节假日顺延）从理财计划财产中扣除。托管费率为0.005%（年化）。</w:t>
      </w:r>
    </w:p>
    <w:p>
      <w:pPr>
        <w:widowControl/>
        <w:adjustRightInd w:val="0"/>
        <w:snapToGrid w:val="0"/>
        <w:spacing w:line="360" w:lineRule="auto"/>
        <w:ind w:firstLine="480" w:firstLineChars="200"/>
        <w:jc w:val="left"/>
        <w:rPr>
          <w:rFonts w:hAnsi="宋体" w:cs="宋体"/>
          <w:b/>
          <w:sz w:val="28"/>
          <w:highlight w:val="none"/>
        </w:rPr>
      </w:pPr>
      <w:r>
        <w:rPr>
          <w:rFonts w:hint="eastAsia" w:ascii="宋体" w:hAnsi="宋体" w:eastAsia="宋体" w:cs="宋体"/>
          <w:kern w:val="0"/>
          <w:sz w:val="24"/>
          <w:szCs w:val="24"/>
          <w:highlight w:val="none"/>
        </w:rPr>
        <w:t>4.其他费用（如有）：交易费用（包括但不限于交易佣金、撮合费用等）、理财计划估值服务费、理财计划验资费、审计费、律师费、信息披露费、清算费、执行费用等相关费用，具体以实际发生为准。</w:t>
      </w:r>
    </w:p>
    <w:p>
      <w:pPr>
        <w:widowControl/>
        <w:adjustRightInd w:val="0"/>
        <w:snapToGrid w:val="0"/>
        <w:spacing w:line="360" w:lineRule="auto"/>
        <w:ind w:firstLine="480" w:firstLineChars="200"/>
        <w:jc w:val="left"/>
        <w:rPr>
          <w:rFonts w:ascii="宋体" w:hAnsi="宋体" w:eastAsia="宋体" w:cs="宋体"/>
          <w:kern w:val="0"/>
          <w:sz w:val="24"/>
          <w:szCs w:val="24"/>
          <w:highlight w:val="none"/>
        </w:rPr>
      </w:pPr>
      <w:r>
        <w:rPr>
          <w:rFonts w:hint="eastAsia" w:ascii="宋体" w:hAnsi="宋体" w:eastAsia="宋体" w:cs="宋体"/>
          <w:kern w:val="0"/>
          <w:sz w:val="24"/>
          <w:szCs w:val="24"/>
          <w:highlight w:val="none"/>
        </w:rPr>
        <w:t>特此公告！</w:t>
      </w:r>
    </w:p>
    <w:p>
      <w:pPr>
        <w:widowControl/>
        <w:adjustRightInd w:val="0"/>
        <w:snapToGrid w:val="0"/>
        <w:spacing w:line="360" w:lineRule="auto"/>
        <w:ind w:firstLine="480" w:firstLineChars="200"/>
        <w:jc w:val="right"/>
        <w:rPr>
          <w:rFonts w:ascii="宋体" w:hAnsi="宋体" w:eastAsia="宋体" w:cs="宋体"/>
          <w:kern w:val="0"/>
          <w:sz w:val="24"/>
          <w:szCs w:val="24"/>
          <w:highlight w:val="none"/>
        </w:rPr>
      </w:pPr>
      <w:r>
        <w:rPr>
          <w:rFonts w:hint="eastAsia" w:ascii="宋体" w:hAnsi="宋体" w:eastAsia="宋体" w:cs="宋体"/>
          <w:kern w:val="0"/>
          <w:sz w:val="24"/>
          <w:szCs w:val="24"/>
          <w:highlight w:val="none"/>
        </w:rPr>
        <w:t>温州银行股份有限公司</w:t>
      </w:r>
    </w:p>
    <w:p>
      <w:pPr>
        <w:widowControl/>
        <w:adjustRightInd w:val="0"/>
        <w:snapToGrid w:val="0"/>
        <w:spacing w:line="360" w:lineRule="auto"/>
        <w:ind w:firstLine="480" w:firstLineChars="200"/>
        <w:jc w:val="right"/>
        <w:rPr>
          <w:rFonts w:hint="eastAsia" w:ascii="宋体" w:hAnsi="宋体" w:eastAsia="宋体" w:cs="宋体"/>
          <w:color w:val="000000"/>
          <w:kern w:val="0"/>
          <w:sz w:val="24"/>
          <w:szCs w:val="24"/>
          <w:highlight w:val="none"/>
          <w:lang w:val="en-US" w:eastAsia="zh-CN"/>
        </w:rPr>
      </w:pPr>
      <w:r>
        <w:rPr>
          <w:rFonts w:hint="eastAsia" w:ascii="宋体" w:hAnsi="宋体" w:cs="宋体"/>
          <w:color w:val="000000"/>
          <w:kern w:val="0"/>
          <w:sz w:val="24"/>
          <w:szCs w:val="24"/>
          <w:highlight w:val="none"/>
          <w:lang w:val="en-US" w:eastAsia="zh-CN"/>
        </w:rPr>
        <w:t>2025年11月6日</w:t>
      </w:r>
    </w:p>
    <w:sectPr>
      <w:pgSz w:w="11906" w:h="16838"/>
      <w:pgMar w:top="1440" w:right="1753" w:bottom="1440" w:left="1753"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val="1"/>
  <w:bordersDoNotSurroundFooter w:val="1"/>
  <w:documentProtection w:edit="readOnly" w:enforcement="1" w:cryptProviderType="rsaFull" w:cryptAlgorithmClass="hash" w:cryptAlgorithmType="typeAny" w:cryptAlgorithmSid="4" w:cryptSpinCount="0" w:hash="PAjhtMGV/tIflKDrtT8PrQQCnCo=" w:salt="hS3h9aq2WU3OLkNvVDVeKg=="/>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4346"/>
    <w:rsid w:val="00003765"/>
    <w:rsid w:val="000048CD"/>
    <w:rsid w:val="000138A2"/>
    <w:rsid w:val="00044076"/>
    <w:rsid w:val="00055130"/>
    <w:rsid w:val="000605A1"/>
    <w:rsid w:val="000A2A5A"/>
    <w:rsid w:val="000A3F6E"/>
    <w:rsid w:val="000C545A"/>
    <w:rsid w:val="000D1AA6"/>
    <w:rsid w:val="000D499A"/>
    <w:rsid w:val="000E6E24"/>
    <w:rsid w:val="000F63FE"/>
    <w:rsid w:val="0013047D"/>
    <w:rsid w:val="0013318E"/>
    <w:rsid w:val="00147537"/>
    <w:rsid w:val="00147D52"/>
    <w:rsid w:val="00157F91"/>
    <w:rsid w:val="00170F2B"/>
    <w:rsid w:val="00173DA9"/>
    <w:rsid w:val="001A2978"/>
    <w:rsid w:val="001A503B"/>
    <w:rsid w:val="001B3AB4"/>
    <w:rsid w:val="001C4D38"/>
    <w:rsid w:val="001C5005"/>
    <w:rsid w:val="001C5AE3"/>
    <w:rsid w:val="001D12A2"/>
    <w:rsid w:val="001D6B42"/>
    <w:rsid w:val="001E2E3A"/>
    <w:rsid w:val="00207AF9"/>
    <w:rsid w:val="0023572E"/>
    <w:rsid w:val="00242890"/>
    <w:rsid w:val="0027249D"/>
    <w:rsid w:val="00273514"/>
    <w:rsid w:val="00276A7D"/>
    <w:rsid w:val="00282621"/>
    <w:rsid w:val="002962DC"/>
    <w:rsid w:val="002B6B6D"/>
    <w:rsid w:val="002B744A"/>
    <w:rsid w:val="002C146D"/>
    <w:rsid w:val="002D547A"/>
    <w:rsid w:val="00312E22"/>
    <w:rsid w:val="00313099"/>
    <w:rsid w:val="00365E0D"/>
    <w:rsid w:val="00381FB9"/>
    <w:rsid w:val="00391170"/>
    <w:rsid w:val="00393175"/>
    <w:rsid w:val="003D39FF"/>
    <w:rsid w:val="003D64EF"/>
    <w:rsid w:val="003D7540"/>
    <w:rsid w:val="003F3FE0"/>
    <w:rsid w:val="0040423A"/>
    <w:rsid w:val="00417E57"/>
    <w:rsid w:val="00426EE8"/>
    <w:rsid w:val="00433665"/>
    <w:rsid w:val="00451A98"/>
    <w:rsid w:val="0048514D"/>
    <w:rsid w:val="004B2864"/>
    <w:rsid w:val="004B6F80"/>
    <w:rsid w:val="004D50F3"/>
    <w:rsid w:val="004E2ACB"/>
    <w:rsid w:val="004E3146"/>
    <w:rsid w:val="004F4A8B"/>
    <w:rsid w:val="005206EB"/>
    <w:rsid w:val="005446D6"/>
    <w:rsid w:val="0056212F"/>
    <w:rsid w:val="0056669F"/>
    <w:rsid w:val="005A0681"/>
    <w:rsid w:val="005A0BBB"/>
    <w:rsid w:val="005C1474"/>
    <w:rsid w:val="005C28C9"/>
    <w:rsid w:val="005C7F69"/>
    <w:rsid w:val="00621CC1"/>
    <w:rsid w:val="006535CC"/>
    <w:rsid w:val="00662DDC"/>
    <w:rsid w:val="00694243"/>
    <w:rsid w:val="006B2DF5"/>
    <w:rsid w:val="006D5E34"/>
    <w:rsid w:val="006E1514"/>
    <w:rsid w:val="006F371B"/>
    <w:rsid w:val="007144B9"/>
    <w:rsid w:val="00716B9F"/>
    <w:rsid w:val="00730B40"/>
    <w:rsid w:val="0073797D"/>
    <w:rsid w:val="00744A7A"/>
    <w:rsid w:val="00761B16"/>
    <w:rsid w:val="0077358F"/>
    <w:rsid w:val="00787503"/>
    <w:rsid w:val="00794DD0"/>
    <w:rsid w:val="00795FD1"/>
    <w:rsid w:val="007A532A"/>
    <w:rsid w:val="007B16AF"/>
    <w:rsid w:val="007F5BF6"/>
    <w:rsid w:val="0080558D"/>
    <w:rsid w:val="0084251A"/>
    <w:rsid w:val="0084502E"/>
    <w:rsid w:val="00854A94"/>
    <w:rsid w:val="00856EAC"/>
    <w:rsid w:val="00863B49"/>
    <w:rsid w:val="00893D92"/>
    <w:rsid w:val="008F09A8"/>
    <w:rsid w:val="008F6B8F"/>
    <w:rsid w:val="0090529F"/>
    <w:rsid w:val="00906AF8"/>
    <w:rsid w:val="009114ED"/>
    <w:rsid w:val="00915E3F"/>
    <w:rsid w:val="00924324"/>
    <w:rsid w:val="00974440"/>
    <w:rsid w:val="009813DD"/>
    <w:rsid w:val="00994BA9"/>
    <w:rsid w:val="009A0374"/>
    <w:rsid w:val="009A4CD1"/>
    <w:rsid w:val="009A6E1E"/>
    <w:rsid w:val="009B5FCE"/>
    <w:rsid w:val="009C2332"/>
    <w:rsid w:val="009E538B"/>
    <w:rsid w:val="009F223E"/>
    <w:rsid w:val="00A0267D"/>
    <w:rsid w:val="00A057DB"/>
    <w:rsid w:val="00A12E5D"/>
    <w:rsid w:val="00A33B66"/>
    <w:rsid w:val="00A40F55"/>
    <w:rsid w:val="00A412D7"/>
    <w:rsid w:val="00A44AE3"/>
    <w:rsid w:val="00A707E8"/>
    <w:rsid w:val="00A84B8D"/>
    <w:rsid w:val="00A9083F"/>
    <w:rsid w:val="00A9222C"/>
    <w:rsid w:val="00A9498F"/>
    <w:rsid w:val="00AA2166"/>
    <w:rsid w:val="00AE4B8A"/>
    <w:rsid w:val="00AE6315"/>
    <w:rsid w:val="00B02F70"/>
    <w:rsid w:val="00B20292"/>
    <w:rsid w:val="00B37B56"/>
    <w:rsid w:val="00B7192B"/>
    <w:rsid w:val="00B92E7F"/>
    <w:rsid w:val="00BB4716"/>
    <w:rsid w:val="00BC1CAF"/>
    <w:rsid w:val="00BC6242"/>
    <w:rsid w:val="00BD3DF2"/>
    <w:rsid w:val="00C01AEC"/>
    <w:rsid w:val="00C64A52"/>
    <w:rsid w:val="00C9185B"/>
    <w:rsid w:val="00C9529A"/>
    <w:rsid w:val="00C9749B"/>
    <w:rsid w:val="00CC24F5"/>
    <w:rsid w:val="00CD0432"/>
    <w:rsid w:val="00D02856"/>
    <w:rsid w:val="00D454CB"/>
    <w:rsid w:val="00D92CB1"/>
    <w:rsid w:val="00D959B8"/>
    <w:rsid w:val="00D95C83"/>
    <w:rsid w:val="00D97446"/>
    <w:rsid w:val="00DE0D29"/>
    <w:rsid w:val="00DF17C0"/>
    <w:rsid w:val="00E2602C"/>
    <w:rsid w:val="00E3526D"/>
    <w:rsid w:val="00E54336"/>
    <w:rsid w:val="00E54346"/>
    <w:rsid w:val="00E55ABE"/>
    <w:rsid w:val="00E5715A"/>
    <w:rsid w:val="00E7168B"/>
    <w:rsid w:val="00E7178A"/>
    <w:rsid w:val="00E84A5A"/>
    <w:rsid w:val="00EA4202"/>
    <w:rsid w:val="00EB7D48"/>
    <w:rsid w:val="00EC1EC8"/>
    <w:rsid w:val="00EC3850"/>
    <w:rsid w:val="00EE1A20"/>
    <w:rsid w:val="00EF242C"/>
    <w:rsid w:val="00F014F9"/>
    <w:rsid w:val="00F34615"/>
    <w:rsid w:val="00F41B00"/>
    <w:rsid w:val="00F465B0"/>
    <w:rsid w:val="00F542D6"/>
    <w:rsid w:val="00F548E3"/>
    <w:rsid w:val="00F811EA"/>
    <w:rsid w:val="00F82C94"/>
    <w:rsid w:val="00FA0D6B"/>
    <w:rsid w:val="00FC71C0"/>
    <w:rsid w:val="00FD04E1"/>
    <w:rsid w:val="00FD2239"/>
    <w:rsid w:val="00FF3ADF"/>
    <w:rsid w:val="07152FCD"/>
    <w:rsid w:val="0C477A69"/>
    <w:rsid w:val="0EEC755B"/>
    <w:rsid w:val="0FBC66FA"/>
    <w:rsid w:val="11202B51"/>
    <w:rsid w:val="176A1687"/>
    <w:rsid w:val="17CF478D"/>
    <w:rsid w:val="19907262"/>
    <w:rsid w:val="1A8B7567"/>
    <w:rsid w:val="20711BB9"/>
    <w:rsid w:val="21933C61"/>
    <w:rsid w:val="27A93E9F"/>
    <w:rsid w:val="2C6E0426"/>
    <w:rsid w:val="2CE5097A"/>
    <w:rsid w:val="2E974B1B"/>
    <w:rsid w:val="2F4545E6"/>
    <w:rsid w:val="3DD27726"/>
    <w:rsid w:val="3DD746C1"/>
    <w:rsid w:val="40092C1C"/>
    <w:rsid w:val="42407FBF"/>
    <w:rsid w:val="45751F7B"/>
    <w:rsid w:val="45C155F3"/>
    <w:rsid w:val="478D1CCD"/>
    <w:rsid w:val="4B9573F8"/>
    <w:rsid w:val="4B9F6E4A"/>
    <w:rsid w:val="4EA628BA"/>
    <w:rsid w:val="4F2F3EDA"/>
    <w:rsid w:val="4F6E2C6D"/>
    <w:rsid w:val="52A6510D"/>
    <w:rsid w:val="52D708B7"/>
    <w:rsid w:val="53C55B64"/>
    <w:rsid w:val="5B417B12"/>
    <w:rsid w:val="5DFF68E7"/>
    <w:rsid w:val="5E6B2D77"/>
    <w:rsid w:val="5FD71B46"/>
    <w:rsid w:val="623A477A"/>
    <w:rsid w:val="65E061FD"/>
    <w:rsid w:val="66EE2A10"/>
    <w:rsid w:val="68E40364"/>
    <w:rsid w:val="6ADC3047"/>
    <w:rsid w:val="748B6490"/>
    <w:rsid w:val="76580CF1"/>
    <w:rsid w:val="7B607172"/>
    <w:rsid w:val="7F101067"/>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5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6">
    <w:name w:val="Default Paragraph Font"/>
    <w:semiHidden/>
    <w:unhideWhenUsed/>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Plain Text"/>
    <w:basedOn w:val="1"/>
    <w:link w:val="7"/>
    <w:unhideWhenUsed/>
    <w:qFormat/>
    <w:uiPriority w:val="99"/>
    <w:rPr>
      <w:rFonts w:ascii="宋体" w:hAnsi="Courier New" w:eastAsia="宋体" w:cs="Courier New"/>
      <w:szCs w:val="21"/>
    </w:rPr>
  </w:style>
  <w:style w:type="paragraph" w:styleId="3">
    <w:name w:val="footer"/>
    <w:basedOn w:val="1"/>
    <w:link w:val="9"/>
    <w:unhideWhenUsed/>
    <w:qFormat/>
    <w:uiPriority w:val="99"/>
    <w:pPr>
      <w:tabs>
        <w:tab w:val="center" w:pos="4153"/>
        <w:tab w:val="right" w:pos="8306"/>
      </w:tabs>
      <w:snapToGrid w:val="0"/>
      <w:jc w:val="left"/>
    </w:pPr>
    <w:rPr>
      <w:sz w:val="18"/>
      <w:szCs w:val="18"/>
    </w:rPr>
  </w:style>
  <w:style w:type="paragraph" w:styleId="4">
    <w:name w:val="header"/>
    <w:basedOn w:val="1"/>
    <w:link w:val="8"/>
    <w:unhideWhenUsed/>
    <w:qFormat/>
    <w:uiPriority w:val="99"/>
    <w:pPr>
      <w:pBdr>
        <w:bottom w:val="single" w:color="auto" w:sz="6" w:space="1"/>
      </w:pBdr>
      <w:tabs>
        <w:tab w:val="center" w:pos="4153"/>
        <w:tab w:val="right" w:pos="8306"/>
      </w:tabs>
      <w:snapToGrid w:val="0"/>
      <w:jc w:val="center"/>
    </w:pPr>
    <w:rPr>
      <w:sz w:val="18"/>
      <w:szCs w:val="18"/>
    </w:rPr>
  </w:style>
  <w:style w:type="character" w:customStyle="1" w:styleId="7">
    <w:name w:val="纯文本 字符"/>
    <w:basedOn w:val="6"/>
    <w:link w:val="2"/>
    <w:qFormat/>
    <w:uiPriority w:val="99"/>
    <w:rPr>
      <w:rFonts w:ascii="宋体" w:hAnsi="Courier New" w:eastAsia="宋体" w:cs="Courier New"/>
      <w:szCs w:val="21"/>
    </w:rPr>
  </w:style>
  <w:style w:type="character" w:customStyle="1" w:styleId="8">
    <w:name w:val="页眉 字符"/>
    <w:basedOn w:val="6"/>
    <w:link w:val="4"/>
    <w:qFormat/>
    <w:uiPriority w:val="99"/>
    <w:rPr>
      <w:sz w:val="18"/>
      <w:szCs w:val="18"/>
    </w:rPr>
  </w:style>
  <w:style w:type="character" w:customStyle="1" w:styleId="9">
    <w:name w:val="页脚 字符"/>
    <w:basedOn w:val="6"/>
    <w:link w:val="3"/>
    <w:qFormat/>
    <w:uiPriority w:val="99"/>
    <w:rPr>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Sky123.Org</Company>
  <Pages>1</Pages>
  <Words>113</Words>
  <Characters>647</Characters>
  <Lines>5</Lines>
  <Paragraphs>1</Paragraphs>
  <TotalTime>0</TotalTime>
  <ScaleCrop>false</ScaleCrop>
  <LinksUpToDate>false</LinksUpToDate>
  <CharactersWithSpaces>759</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2018-10-10T05:47:00Z</dcterms:created>
  <dc:creator>admin</dc:creator>
  <cp:lastModifiedBy>User</cp:lastModifiedBy>
  <cp:lastPrinted>2020-11-19T07:26:00Z</cp:lastPrinted>
  <dcterms:modified xsi:type="dcterms:W3CDTF">2025-11-08T07:52:50Z</dcterms:modified>
  <cp:revision>66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y fmtid="{D5CDD505-2E9C-101B-9397-08002B2CF9AE}" pid="3" name="ICV">
    <vt:lpwstr>AE2E393622524585BE3CFCA9443D9910</vt:lpwstr>
  </property>
</Properties>
</file>