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2C2" w:rsidRDefault="003E43A3">
      <w:pPr>
        <w:widowControl/>
        <w:jc w:val="center"/>
        <w:rPr>
          <w:rFonts w:ascii="宋体" w:hAnsi="宋体" w:cs="Arial"/>
          <w:b/>
          <w:sz w:val="24"/>
          <w:szCs w:val="28"/>
        </w:rPr>
      </w:pPr>
      <w:r>
        <w:rPr>
          <w:rFonts w:ascii="宋体" w:hAnsi="宋体" w:cs="Arial" w:hint="eastAsia"/>
          <w:b/>
          <w:sz w:val="24"/>
          <w:szCs w:val="28"/>
        </w:rPr>
        <w:t>招银理财招赢日日金109号现金管理类理财计划</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产品说明书</w:t>
      </w:r>
    </w:p>
    <w:p w:rsidR="003252C2" w:rsidRDefault="00F10458">
      <w:pPr>
        <w:adjustRightInd w:val="0"/>
        <w:snapToGrid w:val="0"/>
        <w:spacing w:line="360" w:lineRule="auto"/>
        <w:jc w:val="center"/>
        <w:rPr>
          <w:rFonts w:ascii="宋体" w:hAnsi="宋体" w:cs="Arial"/>
          <w:b/>
          <w:sz w:val="24"/>
          <w:szCs w:val="28"/>
        </w:rPr>
      </w:pPr>
      <w:r>
        <w:rPr>
          <w:rFonts w:ascii="宋体" w:hAnsi="宋体" w:cs="Arial"/>
          <w:b/>
          <w:sz w:val="24"/>
          <w:szCs w:val="28"/>
        </w:rPr>
        <w:t>（产品代码：</w:t>
      </w:r>
      <w:r w:rsidR="003E43A3">
        <w:rPr>
          <w:rFonts w:ascii="宋体" w:hAnsi="宋体" w:cs="Arial" w:hint="eastAsia"/>
          <w:b/>
          <w:sz w:val="24"/>
          <w:szCs w:val="28"/>
        </w:rPr>
        <w:t>8109</w:t>
      </w:r>
      <w:r>
        <w:rPr>
          <w:rFonts w:ascii="宋体" w:hAnsi="宋体" w:cs="Arial"/>
          <w:b/>
          <w:sz w:val="24"/>
          <w:szCs w:val="28"/>
        </w:rPr>
        <w:t>）</w:t>
      </w:r>
    </w:p>
    <w:p w:rsidR="003252C2" w:rsidRDefault="00F10458">
      <w:pPr>
        <w:autoSpaceDE w:val="0"/>
        <w:autoSpaceDN w:val="0"/>
        <w:adjustRightInd w:val="0"/>
        <w:snapToGrid w:val="0"/>
        <w:spacing w:line="300" w:lineRule="auto"/>
        <w:jc w:val="left"/>
        <w:rPr>
          <w:rFonts w:ascii="宋体" w:hAnsi="宋体" w:cs="宋体"/>
          <w:b/>
          <w:bCs/>
          <w:color w:val="000000"/>
          <w:kern w:val="0"/>
          <w:sz w:val="22"/>
          <w:lang w:val="zh-CN"/>
        </w:rPr>
      </w:pPr>
      <w:r>
        <w:rPr>
          <w:rFonts w:ascii="宋体" w:hAnsi="宋体" w:cs="宋体" w:hint="eastAsia"/>
          <w:b/>
          <w:bCs/>
          <w:color w:val="000000"/>
          <w:kern w:val="0"/>
          <w:sz w:val="22"/>
          <w:lang w:val="zh-CN"/>
        </w:rPr>
        <w:t>重要须知</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本理财产品《产品说明书》与《风险揭示书》、《理财产品投资协议书》、《投资者权益须知》共同组成投资者与招银理财之间就本理财计划达成的理财合同的不可分割之组成部分。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本理财计划不等同于银行存款，管理人不保证本理财计划一定盈利，也不保证本金安全和最低收益。理财产品过往业绩不代表其未来表现，不等于理财产品实际收益，投资须谨慎。</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bCs/>
          <w:color w:val="000000"/>
          <w:sz w:val="22"/>
          <w:lang w:val="zh-CN"/>
        </w:rPr>
      </w:pPr>
      <w:r>
        <w:rPr>
          <w:rFonts w:ascii="宋体" w:eastAsia="宋体" w:hAnsi="宋体" w:cs="宋体" w:hint="eastAsia"/>
          <w:b/>
          <w:sz w:val="22"/>
          <w:szCs w:val="22"/>
          <w:lang w:eastAsia="zh-CN"/>
        </w:rPr>
        <w:t>本理</w:t>
      </w:r>
      <w:r>
        <w:rPr>
          <w:rFonts w:ascii="宋体" w:eastAsia="宋体" w:hAnsi="宋体" w:cs="宋体" w:hint="eastAsia"/>
          <w:b/>
          <w:sz w:val="22"/>
          <w:szCs w:val="22"/>
        </w:rPr>
        <w:t>财计划仅向依据中华人民共和国有关法律法规及本产品说明书规定可以购买本理财计划的投资者发售。</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投资者承诺其用于认购理财计划的资金来源合法合规，不存在使用贷款、发</w:t>
      </w:r>
      <w:bookmarkStart w:id="0" w:name="_GoBack"/>
      <w:bookmarkEnd w:id="0"/>
      <w:r>
        <w:rPr>
          <w:rFonts w:ascii="宋体" w:eastAsia="宋体" w:hAnsi="宋体" w:cs="宋体" w:hint="eastAsia"/>
          <w:b/>
          <w:sz w:val="22"/>
          <w:szCs w:val="22"/>
        </w:rPr>
        <w:t>行债券等筹集的非自有资金投资本理财产品的情形。</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投资本理财产品使用的资金为投资者合法持有，不存在代他人持有或投资理财产品的情形；资金来源合法合规，不属于依据联合国、中国政府及其他可适用政府或国际组织制裁（名单）范围；仅为合法目的投资本理财产品；如发生异常情况，投资者将配合销售服务机构开展客户身份识别及尽职调查等反洗钱活动，及时、真实、准确、完整提供身份信息及资金来源等信息。</w:t>
      </w:r>
    </w:p>
    <w:p w:rsidR="003252C2" w:rsidRDefault="00F10458">
      <w:pPr>
        <w:pStyle w:val="11"/>
        <w:widowControl/>
        <w:numPr>
          <w:ilvl w:val="0"/>
          <w:numId w:val="1"/>
        </w:numPr>
        <w:tabs>
          <w:tab w:val="clear" w:pos="1980"/>
          <w:tab w:val="clear" w:pos="2880"/>
        </w:tabs>
        <w:snapToGrid w:val="0"/>
        <w:spacing w:line="300" w:lineRule="auto"/>
        <w:jc w:val="left"/>
        <w:textAlignment w:val="auto"/>
        <w:rPr>
          <w:rFonts w:ascii="宋体" w:eastAsia="宋体" w:hAnsi="宋体" w:cs="宋体"/>
          <w:b/>
          <w:sz w:val="22"/>
          <w:szCs w:val="22"/>
        </w:rPr>
      </w:pPr>
      <w:r>
        <w:rPr>
          <w:rFonts w:ascii="宋体" w:eastAsia="宋体" w:hAnsi="宋体" w:cs="宋体" w:hint="eastAsia"/>
          <w:b/>
          <w:sz w:val="22"/>
          <w:szCs w:val="22"/>
        </w:rPr>
        <w:t>投资者承诺依照可适用的法律法规投资本理财产品，如销售服务机构及管理人发现投资者或投资者重要关联方存在洗钱或者被制裁风险，例如提供不实、不完整或者无效的身份或交易信息，未及时更新身份证明文件，投资者或投资者账户、投资者重要关联方出现异常或涉嫌洗钱、恐怖融资，投资者或投资者交易、投资者重要关联方或其交易涉及联合国、中国等国际组织或国家发布的监控名单或者制裁事项，投资者或投资者重要关联方在使用金融服务中出现其他违反可适用法律法规的情况等，销售服务机构及管理人有权单方对投资者采取拒绝开户申请、限制交易、停止支付及终止账户业务等一项或多项措施，并可要求投资者配合尽职调查、补充证明文件或者在指定期限内办理销户及其他相关手续。投资者逾期未办理的，则视同自愿销户，此时销售服务机构及管理人可单方予以销户。销售服务机构及管理人因投资者出现本条所述的风险情况而采取上述措施所造成的责任和损失由投资者自行承担，给销售服务机构及管理人造成损失的，投资者应承担相应赔偿责任。其中，“重要关联方”包含“法定代表人、授权签字人、实际控制人、受益所有人、重要投资人、重要被投资人、重要债权人、被控制实体等”。</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购买本理财计划前，请投资者仔细阅读本理财产品销售文件，确保自己详细了解和审慎评估本理财产品的投资方向、风险类型，完全理解该项投资的性质和所涉及的风险，并充分、慎重考虑自身的风险承受能力。投资者若对本产品说明书的内容有任何疑问，请向销售服务机构各营业网点咨询。</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lastRenderedPageBreak/>
        <w:t>在购买本理财计划后，投资者应随时关注本理财计划的信息披露情况，及时获取相关信息，相关信息以本《产品说明书》约定的信息披露方式披露为准。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除本《产品说明书》中明确规定的收益及收益分配方式外，任何业绩比较基准或类似表述均属不具有法律约束力的用语，不代表投资者可能获得的实际收益，亦不构成</w:t>
      </w:r>
      <w:r>
        <w:rPr>
          <w:rFonts w:ascii="宋体" w:eastAsia="宋体" w:hAnsi="宋体" w:cs="宋体" w:hint="eastAsia"/>
          <w:b/>
          <w:sz w:val="22"/>
          <w:szCs w:val="22"/>
          <w:lang w:eastAsia="zh-CN"/>
        </w:rPr>
        <w:t>招银理财</w:t>
      </w:r>
      <w:r>
        <w:rPr>
          <w:rFonts w:ascii="宋体" w:eastAsia="宋体" w:hAnsi="宋体" w:cs="宋体" w:hint="eastAsia"/>
          <w:b/>
          <w:sz w:val="22"/>
          <w:szCs w:val="22"/>
        </w:rPr>
        <w:t>对本理财计划的任何收益承诺。投资者所能获得的最终收益以招银理财实际支付的为准。</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lang w:eastAsia="zh-CN"/>
        </w:rPr>
        <w:t>招银理财</w:t>
      </w:r>
      <w:r>
        <w:rPr>
          <w:rFonts w:ascii="宋体" w:eastAsia="宋体" w:hAnsi="宋体" w:cs="宋体" w:hint="eastAsia"/>
          <w:b/>
          <w:sz w:val="22"/>
          <w:szCs w:val="22"/>
        </w:rPr>
        <w:t>承诺以诚实信用、勤勉尽责的原则，并只根据本《产品说明书》所载要求管理和运用理财计划资产。</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管理人对本理财计划</w:t>
      </w:r>
      <w:r>
        <w:rPr>
          <w:rFonts w:ascii="宋体" w:eastAsia="宋体" w:hAnsi="宋体" w:cs="宋体" w:hint="eastAsia"/>
          <w:b/>
          <w:sz w:val="22"/>
          <w:szCs w:val="22"/>
          <w:lang w:eastAsia="zh-CN"/>
        </w:rPr>
        <w:t>的风险收益评级为</w:t>
      </w:r>
      <w:r>
        <w:rPr>
          <w:rFonts w:ascii="宋体" w:eastAsia="宋体" w:hAnsi="宋体" w:cs="宋体" w:hint="eastAsia"/>
          <w:b/>
          <w:sz w:val="22"/>
          <w:szCs w:val="22"/>
        </w:rPr>
        <w:t>PR1（低风险），本理财计划通过销售服务机构渠道销售的，销售服务机构应当根据销售服务机构的方式和方法，独立、审慎地对代理销售的本理财计划进行销售评级，销售评级与管理人评级结果不一致的，销售服务机构应当采用对应较高风险等级的评级结果并予以披露，本理财计划评级应当以销售服务机构最终披露的评级结果为准。本理财计划收益特征为非保本浮动收益，您的本金有可能会因市场变动蒙受重大损失，您应充分认识投资风险，谨慎投资。</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在本产品存续期内，如出于维持本产品正常运营的需要且在不实质损害投资者利益的前提下，或因国家法律法规、监管规定发生变化，招银理财有权在法律法规、监管规定允许的范围内单方对本产品说明书进行修订。招银理财决定对产品说明书进行修订的，将提前两个工作日以本《产品说明书》约定的信息披露方式向投资者进行信息披露，招银理财按照前述规则发布该信息披露即视为该修订通知已送达投资者并对投资者具有法律约束力。</w:t>
      </w:r>
    </w:p>
    <w:p w:rsidR="003252C2" w:rsidRDefault="00F10458">
      <w:pPr>
        <w:pStyle w:val="11"/>
        <w:widowControl/>
        <w:numPr>
          <w:ilvl w:val="0"/>
          <w:numId w:val="1"/>
        </w:numPr>
        <w:tabs>
          <w:tab w:val="clear" w:pos="1980"/>
          <w:tab w:val="clear" w:pos="2880"/>
        </w:tabs>
        <w:snapToGrid w:val="0"/>
        <w:spacing w:line="300" w:lineRule="auto"/>
        <w:textAlignment w:val="auto"/>
        <w:rPr>
          <w:rFonts w:ascii="宋体" w:eastAsia="宋体" w:hAnsi="宋体" w:cs="宋体"/>
          <w:b/>
          <w:sz w:val="22"/>
          <w:szCs w:val="22"/>
        </w:rPr>
      </w:pPr>
      <w:r>
        <w:rPr>
          <w:rFonts w:ascii="宋体" w:eastAsia="宋体" w:hAnsi="宋体" w:cs="宋体" w:hint="eastAsia"/>
          <w:b/>
          <w:sz w:val="22"/>
          <w:szCs w:val="22"/>
        </w:rPr>
        <w:t>为贯彻落实银行业理财登记托管中心发布的《&lt;中国银行保险监督管理委员会办公厅关于进一步做好银行理财登记工作有关事项的通知&gt;实施细则》（理财中心发〔2018〕18号）文件的精神及相关实施细则及《银行业理财登记托管中心关于&lt;中国银保监会办公厅关于印发银行业金融机构监管数据标准化规范（2019版）&gt;数据报送工作的通知》的要求，招银理财将向监管机构报送理财产品投资者身份信息、每日交易、持仓等信息。后续</w:t>
      </w:r>
      <w:r>
        <w:rPr>
          <w:rFonts w:ascii="宋体" w:eastAsia="宋体" w:hAnsi="宋体" w:cs="宋体"/>
          <w:b/>
          <w:sz w:val="22"/>
          <w:szCs w:val="22"/>
        </w:rPr>
        <w:t>监管机构</w:t>
      </w:r>
      <w:r>
        <w:rPr>
          <w:rFonts w:ascii="宋体" w:eastAsia="宋体" w:hAnsi="宋体" w:cs="宋体" w:hint="eastAsia"/>
          <w:b/>
          <w:sz w:val="22"/>
          <w:szCs w:val="22"/>
        </w:rPr>
        <w:t>如果提出新的信息报送要求，招银理财将按照该等机关的要求执行，投资者需予以配合。投资者签署本理财计划销售文件即视为已经同意招银理财将按照相关机关要求报送投资者相关信息。</w:t>
      </w:r>
    </w:p>
    <w:p w:rsidR="003252C2" w:rsidRDefault="00F10458">
      <w:pPr>
        <w:pStyle w:val="11"/>
        <w:widowControl/>
        <w:numPr>
          <w:ilvl w:val="0"/>
          <w:numId w:val="1"/>
        </w:numPr>
        <w:tabs>
          <w:tab w:val="clear" w:pos="1980"/>
          <w:tab w:val="clear" w:pos="2880"/>
        </w:tabs>
        <w:snapToGrid w:val="0"/>
        <w:spacing w:line="300" w:lineRule="auto"/>
        <w:ind w:leftChars="2" w:left="424"/>
        <w:textAlignment w:val="auto"/>
        <w:rPr>
          <w:rFonts w:ascii="宋体" w:eastAsia="宋体" w:hAnsi="宋体" w:cs="宋体"/>
          <w:b/>
          <w:sz w:val="22"/>
          <w:szCs w:val="22"/>
        </w:rPr>
      </w:pPr>
      <w:r>
        <w:rPr>
          <w:rFonts w:ascii="宋体" w:eastAsia="宋体" w:hAnsi="宋体" w:cs="宋体" w:hint="eastAsia"/>
          <w:b/>
          <w:bCs/>
          <w:sz w:val="22"/>
          <w:szCs w:val="22"/>
          <w:lang w:val="zh-CN"/>
        </w:rPr>
        <w:t>根据监管机构要求，管理人（特指除本理财计划的投资管理人</w:t>
      </w:r>
      <w:r>
        <w:rPr>
          <w:rFonts w:ascii="宋体" w:eastAsia="宋体" w:hAnsi="宋体" w:cs="宋体" w:hint="eastAsia"/>
          <w:b/>
          <w:sz w:val="22"/>
          <w:szCs w:val="22"/>
        </w:rPr>
        <w:t>招银理财</w:t>
      </w:r>
      <w:r>
        <w:rPr>
          <w:rFonts w:ascii="宋体" w:eastAsia="宋体" w:hAnsi="宋体" w:cs="宋体" w:hint="eastAsia"/>
          <w:b/>
          <w:bCs/>
          <w:sz w:val="22"/>
          <w:szCs w:val="22"/>
          <w:lang w:val="zh-CN"/>
        </w:rPr>
        <w:t>之外的其他管理人，包括但不限于本理财计划所投资的信托计划、资管计划、基金的受托人或管理人、相关投资顾问等，下同）有可能需要向监管机构报送投资者身份信息、持仓信息等相关信息，</w:t>
      </w:r>
      <w:r>
        <w:rPr>
          <w:rFonts w:ascii="宋体" w:eastAsia="宋体" w:hAnsi="宋体" w:cs="宋体" w:hint="eastAsia"/>
          <w:b/>
          <w:sz w:val="22"/>
          <w:szCs w:val="22"/>
        </w:rPr>
        <w:t>招银理财</w:t>
      </w:r>
      <w:r>
        <w:rPr>
          <w:rFonts w:ascii="宋体" w:eastAsia="宋体" w:hAnsi="宋体" w:cs="宋体" w:hint="eastAsia"/>
          <w:b/>
          <w:bCs/>
          <w:sz w:val="22"/>
          <w:szCs w:val="22"/>
          <w:lang w:val="zh-CN"/>
        </w:rPr>
        <w:t>将应管理人申请，在必要范围内向管理人提供相关信息，并要求该等管理人履行投资者信息保密义务。</w:t>
      </w:r>
      <w:r>
        <w:rPr>
          <w:rFonts w:ascii="宋体" w:eastAsia="宋体" w:hAnsi="宋体" w:cs="宋体" w:hint="eastAsia"/>
          <w:b/>
          <w:sz w:val="22"/>
          <w:szCs w:val="22"/>
        </w:rPr>
        <w:t>投资者签署本理财产品销售文件即视为已经同意招银理财在前述范围内向相关方提供投资者身份信息、持仓信息等相关信息。</w:t>
      </w:r>
    </w:p>
    <w:p w:rsidR="003252C2" w:rsidRDefault="003252C2">
      <w:pPr>
        <w:rPr>
          <w:rFonts w:ascii="宋体" w:hAnsi="宋体" w:cs="Arial"/>
          <w:color w:val="FF0000"/>
          <w:sz w:val="24"/>
        </w:rPr>
      </w:pP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基本定义</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在本</w:t>
      </w:r>
      <w:r>
        <w:rPr>
          <w:rFonts w:asciiTheme="minorEastAsia" w:eastAsiaTheme="minorEastAsia" w:hAnsiTheme="minorEastAsia" w:hint="eastAsia"/>
          <w:sz w:val="22"/>
          <w:szCs w:val="22"/>
        </w:rPr>
        <w:t>《产品说明书》</w:t>
      </w:r>
      <w:r>
        <w:rPr>
          <w:rFonts w:asciiTheme="minorEastAsia" w:eastAsiaTheme="minorEastAsia" w:hAnsiTheme="minorEastAsia"/>
          <w:sz w:val="22"/>
          <w:szCs w:val="22"/>
        </w:rPr>
        <w:t>中，除非上下文另有明确约定，下列</w:t>
      </w:r>
      <w:r>
        <w:rPr>
          <w:rFonts w:asciiTheme="minorEastAsia" w:eastAsiaTheme="minorEastAsia" w:hAnsiTheme="minorEastAsia" w:hint="eastAsia"/>
          <w:sz w:val="22"/>
          <w:szCs w:val="22"/>
        </w:rPr>
        <w:t>用词</w:t>
      </w:r>
      <w:r>
        <w:rPr>
          <w:rFonts w:asciiTheme="minorEastAsia" w:eastAsiaTheme="minorEastAsia" w:hAnsiTheme="minorEastAsia"/>
          <w:sz w:val="22"/>
          <w:szCs w:val="22"/>
        </w:rPr>
        <w:t>将具有如下含义：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lastRenderedPageBreak/>
        <w:t>参与主体用语</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1）招银理财：</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招银理财有限责任公司</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（2）</w:t>
      </w:r>
      <w:r>
        <w:rPr>
          <w:rFonts w:asciiTheme="minorEastAsia" w:eastAsiaTheme="minorEastAsia" w:hAnsiTheme="minorEastAsia"/>
          <w:b/>
          <w:sz w:val="22"/>
          <w:szCs w:val="22"/>
        </w:rPr>
        <w:t>招商银行：</w:t>
      </w:r>
      <w:r>
        <w:rPr>
          <w:rFonts w:asciiTheme="minorEastAsia" w:eastAsiaTheme="minorEastAsia" w:hAnsiTheme="minorEastAsia" w:hint="eastAsia"/>
          <w:sz w:val="22"/>
          <w:szCs w:val="22"/>
        </w:rPr>
        <w:t>指招商银行股份有限公司。</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（3）管理</w:t>
      </w:r>
      <w:r>
        <w:rPr>
          <w:rFonts w:asciiTheme="minorEastAsia" w:eastAsiaTheme="minorEastAsia" w:hAnsiTheme="minorEastAsia"/>
          <w:b/>
          <w:sz w:val="22"/>
          <w:szCs w:val="22"/>
        </w:rPr>
        <w:t>人/投资管理人/理财计划管理人/理财产品管理人：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招银理财。</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（4）</w:t>
      </w:r>
      <w:r>
        <w:rPr>
          <w:rFonts w:asciiTheme="minorEastAsia" w:eastAsiaTheme="minorEastAsia" w:hAnsiTheme="minorEastAsia"/>
          <w:b/>
          <w:sz w:val="22"/>
          <w:szCs w:val="22"/>
        </w:rPr>
        <w:t>托管人：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招商银行。</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5</w:t>
      </w:r>
      <w:r>
        <w:rPr>
          <w:rFonts w:asciiTheme="minorEastAsia" w:eastAsiaTheme="minorEastAsia" w:hAnsiTheme="minorEastAsia" w:cs="Arial"/>
          <w:b/>
          <w:sz w:val="22"/>
          <w:szCs w:val="22"/>
        </w:rPr>
        <w:t>）</w:t>
      </w:r>
      <w:r>
        <w:rPr>
          <w:rFonts w:asciiTheme="minorEastAsia" w:eastAsiaTheme="minorEastAsia" w:hAnsiTheme="minorEastAsia" w:cs="Arial" w:hint="eastAsia"/>
          <w:b/>
          <w:sz w:val="22"/>
          <w:szCs w:val="22"/>
        </w:rPr>
        <w:t>销售服务机构：</w:t>
      </w:r>
      <w:r>
        <w:rPr>
          <w:rFonts w:asciiTheme="minorEastAsia" w:eastAsiaTheme="minorEastAsia" w:hAnsiTheme="minorEastAsia" w:cs="Arial" w:hint="eastAsia"/>
          <w:sz w:val="22"/>
          <w:szCs w:val="22"/>
        </w:rPr>
        <w:t>指与管理人签订相关协议，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的机构。后续如有变更以管理人信息披露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（6</w:t>
      </w:r>
      <w:r>
        <w:rPr>
          <w:rFonts w:asciiTheme="minorEastAsia" w:eastAsiaTheme="minorEastAsia" w:hAnsiTheme="minorEastAsia"/>
          <w:b/>
          <w:sz w:val="22"/>
          <w:szCs w:val="22"/>
        </w:rPr>
        <w:t>）认购人：</w:t>
      </w:r>
      <w:r>
        <w:rPr>
          <w:rFonts w:asciiTheme="minorEastAsia" w:eastAsiaTheme="minorEastAsia" w:hAnsiTheme="minorEastAsia" w:hint="eastAsia"/>
          <w:bCs/>
          <w:sz w:val="22"/>
          <w:szCs w:val="22"/>
        </w:rPr>
        <w:t>指在认购期期间签署理财计划《理财产品投资协议书》并向理财计划管理人交付认购资金的个人投资者。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（7</w:t>
      </w:r>
      <w:r>
        <w:rPr>
          <w:rFonts w:asciiTheme="minorEastAsia" w:eastAsiaTheme="minorEastAsia" w:hAnsiTheme="minorEastAsia"/>
          <w:b/>
          <w:sz w:val="22"/>
          <w:szCs w:val="22"/>
        </w:rPr>
        <w:t>）理财计划份额持有人/持有人：</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其</w:t>
      </w:r>
      <w:r>
        <w:rPr>
          <w:rFonts w:asciiTheme="minorEastAsia" w:eastAsiaTheme="minorEastAsia" w:hAnsiTheme="minorEastAsia"/>
          <w:sz w:val="22"/>
          <w:szCs w:val="22"/>
        </w:rPr>
        <w:t>认购/申购申请</w:t>
      </w:r>
      <w:r>
        <w:rPr>
          <w:rFonts w:asciiTheme="minorEastAsia" w:eastAsiaTheme="minorEastAsia" w:hAnsiTheme="minorEastAsia" w:hint="eastAsia"/>
          <w:sz w:val="22"/>
          <w:szCs w:val="22"/>
        </w:rPr>
        <w:t>，经过管理人</w:t>
      </w:r>
      <w:r>
        <w:rPr>
          <w:rFonts w:asciiTheme="minorEastAsia" w:eastAsiaTheme="minorEastAsia" w:hAnsiTheme="minorEastAsia"/>
          <w:sz w:val="22"/>
          <w:szCs w:val="22"/>
        </w:rPr>
        <w:t>确认认购/申购成功，</w:t>
      </w:r>
      <w:r>
        <w:rPr>
          <w:rFonts w:asciiTheme="minorEastAsia" w:eastAsiaTheme="minorEastAsia" w:hAnsiTheme="minorEastAsia" w:hint="eastAsia"/>
          <w:sz w:val="22"/>
          <w:szCs w:val="22"/>
        </w:rPr>
        <w:t>从而</w:t>
      </w:r>
      <w:r>
        <w:rPr>
          <w:rFonts w:asciiTheme="minorEastAsia" w:eastAsiaTheme="minorEastAsia" w:hAnsiTheme="minorEastAsia"/>
          <w:sz w:val="22"/>
          <w:szCs w:val="22"/>
        </w:rPr>
        <w:t>持有理财计划</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的投资者。</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8</w:t>
      </w:r>
      <w:r>
        <w:rPr>
          <w:rFonts w:asciiTheme="minorEastAsia" w:eastAsiaTheme="minorEastAsia" w:hAnsiTheme="minorEastAsia" w:hint="eastAsia"/>
          <w:b/>
          <w:sz w:val="22"/>
          <w:szCs w:val="22"/>
        </w:rPr>
        <w:t>）银保</w:t>
      </w:r>
      <w:r>
        <w:rPr>
          <w:rFonts w:asciiTheme="minorEastAsia" w:eastAsiaTheme="minorEastAsia" w:hAnsiTheme="minorEastAsia"/>
          <w:b/>
          <w:sz w:val="22"/>
          <w:szCs w:val="22"/>
        </w:rPr>
        <w:t>监会：</w:t>
      </w:r>
      <w:r>
        <w:rPr>
          <w:rFonts w:asciiTheme="minorEastAsia" w:eastAsiaTheme="minorEastAsia" w:hAnsiTheme="minorEastAsia"/>
          <w:sz w:val="22"/>
          <w:szCs w:val="22"/>
        </w:rPr>
        <w:t>指</w:t>
      </w:r>
      <w:r>
        <w:rPr>
          <w:rFonts w:asciiTheme="minorEastAsia" w:eastAsiaTheme="minorEastAsia" w:hAnsiTheme="minorEastAsia" w:hint="eastAsia"/>
          <w:sz w:val="22"/>
          <w:szCs w:val="22"/>
        </w:rPr>
        <w:t>原</w:t>
      </w:r>
      <w:r>
        <w:rPr>
          <w:rFonts w:asciiTheme="minorEastAsia" w:eastAsiaTheme="minorEastAsia" w:hAnsiTheme="minorEastAsia"/>
          <w:sz w:val="22"/>
          <w:szCs w:val="22"/>
        </w:rPr>
        <w:t>中国</w:t>
      </w:r>
      <w:r>
        <w:rPr>
          <w:rFonts w:asciiTheme="minorEastAsia" w:eastAsiaTheme="minorEastAsia" w:hAnsiTheme="minorEastAsia" w:hint="eastAsia"/>
          <w:sz w:val="22"/>
          <w:szCs w:val="22"/>
        </w:rPr>
        <w:t>银行保险</w:t>
      </w:r>
      <w:r>
        <w:rPr>
          <w:rFonts w:asciiTheme="minorEastAsia" w:eastAsiaTheme="minorEastAsia" w:hAnsiTheme="minorEastAsia"/>
          <w:sz w:val="22"/>
          <w:szCs w:val="22"/>
        </w:rPr>
        <w:t>监督管理委员会</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b/>
          <w:sz w:val="22"/>
          <w:szCs w:val="22"/>
        </w:rPr>
        <w:t>（9）金融监管总局</w:t>
      </w:r>
      <w:r>
        <w:rPr>
          <w:rFonts w:ascii="宋体" w:hAnsi="宋体"/>
          <w:b/>
          <w:sz w:val="22"/>
          <w:szCs w:val="22"/>
        </w:rPr>
        <w:t>：</w:t>
      </w:r>
      <w:r>
        <w:rPr>
          <w:rFonts w:ascii="宋体" w:hAnsi="宋体"/>
          <w:sz w:val="22"/>
          <w:szCs w:val="22"/>
        </w:rPr>
        <w:t>指</w:t>
      </w:r>
      <w:r>
        <w:rPr>
          <w:rFonts w:ascii="宋体" w:hAnsi="宋体" w:hint="eastAsia"/>
          <w:sz w:val="22"/>
          <w:szCs w:val="22"/>
        </w:rPr>
        <w:t>国家金融监督管理总局。</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10</w:t>
      </w:r>
      <w:r>
        <w:rPr>
          <w:rFonts w:asciiTheme="minorEastAsia" w:eastAsiaTheme="minorEastAsia" w:hAnsiTheme="minorEastAsia" w:cs="Arial"/>
          <w:b/>
          <w:sz w:val="22"/>
          <w:szCs w:val="22"/>
        </w:rPr>
        <w:t>）监管机构：</w:t>
      </w:r>
      <w:r>
        <w:rPr>
          <w:rFonts w:asciiTheme="minorEastAsia" w:eastAsiaTheme="minorEastAsia" w:hAnsiTheme="minorEastAsia" w:cs="Arial"/>
          <w:sz w:val="22"/>
          <w:szCs w:val="22"/>
        </w:rPr>
        <w:t>指对管理人（包括本理财计划的理财产品管理人、所投资的信托计划/资管计划</w:t>
      </w:r>
      <w:r>
        <w:rPr>
          <w:rFonts w:asciiTheme="majorEastAsia" w:eastAsiaTheme="majorEastAsia" w:hAnsiTheme="majorEastAsia" w:cs="Arial"/>
          <w:sz w:val="22"/>
        </w:rPr>
        <w:t>/基金</w:t>
      </w:r>
      <w:r>
        <w:rPr>
          <w:rFonts w:asciiTheme="minorEastAsia" w:eastAsiaTheme="minorEastAsia" w:hAnsiTheme="minorEastAsia" w:cs="Arial"/>
          <w:sz w:val="22"/>
          <w:szCs w:val="22"/>
        </w:rPr>
        <w:t>的管理人/受托人、相关投资顾问（如有）等）实施监督管理的机构，包括但不限于中国人民银行、</w:t>
      </w:r>
      <w:r>
        <w:rPr>
          <w:rFonts w:ascii="宋体" w:hAnsi="宋体" w:cs="Arial" w:hint="eastAsia"/>
          <w:sz w:val="22"/>
          <w:szCs w:val="22"/>
        </w:rPr>
        <w:t>金融监管总局</w:t>
      </w:r>
      <w:r>
        <w:rPr>
          <w:rFonts w:asciiTheme="minorEastAsia" w:eastAsiaTheme="minorEastAsia" w:hAnsiTheme="minorEastAsia" w:cs="Arial"/>
          <w:sz w:val="22"/>
          <w:szCs w:val="22"/>
        </w:rPr>
        <w:t>、中国证券监督管理委员会、外汇管理局</w:t>
      </w:r>
      <w:r>
        <w:rPr>
          <w:rFonts w:asciiTheme="minorEastAsia" w:eastAsiaTheme="minorEastAsia" w:hAnsiTheme="minorEastAsia" w:cs="Arial" w:hint="eastAsia"/>
          <w:sz w:val="22"/>
          <w:szCs w:val="22"/>
        </w:rPr>
        <w:t>、银行业理财登记托管中心</w:t>
      </w:r>
      <w:r>
        <w:rPr>
          <w:rFonts w:asciiTheme="minorEastAsia" w:eastAsiaTheme="minorEastAsia" w:hAnsiTheme="minorEastAsia" w:cs="Arial"/>
          <w:sz w:val="22"/>
          <w:szCs w:val="22"/>
        </w:rPr>
        <w:t>等。</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法律文件用语</w:t>
      </w:r>
    </w:p>
    <w:p w:rsidR="003252C2" w:rsidRDefault="00F10458">
      <w:pPr>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1）《产品说明书</w:t>
      </w:r>
      <w:r>
        <w:rPr>
          <w:rFonts w:asciiTheme="minorEastAsia" w:eastAsiaTheme="minorEastAsia" w:hAnsiTheme="minorEastAsia" w:hint="eastAsia"/>
          <w:b/>
          <w:sz w:val="22"/>
          <w:szCs w:val="22"/>
        </w:rPr>
        <w:t>》</w:t>
      </w:r>
      <w:r>
        <w:rPr>
          <w:rFonts w:asciiTheme="minorEastAsia" w:eastAsiaTheme="minorEastAsia" w:hAnsiTheme="minorEastAsia"/>
          <w:b/>
          <w:sz w:val="22"/>
          <w:szCs w:val="22"/>
        </w:rPr>
        <w:t>：</w:t>
      </w:r>
      <w:r>
        <w:rPr>
          <w:rFonts w:asciiTheme="minorEastAsia" w:eastAsiaTheme="minorEastAsia" w:hAnsiTheme="minor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bCs/>
          <w:sz w:val="22"/>
          <w:szCs w:val="22"/>
        </w:rPr>
        <w:t>产品说明书</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r>
        <w:rPr>
          <w:rFonts w:asciiTheme="minorEastAsia" w:eastAsiaTheme="minorEastAsia" w:hAnsiTheme="minorEastAsia"/>
          <w:sz w:val="22"/>
          <w:szCs w:val="22"/>
        </w:rPr>
        <w:t>以及对</w:t>
      </w:r>
      <w:r>
        <w:rPr>
          <w:rFonts w:asciiTheme="minorEastAsia" w:eastAsiaTheme="minorEastAsia" w:hAnsiTheme="minorEastAsia" w:hint="eastAsia"/>
          <w:sz w:val="22"/>
          <w:szCs w:val="22"/>
        </w:rPr>
        <w:t>该文件</w:t>
      </w:r>
      <w:r>
        <w:rPr>
          <w:rFonts w:asciiTheme="minorEastAsia" w:eastAsiaTheme="minorEastAsia" w:hAnsiTheme="minorEastAsia"/>
          <w:sz w:val="22"/>
          <w:szCs w:val="22"/>
        </w:rPr>
        <w:t>的有效修改或补充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2）《风险揭示书》：</w:t>
      </w:r>
      <w:r>
        <w:rPr>
          <w:rFonts w:asciiTheme="minorEastAsia" w:eastAsiaTheme="minorEastAsia" w:hAnsiTheme="minorEastAsia" w:hint="eastAsia"/>
          <w:sz w:val="22"/>
          <w:szCs w:val="22"/>
        </w:rPr>
        <w:t>指《</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风险揭示书》，以及</w:t>
      </w:r>
      <w:r>
        <w:rPr>
          <w:rFonts w:asciiTheme="minorEastAsia" w:eastAsiaTheme="minorEastAsia" w:hAnsiTheme="minorEastAsia"/>
          <w:sz w:val="22"/>
          <w:szCs w:val="22"/>
        </w:rPr>
        <w:t>对</w:t>
      </w:r>
      <w:r>
        <w:rPr>
          <w:rFonts w:asciiTheme="minorEastAsia" w:eastAsiaTheme="minorEastAsia" w:hAnsiTheme="minorEastAsia" w:hint="eastAsia"/>
          <w:sz w:val="22"/>
          <w:szCs w:val="22"/>
        </w:rPr>
        <w:t>该文件的有效修改或</w:t>
      </w:r>
      <w:r>
        <w:rPr>
          <w:rFonts w:asciiTheme="minorEastAsia" w:eastAsiaTheme="minorEastAsia" w:hAnsiTheme="minorEastAsia"/>
          <w:sz w:val="22"/>
          <w:szCs w:val="22"/>
        </w:rPr>
        <w:t>补充</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3</w:t>
      </w:r>
      <w:r>
        <w:rPr>
          <w:rFonts w:asciiTheme="minorEastAsia" w:eastAsiaTheme="minorEastAsia" w:hAnsiTheme="minorEastAsia" w:cs="Arial"/>
          <w:b/>
          <w:sz w:val="22"/>
          <w:szCs w:val="22"/>
        </w:rPr>
        <w:t>）</w:t>
      </w:r>
      <w:r>
        <w:rPr>
          <w:rFonts w:asciiTheme="minorEastAsia" w:eastAsiaTheme="minorEastAsia" w:hAnsiTheme="minorEastAsia" w:hint="eastAsia"/>
          <w:b/>
          <w:sz w:val="22"/>
          <w:szCs w:val="22"/>
        </w:rPr>
        <w:t>《理财产品投资协议书》</w:t>
      </w:r>
      <w:r>
        <w:rPr>
          <w:rFonts w:asciiTheme="minorEastAsia" w:eastAsiaTheme="minorEastAsia" w:hAnsiTheme="minorEastAsia"/>
          <w:sz w:val="22"/>
          <w:szCs w:val="22"/>
        </w:rPr>
        <w:t>：指由投资者和管理人签署的，作为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sz w:val="22"/>
          <w:szCs w:val="22"/>
        </w:rPr>
        <w:t>销售文件不可分割组成部分的《理财产品投资协议书》，以及对该文件的有效修改或补充</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理财计划合同：</w:t>
      </w:r>
      <w:r>
        <w:rPr>
          <w:rFonts w:asciiTheme="minorEastAsia" w:eastAsiaTheme="minorEastAsia" w:hAnsiTheme="minorEastAsia" w:hint="eastAsia"/>
          <w:sz w:val="22"/>
          <w:szCs w:val="22"/>
        </w:rPr>
        <w:t>指《产品说明书》、《风险揭示书》和《理财</w:t>
      </w:r>
      <w:r>
        <w:rPr>
          <w:rFonts w:asciiTheme="minorEastAsia" w:eastAsiaTheme="minorEastAsia" w:hAnsiTheme="minorEastAsia"/>
          <w:sz w:val="22"/>
          <w:szCs w:val="22"/>
        </w:rPr>
        <w:t>产品</w:t>
      </w:r>
      <w:r>
        <w:rPr>
          <w:rFonts w:asciiTheme="minorEastAsia" w:eastAsiaTheme="minorEastAsia" w:hAnsiTheme="minorEastAsia" w:hint="eastAsia"/>
          <w:sz w:val="22"/>
          <w:szCs w:val="22"/>
        </w:rPr>
        <w:t>投资协议书》</w:t>
      </w:r>
      <w:r>
        <w:rPr>
          <w:rFonts w:asciiTheme="minorEastAsia" w:eastAsiaTheme="minorEastAsia" w:hAnsiTheme="minorEastAsia"/>
          <w:sz w:val="22"/>
          <w:szCs w:val="22"/>
        </w:rPr>
        <w:t>的总称</w:t>
      </w:r>
      <w:r>
        <w:rPr>
          <w:rFonts w:asciiTheme="minorEastAsia" w:eastAsiaTheme="minorEastAsia" w:hAnsiTheme="minorEastAsia" w:hint="eastAsia"/>
          <w:sz w:val="22"/>
          <w:szCs w:val="22"/>
        </w:rPr>
        <w:t>。</w:t>
      </w:r>
    </w:p>
    <w:p w:rsidR="003252C2" w:rsidRDefault="00F10458">
      <w:pPr>
        <w:adjustRightInd w:val="0"/>
        <w:snapToGrid w:val="0"/>
        <w:spacing w:line="300" w:lineRule="auto"/>
        <w:rPr>
          <w:rStyle w:val="af5"/>
        </w:rPr>
      </w:pPr>
      <w:r>
        <w:rPr>
          <w:rFonts w:asciiTheme="minorEastAsia" w:eastAsiaTheme="minorEastAsia" w:hAnsiTheme="minorEastAsia" w:cs="Arial"/>
          <w:b/>
          <w:sz w:val="22"/>
          <w:szCs w:val="22"/>
        </w:rPr>
        <w:t>（</w:t>
      </w:r>
      <w:r>
        <w:rPr>
          <w:rFonts w:asciiTheme="minorEastAsia" w:eastAsiaTheme="minorEastAsia" w:hAnsiTheme="minorEastAsia"/>
          <w:b/>
          <w:sz w:val="22"/>
          <w:szCs w:val="22"/>
        </w:rPr>
        <w:t>5）销售文件：</w:t>
      </w:r>
      <w:r>
        <w:rPr>
          <w:rFonts w:asciiTheme="minorEastAsia" w:eastAsiaTheme="minorEastAsia" w:hAnsiTheme="minorEastAsia"/>
          <w:sz w:val="22"/>
          <w:szCs w:val="22"/>
        </w:rPr>
        <w:t>指《产品说明书》、《风险揭示书》、《理财产品投资协议书》以及《销售（代理销售）协议书》和《投资者权益须知》</w:t>
      </w:r>
      <w:r>
        <w:rPr>
          <w:rFonts w:asciiTheme="minorEastAsia" w:eastAsiaTheme="minorEastAsia" w:hAnsiTheme="minorEastAsia" w:cs="Arial"/>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b/>
          <w:bCs/>
          <w:sz w:val="22"/>
          <w:szCs w:val="22"/>
        </w:rPr>
        <w:t>（</w:t>
      </w:r>
      <w:r>
        <w:rPr>
          <w:rFonts w:asciiTheme="minorEastAsia" w:eastAsiaTheme="minorEastAsia" w:hAnsiTheme="minorEastAsia"/>
          <w:b/>
          <w:bCs/>
          <w:sz w:val="22"/>
          <w:szCs w:val="22"/>
        </w:rPr>
        <w:t>6</w:t>
      </w:r>
      <w:r>
        <w:rPr>
          <w:rFonts w:asciiTheme="minorEastAsia" w:eastAsiaTheme="minorEastAsia" w:hAnsiTheme="minorEastAsia" w:hint="eastAsia"/>
          <w:b/>
          <w:bCs/>
          <w:sz w:val="22"/>
          <w:szCs w:val="22"/>
        </w:rPr>
        <w:t>）《销售（代理销售）协议书》：</w:t>
      </w:r>
      <w:r>
        <w:rPr>
          <w:rFonts w:asciiTheme="minorEastAsia" w:eastAsiaTheme="minorEastAsia" w:hAnsiTheme="minorEastAsia" w:hint="eastAsia"/>
          <w:sz w:val="22"/>
          <w:szCs w:val="22"/>
        </w:rPr>
        <w:t>指由投资者和销售服务机构签署的，作为</w:t>
      </w:r>
      <w:r w:rsidR="003E43A3">
        <w:rPr>
          <w:rFonts w:asciiTheme="minorEastAsia" w:eastAsiaTheme="minorEastAsia" w:hAnsiTheme="minorEastAsia" w:hint="eastAsia"/>
          <w:sz w:val="22"/>
          <w:szCs w:val="22"/>
        </w:rPr>
        <w:t>招银理财招赢日日金109号现金管理类理财计划</w:t>
      </w:r>
      <w:r>
        <w:rPr>
          <w:rFonts w:asciiTheme="minorEastAsia" w:eastAsiaTheme="minorEastAsia" w:hAnsiTheme="minorEastAsia" w:hint="eastAsia"/>
          <w:sz w:val="22"/>
          <w:szCs w:val="22"/>
        </w:rPr>
        <w:t>销售文件不可分割组成部分的《销售（代理销售）协议书》，以及对该文件的有效修改或补充。</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理财产品用语</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1）理财计划/理财产品/产品：</w:t>
      </w:r>
      <w:r>
        <w:rPr>
          <w:rFonts w:asciiTheme="minorEastAsia" w:eastAsiaTheme="minorEastAsia" w:hAnsiTheme="minorEastAsia" w:cs="Arial"/>
          <w:sz w:val="22"/>
          <w:szCs w:val="22"/>
        </w:rPr>
        <w:t>指</w:t>
      </w:r>
      <w:r w:rsidR="003E43A3">
        <w:rPr>
          <w:rFonts w:asciiTheme="minorEastAsia" w:eastAsiaTheme="minorEastAsia" w:hAnsiTheme="minorEastAsia" w:hint="eastAsia"/>
          <w:bCs/>
          <w:sz w:val="22"/>
          <w:szCs w:val="22"/>
        </w:rPr>
        <w:t>招银理财招赢日日金109号现金管理类理财计划</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2）认购资金：</w:t>
      </w:r>
      <w:r>
        <w:rPr>
          <w:rFonts w:asciiTheme="minorEastAsia" w:eastAsiaTheme="minorEastAsia" w:hAnsiTheme="minorEastAsia" w:cs="Arial"/>
          <w:sz w:val="22"/>
          <w:szCs w:val="22"/>
        </w:rPr>
        <w:t>指在认购</w:t>
      </w:r>
      <w:r>
        <w:rPr>
          <w:rFonts w:asciiTheme="minorEastAsia" w:eastAsiaTheme="minorEastAsia" w:hAnsiTheme="minorEastAsia" w:cs="Arial" w:hint="eastAsia"/>
          <w:sz w:val="22"/>
          <w:szCs w:val="22"/>
        </w:rPr>
        <w:t>期</w:t>
      </w:r>
      <w:r>
        <w:rPr>
          <w:rFonts w:asciiTheme="minorEastAsia" w:eastAsiaTheme="minorEastAsia" w:hAnsiTheme="minorEastAsia" w:cs="Arial"/>
          <w:sz w:val="22"/>
          <w:szCs w:val="22"/>
        </w:rPr>
        <w:t>，认购人为认购理财计划份额而向管理人交付的货币资金。为免疑义，认购资金不包含认</w:t>
      </w:r>
      <w:r>
        <w:rPr>
          <w:rFonts w:asciiTheme="minorEastAsia" w:eastAsiaTheme="minorEastAsia" w:hAnsiTheme="minorEastAsia" w:cs="Arial" w:hint="eastAsia"/>
          <w:sz w:val="22"/>
          <w:szCs w:val="22"/>
        </w:rPr>
        <w:t>购资金在认购期内所产生的利息。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3）理财计划募集资金：</w:t>
      </w:r>
      <w:r>
        <w:rPr>
          <w:rFonts w:asciiTheme="minorEastAsia" w:eastAsiaTheme="minorEastAsia" w:hAnsiTheme="minorEastAsia" w:cs="Arial" w:hint="eastAsia"/>
          <w:sz w:val="22"/>
          <w:szCs w:val="22"/>
        </w:rPr>
        <w:t>指认购人按照理财计划合同的约定交付，并经管理人确认认购</w:t>
      </w:r>
      <w:r>
        <w:rPr>
          <w:rFonts w:asciiTheme="minorEastAsia" w:eastAsiaTheme="minorEastAsia" w:hAnsiTheme="minorEastAsia" w:cs="Arial" w:hint="eastAsia"/>
          <w:sz w:val="22"/>
          <w:szCs w:val="22"/>
        </w:rPr>
        <w:lastRenderedPageBreak/>
        <w:t>成功而进入理财计划账户的认购资金的总和。</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4）理财计划资金：</w:t>
      </w:r>
      <w:r>
        <w:rPr>
          <w:rFonts w:asciiTheme="minorEastAsia" w:eastAsiaTheme="minorEastAsia" w:hAnsiTheme="minorEastAsia" w:cs="Arial"/>
          <w:sz w:val="22"/>
          <w:szCs w:val="22"/>
        </w:rPr>
        <w:t>指理财计划募集资金，以及管理人管理、运用、处分该等理财计划募集资金而取得且归于理财计划所有的货币资金。</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kern w:val="0"/>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5）理财计划费用：</w:t>
      </w:r>
      <w:r w:rsidR="007C6F64">
        <w:rPr>
          <w:rFonts w:ascii="宋体" w:hAnsi="宋体" w:cs="宋体"/>
          <w:sz w:val="22"/>
        </w:rPr>
        <w:t>指投资管理人为成立理财计划及处理理财计划事务目的而支出的所有费用。</w:t>
      </w:r>
      <w:r w:rsidR="007C6F64">
        <w:rPr>
          <w:rFonts w:ascii="宋体" w:hAnsi="宋体" w:cs="宋体" w:hint="eastAsia"/>
          <w:sz w:val="22"/>
        </w:rPr>
        <w:t>详见“理财计划费用”。</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6）执行费用：</w:t>
      </w:r>
      <w:r w:rsidR="007C6F64">
        <w:rPr>
          <w:rFonts w:ascii="宋体" w:hAnsi="宋体" w:cs="宋体"/>
          <w:sz w:val="22"/>
        </w:rPr>
        <w:t>指与理财投资或标的资产相关且为理财计划利益目的而进行的诉讼或仲裁等法律程序相关的费用，包括但不限于</w:t>
      </w:r>
      <w:r w:rsidR="007C6F64">
        <w:rPr>
          <w:rFonts w:ascii="宋体" w:hAnsi="宋体" w:cs="宋体" w:hint="eastAsia"/>
          <w:sz w:val="22"/>
        </w:rPr>
        <w:t>诉讼（仲裁）费</w:t>
      </w:r>
      <w:r w:rsidR="007C6F64">
        <w:rPr>
          <w:rFonts w:ascii="宋体" w:hAnsi="宋体" w:cs="宋体"/>
          <w:sz w:val="22"/>
        </w:rPr>
        <w:t>、财产保全费、律师费和执行费，以及因诉讼或仲裁之需要而委托中介机构或司法机构进行鉴定、评估等而产生的费用。</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7）理财计划税费：</w:t>
      </w:r>
      <w:r>
        <w:rPr>
          <w:rFonts w:asciiTheme="minorEastAsia" w:eastAsiaTheme="minorEastAsia" w:hAnsiTheme="minorEastAsia" w:cs="Arial"/>
          <w:sz w:val="22"/>
          <w:szCs w:val="22"/>
        </w:rPr>
        <w:t>指根据适用法律和理财计划文件规定，理财计划应缴纳和承担的税收和有权政府部门向理财计划征收的规费。</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8）理财计划利益：</w:t>
      </w:r>
      <w:r>
        <w:rPr>
          <w:rFonts w:asciiTheme="minorEastAsia" w:eastAsiaTheme="minorEastAsia" w:hAnsiTheme="minorEastAsia" w:cs="Arial"/>
          <w:sz w:val="22"/>
          <w:szCs w:val="22"/>
        </w:rPr>
        <w:t>指投资者因持有理财计划份额，按照销售文件约定取得或有权取得的理财产品管理人分配的理财计划资产。在理财计划对外投资资产正常回收的情况下，该等财产性利益包括初始投资本金及理财计划收益。</w:t>
      </w:r>
    </w:p>
    <w:p w:rsidR="003252C2" w:rsidRDefault="00F10458">
      <w:pPr>
        <w:adjustRightInd w:val="0"/>
        <w:snapToGrid w:val="0"/>
        <w:spacing w:line="300" w:lineRule="auto"/>
        <w:rPr>
          <w:rFonts w:asciiTheme="minorEastAsia" w:eastAsiaTheme="minorEastAsia" w:hAnsiTheme="minorEastAsia" w:cs="Arial"/>
          <w:b/>
          <w:bCs/>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9）投资本金：</w:t>
      </w:r>
      <w:r>
        <w:rPr>
          <w:rFonts w:asciiTheme="minorEastAsia" w:eastAsiaTheme="minorEastAsia" w:hAnsiTheme="minorEastAsia" w:cs="Arial"/>
          <w:sz w:val="22"/>
          <w:szCs w:val="22"/>
        </w:rPr>
        <w:t>就每一投资者而言，指投资者为认购/申购理财计划份额而向理财产品管理人交付的货币资金，即该投资者在本理财计划下的初始投资资金。就每一理财计划份额而言，在本理财计划成立时每一理财计划份额的初始投资本金为1元。</w:t>
      </w:r>
      <w:r>
        <w:rPr>
          <w:rFonts w:asciiTheme="minorEastAsia" w:eastAsiaTheme="minorEastAsia" w:hAnsiTheme="minorEastAsia" w:cs="Arial"/>
          <w:b/>
          <w:bCs/>
          <w:sz w:val="22"/>
          <w:szCs w:val="22"/>
        </w:rPr>
        <w:t>为避免疑义，初始投资本金的称谓仅为方便计算理财计划利益而创设的，并非对投资者初始投资本金不受损失的承诺。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10</w:t>
      </w: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理财计划收益：</w:t>
      </w:r>
      <w:r>
        <w:rPr>
          <w:rFonts w:asciiTheme="minorEastAsia" w:eastAsiaTheme="minorEastAsia" w:hAnsiTheme="minorEastAsia" w:cs="Arial"/>
          <w:sz w:val="22"/>
          <w:szCs w:val="22"/>
        </w:rPr>
        <w:t>指投资者投资理财计划获得的投资收益，该收益为其获得分配的全部理财计划利益中扣除投资本金的部分。</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11）利益分配：</w:t>
      </w:r>
      <w:r>
        <w:rPr>
          <w:rFonts w:asciiTheme="minorEastAsia" w:eastAsiaTheme="minorEastAsia" w:hAnsiTheme="minorEastAsia" w:cs="Arial"/>
          <w:sz w:val="22"/>
          <w:szCs w:val="22"/>
        </w:rPr>
        <w:t>指理财产品管理人向投资者进行理财计划利益分配，具有《产品说明书》之“理财计划利益分配”的含义。</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12）期间分配：</w:t>
      </w:r>
      <w:r>
        <w:rPr>
          <w:rFonts w:asciiTheme="minorEastAsia" w:eastAsiaTheme="minorEastAsia" w:hAnsiTheme="minorEastAsia" w:cs="Arial" w:hint="eastAsia"/>
          <w:sz w:val="22"/>
          <w:szCs w:val="22"/>
        </w:rPr>
        <w:t>指在理财计划终止日（不含当日）前的理财计划利益分配。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13）终止分配：</w:t>
      </w:r>
      <w:r>
        <w:rPr>
          <w:rFonts w:asciiTheme="minorEastAsia" w:eastAsiaTheme="minorEastAsia" w:hAnsiTheme="minorEastAsia" w:cs="Arial" w:hint="eastAsia"/>
          <w:sz w:val="22"/>
          <w:szCs w:val="22"/>
        </w:rPr>
        <w:t>指在理财计划终止日当日及之后的理财计划利益分配。</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14）理财计划份额：</w:t>
      </w:r>
      <w:r>
        <w:rPr>
          <w:rFonts w:asciiTheme="minorEastAsia" w:eastAsiaTheme="minorEastAsia" w:hAnsiTheme="minorEastAsia" w:cs="Arial"/>
          <w:sz w:val="22"/>
          <w:szCs w:val="22"/>
        </w:rPr>
        <w:t>指管理人依据理财计划文件向投资者发行的一种资产受益凭证。理财计划份额持有人基于其所持有的理财计划份额享有理财计划利益、承担理财计划资产风险。</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15）理财计划份额净值：</w:t>
      </w:r>
      <w:r>
        <w:rPr>
          <w:rFonts w:asciiTheme="minorEastAsia" w:eastAsiaTheme="minorEastAsia" w:hAnsiTheme="minorEastAsia" w:cs="Arial"/>
          <w:sz w:val="22"/>
          <w:szCs w:val="22"/>
        </w:rPr>
        <w:t>指理财计划份额的单位净值，即每1份理财计划份额以人民币计价的价格。</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16</w:t>
      </w:r>
      <w:r>
        <w:rPr>
          <w:rFonts w:asciiTheme="minorEastAsia" w:eastAsiaTheme="minorEastAsia" w:hAnsiTheme="minorEastAsia" w:cs="Arial" w:hint="eastAsia"/>
          <w:b/>
          <w:sz w:val="22"/>
          <w:szCs w:val="22"/>
        </w:rPr>
        <w:t>）理财计划估值</w:t>
      </w:r>
      <w:r>
        <w:rPr>
          <w:rFonts w:asciiTheme="minorEastAsia" w:eastAsiaTheme="minorEastAsia" w:hAnsiTheme="minorEastAsia" w:cs="Arial" w:hint="eastAsia"/>
          <w:sz w:val="22"/>
          <w:szCs w:val="22"/>
        </w:rPr>
        <w:t>：指计算评估理财计划资产以确定理财计划每万份收益和七日年化收益率的过程。</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7）</w:t>
      </w:r>
      <w:r>
        <w:rPr>
          <w:rFonts w:asciiTheme="minorEastAsia" w:eastAsiaTheme="minorEastAsia" w:hAnsiTheme="minorEastAsia" w:cs="Arial"/>
          <w:b/>
          <w:sz w:val="22"/>
          <w:szCs w:val="22"/>
        </w:rPr>
        <w:t>业绩比较基准：</w:t>
      </w:r>
      <w:r>
        <w:rPr>
          <w:rFonts w:asciiTheme="minorEastAsia" w:eastAsiaTheme="minorEastAsia" w:hAnsiTheme="minorEastAsia" w:cs="Arial"/>
          <w:b/>
          <w:bCs/>
          <w:sz w:val="22"/>
          <w:szCs w:val="22"/>
        </w:rPr>
        <w:t>指管理人基于过往投资经验及对产品存续期投资市场波动的预判而对本产品所设定的投资目标，</w:t>
      </w:r>
      <w:r>
        <w:rPr>
          <w:rFonts w:asciiTheme="minorEastAsia" w:eastAsiaTheme="minorEastAsia" w:hAnsiTheme="minorEastAsia" w:cs="Arial" w:hint="eastAsia"/>
          <w:b/>
          <w:bCs/>
          <w:sz w:val="22"/>
          <w:szCs w:val="22"/>
        </w:rPr>
        <w:t>业绩比较基准仅作为计算浮动投资管理费</w:t>
      </w:r>
      <w:r>
        <w:rPr>
          <w:rFonts w:asciiTheme="minorEastAsia" w:eastAsiaTheme="minorEastAsia" w:hAnsiTheme="minorEastAsia" w:cs="Arial"/>
          <w:b/>
          <w:bCs/>
          <w:sz w:val="22"/>
          <w:szCs w:val="22"/>
        </w:rPr>
        <w:t>(如有)的依据，不代表本产品的未来表现和实际收益，或管理人对本产品进行的收益承诺。</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1</w:t>
      </w:r>
      <w:r>
        <w:rPr>
          <w:rFonts w:asciiTheme="minorEastAsia" w:eastAsiaTheme="minorEastAsia" w:hAnsiTheme="minorEastAsia" w:cs="Arial" w:hint="eastAsia"/>
          <w:b/>
          <w:sz w:val="22"/>
          <w:szCs w:val="22"/>
        </w:rPr>
        <w:t>8）</w:t>
      </w:r>
      <w:r>
        <w:rPr>
          <w:rFonts w:asciiTheme="minorEastAsia" w:eastAsiaTheme="minorEastAsia" w:hAnsiTheme="minorEastAsia" w:cs="Arial"/>
          <w:b/>
          <w:sz w:val="22"/>
          <w:szCs w:val="22"/>
        </w:rPr>
        <w:t>认购：</w:t>
      </w:r>
      <w:r>
        <w:rPr>
          <w:rFonts w:asciiTheme="minorEastAsia" w:eastAsiaTheme="minorEastAsia" w:hAnsiTheme="minorEastAsia" w:cs="Arial"/>
          <w:sz w:val="22"/>
          <w:szCs w:val="22"/>
        </w:rPr>
        <w:t>指投资者根据《产品说明书》约定申请购买本产品理财计划份额的行为。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（19）申购、赎回申请：</w:t>
      </w:r>
      <w:r>
        <w:rPr>
          <w:rFonts w:asciiTheme="minorEastAsia" w:eastAsiaTheme="minorEastAsia" w:hAnsiTheme="minorEastAsia" w:hint="eastAsia"/>
          <w:sz w:val="22"/>
          <w:szCs w:val="22"/>
        </w:rPr>
        <w:t>指在理财计划的开放期内，投资者向理财计划管理人提出申请对理财计划份额进行购买或卖出的行为。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21</w:t>
      </w:r>
      <w:r>
        <w:rPr>
          <w:rFonts w:asciiTheme="minorEastAsia" w:eastAsiaTheme="minorEastAsia" w:hAnsiTheme="minorEastAsia" w:hint="eastAsia"/>
          <w:b/>
          <w:sz w:val="22"/>
          <w:szCs w:val="22"/>
        </w:rPr>
        <w:t>）巨额赎回：</w:t>
      </w:r>
      <w:r>
        <w:rPr>
          <w:rFonts w:asciiTheme="minorEastAsia" w:eastAsiaTheme="minorEastAsia" w:hAnsiTheme="minorEastAsia" w:hint="eastAsia"/>
          <w:bCs/>
          <w:sz w:val="22"/>
          <w:szCs w:val="22"/>
        </w:rPr>
        <w:t>在理财计划存续期内，若理财计划单个开放日的净赎回额（赎回申请</w:t>
      </w:r>
      <w:r>
        <w:rPr>
          <w:rFonts w:asciiTheme="minorEastAsia" w:eastAsiaTheme="minorEastAsia" w:hAnsiTheme="minorEastAsia" w:hint="eastAsia"/>
          <w:bCs/>
          <w:sz w:val="22"/>
          <w:szCs w:val="22"/>
        </w:rPr>
        <w:lastRenderedPageBreak/>
        <w:t>份额总数扣除申购申请份额总数）超过本理财计划上一工作日日终份额的</w:t>
      </w:r>
      <w:r>
        <w:rPr>
          <w:rFonts w:asciiTheme="minorEastAsia" w:eastAsiaTheme="minorEastAsia" w:hAnsiTheme="minorEastAsia"/>
          <w:bCs/>
          <w:sz w:val="22"/>
          <w:szCs w:val="22"/>
        </w:rPr>
        <w:t>10%时，即为发生巨额赎回。</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相关账户用语</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理财托管账户/理财计划账户：</w:t>
      </w:r>
      <w:r>
        <w:rPr>
          <w:rFonts w:asciiTheme="minorEastAsia" w:eastAsiaTheme="minorEastAsia" w:hAnsiTheme="minorEastAsia" w:cs="Arial"/>
          <w:sz w:val="22"/>
          <w:szCs w:val="22"/>
        </w:rPr>
        <w:t>指理财计划管理人以理财产品的名义在托管人处单独开立的资金管理账户，理财计划资金的一切收支活动，均必须通过该账户进行。</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期间与日期</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1）交易日：</w:t>
      </w:r>
      <w:r>
        <w:rPr>
          <w:rFonts w:asciiTheme="minorEastAsia" w:eastAsiaTheme="minorEastAsia" w:hAnsiTheme="minorEastAsia"/>
          <w:sz w:val="22"/>
          <w:szCs w:val="22"/>
        </w:rPr>
        <w:t>指上海证券交易所和深圳证券交易所的正常</w:t>
      </w:r>
      <w:r>
        <w:rPr>
          <w:rFonts w:asciiTheme="minorEastAsia" w:eastAsiaTheme="minorEastAsia" w:hAnsiTheme="minorEastAsia" w:hint="eastAsia"/>
          <w:sz w:val="22"/>
          <w:szCs w:val="22"/>
        </w:rPr>
        <w:t>开盘</w:t>
      </w:r>
      <w:r>
        <w:rPr>
          <w:rFonts w:asciiTheme="minorEastAsia" w:eastAsiaTheme="minorEastAsia" w:hAnsiTheme="minorEastAsia"/>
          <w:sz w:val="22"/>
          <w:szCs w:val="22"/>
        </w:rPr>
        <w:t>交易日</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2）工作日/银行工作日：</w:t>
      </w:r>
      <w:r>
        <w:rPr>
          <w:rFonts w:asciiTheme="minorEastAsia" w:eastAsiaTheme="minorEastAsia" w:hAnsiTheme="minorEastAsia" w:hint="eastAsia"/>
          <w:sz w:val="22"/>
          <w:szCs w:val="22"/>
        </w:rPr>
        <w:t>指除中国法定节假日和公休日外的其他日。</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（3）认购期：</w:t>
      </w:r>
      <w:r>
        <w:rPr>
          <w:rFonts w:asciiTheme="minorEastAsia" w:eastAsiaTheme="minorEastAsia" w:hAnsiTheme="minorEastAsia" w:cs="Arial"/>
          <w:sz w:val="22"/>
          <w:szCs w:val="22"/>
        </w:rPr>
        <w:t>指理财计划成立前，理财计划管理人接受理财计划认购的时间。但在该期间内如认购人提交认购申请的认购</w:t>
      </w:r>
      <w:r>
        <w:rPr>
          <w:rFonts w:asciiTheme="minorEastAsia" w:eastAsiaTheme="minorEastAsia" w:hAnsiTheme="minorEastAsia" w:cs="Arial" w:hint="eastAsia"/>
          <w:sz w:val="22"/>
          <w:szCs w:val="22"/>
        </w:rPr>
        <w:t>金额</w:t>
      </w:r>
      <w:r>
        <w:rPr>
          <w:rFonts w:asciiTheme="minorEastAsia" w:eastAsiaTheme="minorEastAsia" w:hAnsiTheme="minorEastAsia" w:cs="Arial"/>
          <w:sz w:val="22"/>
          <w:szCs w:val="22"/>
        </w:rPr>
        <w:t>提前达到《产品说明书》所载的发行规模上限的，管理人有权宣布认购期提前结束，停止接受认购申请，该情况下，产品登记日和产品成立日，维持《产品说明书》的约定，保持不变。</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（4）认购登记日/产品登记日：</w:t>
      </w:r>
      <w:r>
        <w:rPr>
          <w:rFonts w:asciiTheme="minorEastAsia" w:eastAsiaTheme="minorEastAsia" w:hAnsiTheme="minorEastAsia" w:cs="Arial"/>
          <w:sz w:val="22"/>
          <w:szCs w:val="22"/>
        </w:rPr>
        <w:t>指管理人对认购人提交的认购申请进行理财计划份额登记的日期。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（5）理财计划成立日/产品成立日：</w:t>
      </w:r>
      <w:r>
        <w:rPr>
          <w:rFonts w:asciiTheme="minorEastAsia" w:eastAsiaTheme="minorEastAsia" w:hAnsiTheme="minorEastAsia" w:cs="Arial"/>
          <w:sz w:val="22"/>
          <w:szCs w:val="22"/>
        </w:rPr>
        <w:t>指达到《产品说明书》约定的成立条件后</w:t>
      </w:r>
      <w:r>
        <w:rPr>
          <w:rFonts w:asciiTheme="minorEastAsia" w:eastAsiaTheme="minorEastAsia" w:hAnsiTheme="minorEastAsia" w:cs="Arial" w:hint="eastAsia"/>
          <w:sz w:val="22"/>
          <w:szCs w:val="22"/>
        </w:rPr>
        <w:t>，理财产品管理人宣布</w:t>
      </w:r>
      <w:r>
        <w:rPr>
          <w:rFonts w:asciiTheme="minorEastAsia" w:eastAsiaTheme="minorEastAsia" w:hAnsiTheme="minorEastAsia" w:cs="Arial"/>
          <w:sz w:val="22"/>
          <w:szCs w:val="22"/>
        </w:rPr>
        <w:t>理财产品成立的日期。</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（6）理财计划预计到期日：</w:t>
      </w:r>
      <w:r>
        <w:rPr>
          <w:rFonts w:asciiTheme="minorEastAsia" w:eastAsiaTheme="minorEastAsia" w:hAnsiTheme="minorEastAsia" w:cs="Arial"/>
          <w:sz w:val="22"/>
          <w:szCs w:val="22"/>
        </w:rPr>
        <w:t>指</w:t>
      </w:r>
      <w:r>
        <w:rPr>
          <w:rFonts w:asciiTheme="minorEastAsia" w:eastAsiaTheme="minorEastAsia" w:hAnsiTheme="minorEastAsia" w:cs="Arial" w:hint="eastAsia"/>
          <w:sz w:val="22"/>
          <w:szCs w:val="22"/>
        </w:rPr>
        <w:t>《产品说明书》之“理财计划要素”中约定的预计到期日，即</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如遇非</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顺延至下一个</w:t>
      </w:r>
      <w:r>
        <w:rPr>
          <w:rFonts w:asciiTheme="minorEastAsia" w:eastAsiaTheme="minorEastAsia" w:hAnsiTheme="minorEastAsia" w:cs="Arial" w:hint="eastAsia"/>
          <w:sz w:val="22"/>
          <w:szCs w:val="22"/>
        </w:rPr>
        <w:t>工作日</w:t>
      </w:r>
      <w:r>
        <w:rPr>
          <w:rFonts w:asciiTheme="minorEastAsia" w:eastAsiaTheme="minorEastAsia" w:hAnsiTheme="minorEastAsia" w:cs="Arial"/>
          <w:sz w:val="22"/>
          <w:szCs w:val="22"/>
        </w:rPr>
        <w:t>。</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b/>
          <w:sz w:val="22"/>
          <w:szCs w:val="22"/>
        </w:rPr>
        <w:t>（7）理财计划终止日/理财产品终止日：</w:t>
      </w: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日（含延长后的到期终止之日，以及管理人在延期期限内根据本《产品说明书》约定宣布本理财计划终止之日）。</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（8）理财计划预计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/预计</w:t>
      </w:r>
      <w:r>
        <w:rPr>
          <w:rFonts w:asciiTheme="minorEastAsia" w:eastAsiaTheme="minorEastAsia" w:hAnsiTheme="minorEastAsia" w:cs="Arial" w:hint="eastAsia"/>
          <w:b/>
          <w:sz w:val="22"/>
          <w:szCs w:val="22"/>
        </w:rPr>
        <w:t>存续期</w:t>
      </w:r>
      <w:r>
        <w:rPr>
          <w:rFonts w:asciiTheme="minorEastAsia" w:eastAsiaTheme="minorEastAsia" w:hAnsiTheme="minorEastAsia" w:cs="Arial"/>
          <w:b/>
          <w:sz w:val="22"/>
          <w:szCs w:val="22"/>
        </w:rPr>
        <w:t>：</w:t>
      </w:r>
      <w:r>
        <w:rPr>
          <w:rFonts w:asciiTheme="minorEastAsia" w:eastAsiaTheme="minorEastAsia" w:hAnsiTheme="minorEastAsia" w:cs="Arial"/>
          <w:sz w:val="22"/>
          <w:szCs w:val="22"/>
        </w:rPr>
        <w:t>指理财计划成立日起，至理财计划预计到期日的期间。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w:t>
      </w:r>
      <w:r>
        <w:rPr>
          <w:rFonts w:asciiTheme="minorEastAsia" w:eastAsiaTheme="minorEastAsia" w:hAnsiTheme="minorEastAsia" w:cs="Arial"/>
          <w:b/>
          <w:sz w:val="22"/>
          <w:szCs w:val="22"/>
        </w:rPr>
        <w:t>9）产品存续期/理财计划存续期：</w:t>
      </w:r>
      <w:r>
        <w:rPr>
          <w:rFonts w:asciiTheme="minorEastAsia" w:eastAsiaTheme="minorEastAsia" w:hAnsiTheme="minorEastAsia" w:cs="Arial"/>
          <w:sz w:val="22"/>
          <w:szCs w:val="22"/>
        </w:rPr>
        <w:t>指自理财计划成立日起，至理财计划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日的期间。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10）</w:t>
      </w:r>
      <w:r>
        <w:rPr>
          <w:rFonts w:asciiTheme="minorEastAsia" w:eastAsiaTheme="minorEastAsia" w:hAnsiTheme="minorEastAsia" w:hint="eastAsia"/>
          <w:b/>
          <w:sz w:val="22"/>
          <w:szCs w:val="22"/>
        </w:rPr>
        <w:t>估值日：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理财计划存续期间，每个自然日为估值日。招银理财于每个自然日计算理财计划每万份收益和七日年化收益率。招银理财于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w:t>
      </w:r>
      <w:r>
        <w:rPr>
          <w:rFonts w:asciiTheme="minorEastAsia" w:eastAsiaTheme="minorEastAsia" w:hAnsiTheme="minorEastAsia"/>
          <w:sz w:val="22"/>
          <w:szCs w:val="22"/>
        </w:rPr>
        <w:t>1个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公布理财产品的每万份收益和七日年化收益率。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11）</w:t>
      </w:r>
      <w:r>
        <w:rPr>
          <w:rFonts w:asciiTheme="minorEastAsia" w:eastAsiaTheme="minorEastAsia" w:hAnsiTheme="minorEastAsia" w:cs="Arial"/>
          <w:b/>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2</w:t>
      </w:r>
      <w:r>
        <w:rPr>
          <w:rFonts w:asciiTheme="minorEastAsia" w:eastAsiaTheme="minorEastAsia" w:hAnsiTheme="minorEastAsia"/>
          <w:b/>
          <w:sz w:val="22"/>
          <w:szCs w:val="22"/>
        </w:rPr>
        <w:t>）申购</w:t>
      </w:r>
      <w:r>
        <w:rPr>
          <w:rFonts w:asciiTheme="minorEastAsia" w:eastAsiaTheme="minorEastAsia" w:hAnsiTheme="minorEastAsia" w:hint="eastAsia"/>
          <w:b/>
          <w:sz w:val="22"/>
          <w:szCs w:val="22"/>
        </w:rPr>
        <w:t>、赎回期/开放期：</w:t>
      </w: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3</w:t>
      </w:r>
      <w:r>
        <w:rPr>
          <w:rFonts w:asciiTheme="minorEastAsia" w:eastAsiaTheme="minorEastAsia" w:hAnsiTheme="minorEastAsia"/>
          <w:b/>
          <w:sz w:val="22"/>
          <w:szCs w:val="22"/>
        </w:rPr>
        <w:t>）</w:t>
      </w:r>
      <w:r>
        <w:rPr>
          <w:rFonts w:asciiTheme="minorEastAsia" w:eastAsiaTheme="minorEastAsia" w:hAnsiTheme="minorEastAsia" w:hint="eastAsia"/>
          <w:b/>
          <w:sz w:val="22"/>
          <w:szCs w:val="22"/>
        </w:rPr>
        <w:t>申购、赎回确认日：</w:t>
      </w: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r>
        <w:rPr>
          <w:rFonts w:asciiTheme="minorEastAsia" w:eastAsiaTheme="minorEastAsia" w:hAnsiTheme="minor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4</w:t>
      </w:r>
      <w:r>
        <w:rPr>
          <w:rFonts w:asciiTheme="minorEastAsia" w:eastAsiaTheme="minorEastAsia" w:hAnsiTheme="minorEastAsia"/>
          <w:b/>
          <w:sz w:val="22"/>
          <w:szCs w:val="22"/>
        </w:rPr>
        <w:t>）T日：</w:t>
      </w:r>
      <w:r>
        <w:rPr>
          <w:rFonts w:asciiTheme="minorEastAsia" w:eastAsiaTheme="minorEastAsia" w:hAnsiTheme="minorEastAsia"/>
          <w:sz w:val="22"/>
          <w:szCs w:val="22"/>
        </w:rPr>
        <w:t>指某一事件或行为发生的当日，具体以相关条款约定为准。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5</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w:t>
      </w:r>
      <w:r>
        <w:rPr>
          <w:rFonts w:asciiTheme="minorEastAsia" w:eastAsiaTheme="minorEastAsia" w:hAnsiTheme="minorEastAsia" w:hint="eastAsia"/>
          <w:sz w:val="22"/>
          <w:szCs w:val="22"/>
        </w:rPr>
        <w:t>后</w:t>
      </w:r>
      <w:r>
        <w:rPr>
          <w:rFonts w:asciiTheme="minorEastAsia" w:eastAsiaTheme="minorEastAsia" w:hAnsiTheme="minorEastAsia"/>
          <w:sz w:val="22"/>
          <w:szCs w:val="22"/>
        </w:rPr>
        <w:t>（不包括T日）的第n个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6</w:t>
      </w:r>
      <w:r>
        <w:rPr>
          <w:rFonts w:asciiTheme="minorEastAsia" w:eastAsiaTheme="minorEastAsia" w:hAnsiTheme="minorEastAsia"/>
          <w:b/>
          <w:sz w:val="22"/>
          <w:szCs w:val="22"/>
        </w:rPr>
        <w:t>）T-n</w:t>
      </w:r>
      <w:r>
        <w:rPr>
          <w:rFonts w:asciiTheme="minorEastAsia" w:eastAsiaTheme="minorEastAsia" w:hAnsiTheme="minorEastAsia" w:hint="eastAsia"/>
          <w:b/>
          <w:sz w:val="22"/>
          <w:szCs w:val="22"/>
        </w:rPr>
        <w:t>日：</w:t>
      </w:r>
      <w:r>
        <w:rPr>
          <w:rFonts w:asciiTheme="minorEastAsia" w:eastAsiaTheme="minorEastAsia" w:hAnsiTheme="minorEastAsia"/>
          <w:sz w:val="22"/>
          <w:szCs w:val="22"/>
        </w:rPr>
        <w:t>指T日前（不包括T日）的第n个</w:t>
      </w:r>
      <w:r>
        <w:rPr>
          <w:rFonts w:asciiTheme="minorEastAsia" w:eastAsiaTheme="minorEastAsia" w:hAnsiTheme="minorEastAsia" w:hint="eastAsia"/>
          <w:sz w:val="22"/>
          <w:szCs w:val="22"/>
        </w:rPr>
        <w:t>工作</w:t>
      </w:r>
      <w:r>
        <w:rPr>
          <w:rFonts w:asciiTheme="minorEastAsia" w:eastAsiaTheme="minorEastAsia" w:hAnsiTheme="minorEastAsia"/>
          <w:sz w:val="22"/>
          <w:szCs w:val="22"/>
        </w:rPr>
        <w:t>日。</w:t>
      </w:r>
    </w:p>
    <w:p w:rsidR="003252C2" w:rsidRDefault="00F10458">
      <w:pPr>
        <w:spacing w:line="276" w:lineRule="auto"/>
        <w:rPr>
          <w:b/>
          <w:sz w:val="22"/>
        </w:rPr>
      </w:pPr>
      <w:r>
        <w:rPr>
          <w:rFonts w:asciiTheme="minorEastAsia" w:eastAsiaTheme="minorEastAsia" w:hAnsiTheme="minorEastAsia" w:hint="eastAsia"/>
          <w:b/>
          <w:sz w:val="22"/>
          <w:szCs w:val="22"/>
        </w:rPr>
        <w:lastRenderedPageBreak/>
        <w:t>（17）</w:t>
      </w:r>
      <w:r>
        <w:rPr>
          <w:rFonts w:hint="eastAsia"/>
          <w:b/>
          <w:sz w:val="22"/>
        </w:rPr>
        <w:t>节假日临时调整：</w:t>
      </w:r>
      <w:r>
        <w:rPr>
          <w:rFonts w:hint="eastAsia"/>
          <w:sz w:val="22"/>
        </w:rPr>
        <w:t>如因国家相关主管部门临时调整节假日安排，导致产品原定开放期、开放日、估值日等日期安排发生变化的，原则上采用顺延方式对原定日期安排进行调整，如有特殊安排，以管理人通过本理财计划说明书约定的信息披露方式披露的调整方式为准。</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相关事件用语</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b/>
          <w:sz w:val="22"/>
          <w:szCs w:val="22"/>
        </w:rPr>
        <w:t>不可抗力：</w:t>
      </w:r>
      <w:r>
        <w:rPr>
          <w:rFonts w:asciiTheme="minorEastAsia" w:eastAsiaTheme="minorEastAsia" w:hAnsiTheme="minorEastAsia"/>
          <w:sz w:val="22"/>
          <w:szCs w:val="22"/>
        </w:rPr>
        <w:t>指</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w:t>
      </w:r>
      <w:r>
        <w:rPr>
          <w:rFonts w:asciiTheme="minorEastAsia" w:eastAsiaTheme="minorEastAsia" w:hAnsiTheme="minorEastAsia" w:hint="eastAsia"/>
          <w:sz w:val="22"/>
          <w:szCs w:val="22"/>
        </w:rPr>
        <w:t>不能预见、不能避免且不能克服的客观情况，</w:t>
      </w:r>
      <w:r>
        <w:rPr>
          <w:rFonts w:asciiTheme="minorEastAsia" w:eastAsiaTheme="minorEastAsia" w:hAnsiTheme="minorEastAsia"/>
          <w:sz w:val="22"/>
          <w:szCs w:val="22"/>
        </w:rPr>
        <w:t>该事件妨碍、影响或延误任何一方依相关</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文件履行其全部或部分义务。该事件包括但不限于</w:t>
      </w:r>
      <w:r>
        <w:rPr>
          <w:rFonts w:asciiTheme="minorEastAsia" w:eastAsiaTheme="minorEastAsia" w:hAnsiTheme="minorEastAsia" w:hint="eastAsia"/>
          <w:sz w:val="22"/>
          <w:szCs w:val="22"/>
        </w:rPr>
        <w:t>：</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1）地震、台风、海啸、洪水、火灾、停电、瘟疫；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2）战争、政变、恐怖主义行动、骚乱、罢工；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3）新的适用法律或国家政策的颁布或实施、对原适用法律或国家政策的修改；</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金融管理部门</w:t>
      </w:r>
      <w:r>
        <w:rPr>
          <w:rFonts w:asciiTheme="minorEastAsia" w:eastAsiaTheme="minorEastAsia" w:hAnsiTheme="minorEastAsia"/>
          <w:sz w:val="22"/>
          <w:szCs w:val="22"/>
        </w:rPr>
        <w:t>强制要求终止</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计划（该等强制要求不可归咎于任何一方）；</w:t>
      </w:r>
      <w:r>
        <w:rPr>
          <w:rFonts w:asciiTheme="minorEastAsia" w:eastAsiaTheme="minorEastAsia" w:hAnsiTheme="minorEastAsia" w:hint="eastAsia"/>
          <w:sz w:val="22"/>
          <w:szCs w:val="22"/>
        </w:rPr>
        <w:t>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计划各方和/或其关联方运营</w:t>
      </w:r>
      <w:r>
        <w:rPr>
          <w:rFonts w:asciiTheme="minorEastAsia" w:eastAsiaTheme="minorEastAsia" w:hAnsiTheme="minorEastAsia" w:hint="eastAsia"/>
          <w:sz w:val="22"/>
          <w:szCs w:val="22"/>
        </w:rPr>
        <w:t>网络</w:t>
      </w:r>
      <w:r>
        <w:rPr>
          <w:rFonts w:asciiTheme="minorEastAsia" w:eastAsiaTheme="minorEastAsia" w:hAnsiTheme="minorEastAsia"/>
          <w:sz w:val="22"/>
          <w:szCs w:val="22"/>
        </w:rPr>
        <w:t>系统</w:t>
      </w:r>
      <w:r>
        <w:rPr>
          <w:rFonts w:asciiTheme="minorEastAsia" w:eastAsiaTheme="minorEastAsia" w:hAnsiTheme="minorEastAsia" w:hint="eastAsia"/>
          <w:sz w:val="22"/>
          <w:szCs w:val="22"/>
        </w:rPr>
        <w:t>遭受</w:t>
      </w:r>
      <w:r>
        <w:rPr>
          <w:rFonts w:asciiTheme="minorEastAsia" w:eastAsiaTheme="minorEastAsia" w:hAnsiTheme="minorEastAsia"/>
          <w:sz w:val="22"/>
          <w:szCs w:val="22"/>
        </w:rPr>
        <w:t>黑客攻击、电信部门技术调整或故障等原因而造成的</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计划各方和/或其关联方之服务、营业的中断或者延迟。</w:t>
      </w:r>
    </w:p>
    <w:p w:rsidR="003252C2" w:rsidRDefault="00F10458">
      <w:pPr>
        <w:numPr>
          <w:ilvl w:val="0"/>
          <w:numId w:val="2"/>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其他</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1）</w:t>
      </w:r>
      <w:r>
        <w:rPr>
          <w:rFonts w:asciiTheme="minorEastAsia" w:eastAsiaTheme="minorEastAsia" w:hAnsiTheme="minorEastAsia" w:hint="eastAsia"/>
          <w:b/>
          <w:sz w:val="22"/>
          <w:szCs w:val="22"/>
        </w:rPr>
        <w:t>中国：</w:t>
      </w:r>
      <w:r>
        <w:rPr>
          <w:rFonts w:asciiTheme="minorEastAsia" w:eastAsiaTheme="minorEastAsia" w:hAnsiTheme="minorEastAsia" w:hint="eastAsia"/>
          <w:sz w:val="22"/>
          <w:szCs w:val="22"/>
        </w:rPr>
        <w:t>指</w:t>
      </w:r>
      <w:r>
        <w:rPr>
          <w:rFonts w:asciiTheme="minorEastAsia" w:eastAsiaTheme="minorEastAsia" w:hAnsiTheme="minorEastAsia"/>
          <w:sz w:val="22"/>
          <w:szCs w:val="22"/>
        </w:rPr>
        <w:t>中华人民共和国（</w:t>
      </w:r>
      <w:r>
        <w:rPr>
          <w:rFonts w:asciiTheme="minorEastAsia" w:eastAsiaTheme="minorEastAsia" w:hAnsiTheme="minorEastAsia" w:hint="eastAsia"/>
          <w:sz w:val="22"/>
          <w:szCs w:val="22"/>
        </w:rPr>
        <w:t>为本理财计划之目的，</w:t>
      </w:r>
      <w:r>
        <w:rPr>
          <w:rFonts w:asciiTheme="minorEastAsia" w:eastAsiaTheme="minorEastAsia" w:hAnsiTheme="minorEastAsia"/>
          <w:sz w:val="22"/>
          <w:szCs w:val="22"/>
        </w:rPr>
        <w:t>不包括香港特别行政区、澳门特别行政区和台湾地区）。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2）元：</w:t>
      </w:r>
      <w:r>
        <w:rPr>
          <w:rFonts w:asciiTheme="minorEastAsia" w:eastAsiaTheme="minorEastAsia" w:hAnsiTheme="minorEastAsia"/>
          <w:sz w:val="22"/>
          <w:szCs w:val="22"/>
        </w:rPr>
        <w:t>指人民币元</w:t>
      </w:r>
      <w:r>
        <w:rPr>
          <w:rFonts w:asciiTheme="minorEastAsia" w:eastAsiaTheme="minorEastAsia" w:hAnsiTheme="minorEastAsia" w:hint="eastAsia"/>
          <w:sz w:val="22"/>
          <w:szCs w:val="22"/>
        </w:rPr>
        <w:t>。</w:t>
      </w:r>
    </w:p>
    <w:p w:rsidR="003252C2" w:rsidRDefault="00F10458">
      <w:pPr>
        <w:spacing w:line="276" w:lineRule="auto"/>
        <w:rPr>
          <w:rFonts w:ascii="宋体" w:hAnsi="宋体" w:cs="Arial"/>
          <w:sz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3）</w:t>
      </w:r>
      <w:r>
        <w:rPr>
          <w:rFonts w:asciiTheme="minorEastAsia" w:eastAsiaTheme="minorEastAsia" w:hAnsiTheme="minorEastAsia" w:hint="eastAsia"/>
          <w:b/>
          <w:sz w:val="22"/>
          <w:szCs w:val="22"/>
        </w:rPr>
        <w:t>适用法律：</w:t>
      </w:r>
      <w:r>
        <w:rPr>
          <w:rFonts w:asciiTheme="minorEastAsia" w:eastAsiaTheme="minorEastAsia" w:hAnsiTheme="minorEastAsia" w:hint="eastAsia"/>
          <w:sz w:val="22"/>
          <w:szCs w:val="22"/>
        </w:rPr>
        <w:t>指</w:t>
      </w:r>
      <w:r>
        <w:rPr>
          <w:rFonts w:asciiTheme="minorEastAsia" w:eastAsiaTheme="minorEastAsia" w:hAnsiTheme="minorEastAsia"/>
          <w:sz w:val="22"/>
          <w:szCs w:val="22"/>
        </w:rPr>
        <w:t>在</w:t>
      </w:r>
      <w:r>
        <w:rPr>
          <w:rFonts w:asciiTheme="minorEastAsia" w:eastAsiaTheme="minorEastAsia" w:hAnsiTheme="minorEastAsia" w:hint="eastAsia"/>
          <w:sz w:val="22"/>
          <w:szCs w:val="22"/>
        </w:rPr>
        <w:t>理财产品</w:t>
      </w:r>
      <w:r>
        <w:rPr>
          <w:rFonts w:asciiTheme="minorEastAsia" w:eastAsiaTheme="minorEastAsia" w:hAnsiTheme="minorEastAsia"/>
          <w:sz w:val="22"/>
          <w:szCs w:val="22"/>
        </w:rPr>
        <w:t>文件签署日和履行过程中，中国任何立法机构、政府部门、</w:t>
      </w:r>
      <w:r>
        <w:rPr>
          <w:rFonts w:asciiTheme="minorEastAsia" w:eastAsiaTheme="minorEastAsia" w:hAnsiTheme="minorEastAsia" w:hint="eastAsia"/>
          <w:sz w:val="22"/>
          <w:szCs w:val="22"/>
        </w:rPr>
        <w:t>银行间交易商协会、</w:t>
      </w:r>
      <w:r>
        <w:rPr>
          <w:rFonts w:asciiTheme="minorEastAsia" w:eastAsiaTheme="minorEastAsia" w:hAnsiTheme="minorEastAsia"/>
          <w:sz w:val="22"/>
          <w:szCs w:val="22"/>
        </w:rPr>
        <w:t>证券交易所、证券登记</w:t>
      </w:r>
      <w:r>
        <w:rPr>
          <w:rFonts w:asciiTheme="minorEastAsia" w:eastAsiaTheme="minorEastAsia" w:hAnsiTheme="minorEastAsia" w:hint="eastAsia"/>
          <w:sz w:val="22"/>
          <w:szCs w:val="22"/>
        </w:rPr>
        <w:t>结算</w:t>
      </w:r>
      <w:r>
        <w:rPr>
          <w:rFonts w:asciiTheme="minorEastAsia" w:eastAsiaTheme="minorEastAsia" w:hAnsiTheme="minorEastAsia"/>
          <w:sz w:val="22"/>
          <w:szCs w:val="22"/>
        </w:rPr>
        <w:t>机构、基金业协会依法颁布的，适用于本</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计划相关事宜的法律、行政法规、地方法规、部委规章、地方政府规章、规范性文件、规则、通知、须知、业务指南、指引或操作规程，及其有效的修改、更新或补充。</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w:t>
      </w:r>
      <w:r>
        <w:rPr>
          <w:rFonts w:asciiTheme="minorEastAsia" w:eastAsiaTheme="minorEastAsia" w:hAnsiTheme="minorEastAsia"/>
          <w:b/>
          <w:sz w:val="22"/>
          <w:szCs w:val="22"/>
        </w:rPr>
        <w:t>4）</w:t>
      </w:r>
      <w:r>
        <w:rPr>
          <w:rFonts w:asciiTheme="minorEastAsia" w:eastAsiaTheme="minorEastAsia" w:hAnsiTheme="minorEastAsia" w:hint="eastAsia"/>
          <w:b/>
          <w:sz w:val="22"/>
          <w:szCs w:val="22"/>
        </w:rPr>
        <w:t>流动性受限资产</w:t>
      </w:r>
      <w:r>
        <w:rPr>
          <w:rFonts w:asciiTheme="minorEastAsia" w:eastAsiaTheme="minorEastAsia" w:hAnsiTheme="minorEastAsia" w:hint="eastAsia"/>
          <w:sz w:val="22"/>
          <w:szCs w:val="22"/>
        </w:rPr>
        <w:t>：指由于法律法规、监管、合同或操作障碍等原因无法以合理价格予以变现的资产，包括到期日在10个交易日以上的债券买入返售与银行定期存款（含协议约定有条件提前支取的银行存款）、资产支持证券，因发行人债务违约无法进行转让或交易的债券，以及其他流动性受限资产。法律法规或监管机构另有规定的，从其规定。</w:t>
      </w:r>
    </w:p>
    <w:p w:rsidR="003252C2" w:rsidRDefault="00F10458">
      <w:pPr>
        <w:widowControl/>
        <w:adjustRightInd w:val="0"/>
        <w:snapToGrid w:val="0"/>
        <w:spacing w:line="276"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（5）</w:t>
      </w:r>
      <w:r>
        <w:rPr>
          <w:rFonts w:asciiTheme="minorEastAsia" w:eastAsiaTheme="minorEastAsia" w:hAnsiTheme="minorEastAsia"/>
          <w:b/>
          <w:sz w:val="22"/>
          <w:szCs w:val="22"/>
        </w:rPr>
        <w:t>7</w:t>
      </w:r>
      <w:r>
        <w:rPr>
          <w:rFonts w:asciiTheme="minorEastAsia" w:eastAsiaTheme="minorEastAsia" w:hAnsiTheme="minorEastAsia" w:hint="eastAsia"/>
          <w:b/>
          <w:sz w:val="22"/>
          <w:szCs w:val="22"/>
        </w:rPr>
        <w:t>个工作日可变现资产</w:t>
      </w:r>
      <w:r>
        <w:rPr>
          <w:rFonts w:asciiTheme="minorEastAsia" w:eastAsiaTheme="minorEastAsia" w:hAnsiTheme="minorEastAsia" w:hint="eastAsia"/>
          <w:sz w:val="22"/>
          <w:szCs w:val="22"/>
        </w:rPr>
        <w:t>：包括可在交易所、银行间市场正常交易的股票、债券、非金融企业债务融资工具、期货及期权合约以及同业存单，</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个工作日内到期或可支取的买入返售、银行存款，</w:t>
      </w:r>
      <w:r>
        <w:rPr>
          <w:rFonts w:asciiTheme="minorEastAsia" w:eastAsiaTheme="minorEastAsia" w:hAnsiTheme="minorEastAsia"/>
          <w:sz w:val="22"/>
          <w:szCs w:val="22"/>
        </w:rPr>
        <w:t>7</w:t>
      </w:r>
      <w:r>
        <w:rPr>
          <w:rFonts w:asciiTheme="minorEastAsia" w:eastAsiaTheme="minorEastAsia" w:hAnsiTheme="minorEastAsia" w:hint="eastAsia"/>
          <w:sz w:val="22"/>
          <w:szCs w:val="22"/>
        </w:rPr>
        <w:t>个工作日内能够确认收到的各类应收款项等。</w:t>
      </w:r>
    </w:p>
    <w:p w:rsidR="003252C2" w:rsidRDefault="003252C2">
      <w:pPr>
        <w:rPr>
          <w:rFonts w:ascii="宋体" w:hAnsi="宋体" w:cs="Arial"/>
          <w:b/>
          <w:sz w:val="22"/>
        </w:rPr>
      </w:pPr>
    </w:p>
    <w:p w:rsidR="003252C2" w:rsidRDefault="00F10458">
      <w:pPr>
        <w:rPr>
          <w:rFonts w:ascii="宋体" w:hAnsi="宋体" w:cs="Arial"/>
          <w:b/>
          <w:sz w:val="24"/>
        </w:rPr>
      </w:pPr>
      <w:r>
        <w:rPr>
          <w:rFonts w:ascii="宋体" w:hAnsi="宋体" w:cs="Arial" w:hint="eastAsia"/>
          <w:b/>
          <w:sz w:val="24"/>
        </w:rPr>
        <w:t>风险收益评级</w:t>
      </w:r>
    </w:p>
    <w:p w:rsidR="003252C2" w:rsidRDefault="00F10458">
      <w:pPr>
        <w:rPr>
          <w:rFonts w:ascii="宋体" w:hAnsi="宋体" w:cs="Arial"/>
          <w:color w:val="333333"/>
          <w:kern w:val="0"/>
          <w:sz w:val="18"/>
          <w:szCs w:val="18"/>
        </w:rPr>
      </w:pPr>
      <w:r>
        <w:rPr>
          <w:rFonts w:asciiTheme="minorEastAsia" w:eastAsiaTheme="minorEastAsia" w:hAnsiTheme="minorEastAsia" w:cs="宋体"/>
          <w:noProof/>
          <w:color w:val="333333"/>
          <w:kern w:val="0"/>
          <w:sz w:val="22"/>
          <w:szCs w:val="22"/>
        </w:rPr>
        <w:lastRenderedPageBreak/>
        <w:drawing>
          <wp:inline distT="0" distB="0" distL="0" distR="0" wp14:anchorId="46E9C3C1" wp14:editId="11079337">
            <wp:extent cx="3108960" cy="263715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115557" cy="2642893"/>
                    </a:xfrm>
                    <a:prstGeom prst="rect">
                      <a:avLst/>
                    </a:prstGeom>
                    <a:noFill/>
                  </pic:spPr>
                </pic:pic>
              </a:graphicData>
            </a:graphic>
          </wp:inline>
        </w:drawing>
      </w:r>
    </w:p>
    <w:p w:rsidR="003252C2" w:rsidRDefault="00F10458">
      <w:pPr>
        <w:rPr>
          <w:rFonts w:ascii="宋体" w:hAnsi="宋体" w:cs="Arial"/>
          <w:bCs/>
          <w:color w:val="333333"/>
          <w:kern w:val="0"/>
          <w:sz w:val="22"/>
          <w:szCs w:val="22"/>
        </w:rPr>
      </w:pPr>
      <w:r>
        <w:rPr>
          <w:rFonts w:ascii="宋体" w:hAnsi="宋体" w:cs="Arial"/>
          <w:bCs/>
          <w:color w:val="333333"/>
          <w:kern w:val="0"/>
          <w:sz w:val="22"/>
          <w:szCs w:val="22"/>
        </w:rPr>
        <w:t>（本评级为</w:t>
      </w:r>
      <w:r>
        <w:rPr>
          <w:rFonts w:ascii="宋体" w:hAnsi="宋体" w:cs="Arial" w:hint="eastAsia"/>
          <w:bCs/>
          <w:color w:val="333333"/>
          <w:kern w:val="0"/>
          <w:sz w:val="22"/>
          <w:szCs w:val="22"/>
        </w:rPr>
        <w:t>招银理财有限责任公司</w:t>
      </w:r>
      <w:r>
        <w:rPr>
          <w:rFonts w:ascii="宋体" w:hAnsi="宋体" w:cs="Arial"/>
          <w:bCs/>
          <w:color w:val="333333"/>
          <w:kern w:val="0"/>
          <w:sz w:val="22"/>
          <w:szCs w:val="22"/>
        </w:rPr>
        <w:t>内部评级，仅供参考）</w:t>
      </w:r>
    </w:p>
    <w:p w:rsidR="003252C2" w:rsidRDefault="003252C2">
      <w:pPr>
        <w:rPr>
          <w:rFonts w:ascii="宋体" w:hAnsi="宋体" w:cs="Arial"/>
          <w:b/>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要素</w:t>
      </w:r>
    </w:p>
    <w:p w:rsidR="003252C2" w:rsidRDefault="00F10458">
      <w:pPr>
        <w:adjustRightInd w:val="0"/>
        <w:snapToGrid w:val="0"/>
        <w:spacing w:line="300" w:lineRule="auto"/>
        <w:ind w:firstLineChars="200" w:firstLine="440"/>
        <w:rPr>
          <w:rFonts w:asciiTheme="minorEastAsia" w:eastAsiaTheme="minorEastAsia" w:hAnsiTheme="minorEastAsia"/>
          <w:b/>
          <w:sz w:val="22"/>
          <w:szCs w:val="22"/>
        </w:rPr>
      </w:pPr>
      <w:r>
        <w:rPr>
          <w:rFonts w:asciiTheme="minorEastAsia" w:eastAsiaTheme="minorEastAsia" w:hAnsiTheme="minorEastAsia" w:hint="eastAsia"/>
          <w:sz w:val="22"/>
          <w:szCs w:val="22"/>
        </w:rPr>
        <w:t>为便于投资者了解本理财计划的概要，管理人列举以下核心要素，</w:t>
      </w:r>
      <w:r>
        <w:rPr>
          <w:rFonts w:asciiTheme="minorEastAsia" w:eastAsiaTheme="minorEastAsia" w:hAnsiTheme="minorEastAsia" w:hint="eastAsia"/>
          <w:b/>
          <w:sz w:val="22"/>
          <w:szCs w:val="22"/>
        </w:rPr>
        <w:t>但本要素表信息并非管理人向投资者披露信息之全部。投资者在购买本理财产品前，须全面阅读并确保充分知悉理财计划销售文件的各部分信息，以全面了解本理财产品的所有事项。</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542"/>
      </w:tblGrid>
      <w:tr w:rsidR="003252C2">
        <w:tc>
          <w:tcPr>
            <w:tcW w:w="1872" w:type="dxa"/>
          </w:tcPr>
          <w:p w:rsidR="003252C2" w:rsidRDefault="00F10458">
            <w:pPr>
              <w:ind w:leftChars="-15" w:left="79" w:hangingChars="50" w:hanging="110"/>
              <w:rPr>
                <w:rFonts w:ascii="宋体" w:hAnsi="宋体"/>
                <w:sz w:val="22"/>
                <w:szCs w:val="22"/>
              </w:rPr>
            </w:pPr>
            <w:r>
              <w:rPr>
                <w:rFonts w:ascii="宋体" w:hAnsi="宋体"/>
                <w:sz w:val="22"/>
                <w:szCs w:val="22"/>
              </w:rPr>
              <w:t>名称</w:t>
            </w:r>
          </w:p>
        </w:tc>
        <w:tc>
          <w:tcPr>
            <w:tcW w:w="6542" w:type="dxa"/>
          </w:tcPr>
          <w:p w:rsidR="003252C2" w:rsidRDefault="003E43A3">
            <w:pPr>
              <w:rPr>
                <w:rFonts w:ascii="宋体" w:hAnsi="宋体"/>
                <w:sz w:val="22"/>
                <w:szCs w:val="22"/>
              </w:rPr>
            </w:pPr>
            <w:r>
              <w:rPr>
                <w:rFonts w:ascii="宋体" w:hAnsi="宋体" w:hint="eastAsia"/>
                <w:sz w:val="22"/>
                <w:szCs w:val="22"/>
              </w:rPr>
              <w:t>招银理财招赢日日金109号现金管理类理财计划</w:t>
            </w:r>
            <w:r w:rsidR="00F10458">
              <w:rPr>
                <w:rFonts w:ascii="宋体" w:hAnsi="宋体"/>
                <w:sz w:val="22"/>
                <w:szCs w:val="22"/>
              </w:rPr>
              <w:t>（</w:t>
            </w:r>
            <w:r w:rsidR="00F10458">
              <w:rPr>
                <w:rFonts w:ascii="宋体" w:hAnsi="宋体" w:hint="eastAsia"/>
                <w:sz w:val="22"/>
                <w:szCs w:val="22"/>
              </w:rPr>
              <w:t>产品</w:t>
            </w:r>
            <w:r w:rsidR="00F10458">
              <w:rPr>
                <w:rFonts w:ascii="宋体" w:hAnsi="宋体"/>
                <w:sz w:val="22"/>
                <w:szCs w:val="22"/>
              </w:rPr>
              <w:t>代码：</w:t>
            </w:r>
            <w:r>
              <w:rPr>
                <w:rFonts w:ascii="宋体" w:hAnsi="宋体" w:hint="eastAsia"/>
                <w:sz w:val="22"/>
                <w:szCs w:val="22"/>
              </w:rPr>
              <w:t>8109</w:t>
            </w:r>
            <w:r w:rsidR="00F10458">
              <w:rPr>
                <w:rFonts w:ascii="宋体" w:hAnsi="宋体"/>
                <w:sz w:val="22"/>
                <w:szCs w:val="22"/>
              </w:rPr>
              <w:t>）</w:t>
            </w:r>
          </w:p>
        </w:tc>
      </w:tr>
      <w:tr w:rsidR="003252C2">
        <w:tc>
          <w:tcPr>
            <w:tcW w:w="1872" w:type="dxa"/>
            <w:vAlign w:val="center"/>
          </w:tcPr>
          <w:p w:rsidR="003252C2" w:rsidRDefault="00F10458">
            <w:pPr>
              <w:ind w:leftChars="-15" w:left="79" w:hangingChars="50" w:hanging="110"/>
              <w:rPr>
                <w:rFonts w:ascii="宋体" w:hAnsi="宋体"/>
                <w:sz w:val="22"/>
                <w:szCs w:val="22"/>
              </w:rPr>
            </w:pPr>
            <w:r>
              <w:rPr>
                <w:rFonts w:asciiTheme="minorEastAsia" w:eastAsiaTheme="minorEastAsia" w:hAnsiTheme="minorEastAsia" w:hint="eastAsia"/>
                <w:sz w:val="22"/>
                <w:szCs w:val="22"/>
              </w:rPr>
              <w:t>全国银行业理财信息登记系统登记编号</w:t>
            </w:r>
          </w:p>
        </w:tc>
        <w:tc>
          <w:tcPr>
            <w:tcW w:w="654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产品</w:t>
            </w:r>
            <w:r>
              <w:rPr>
                <w:rFonts w:asciiTheme="minorEastAsia" w:eastAsiaTheme="minorEastAsia" w:hAnsiTheme="minorEastAsia"/>
                <w:sz w:val="22"/>
                <w:szCs w:val="22"/>
              </w:rPr>
              <w:t>登记</w:t>
            </w:r>
            <w:r>
              <w:rPr>
                <w:rFonts w:asciiTheme="minorEastAsia" w:eastAsiaTheme="minorEastAsia" w:hAnsiTheme="minorEastAsia" w:hint="eastAsia"/>
                <w:sz w:val="22"/>
                <w:szCs w:val="22"/>
              </w:rPr>
              <w:t>编码：</w:t>
            </w:r>
            <w:r w:rsidR="003E43A3" w:rsidRPr="003E43A3">
              <w:rPr>
                <w:rFonts w:asciiTheme="minorEastAsia" w:eastAsiaTheme="minorEastAsia" w:hAnsiTheme="minorEastAsia"/>
                <w:sz w:val="22"/>
                <w:szCs w:val="22"/>
              </w:rPr>
              <w:t>Z7001625000558</w:t>
            </w:r>
            <w:r>
              <w:rPr>
                <w:rFonts w:asciiTheme="minorEastAsia" w:eastAsiaTheme="minorEastAsia" w:hAnsiTheme="minorEastAsia" w:hint="eastAsia"/>
                <w:sz w:val="22"/>
                <w:szCs w:val="22"/>
              </w:rPr>
              <w:t>，投资者可以根据该登记编号在中国理财网（网址：</w:t>
            </w:r>
            <w:r>
              <w:rPr>
                <w:rFonts w:asciiTheme="minorEastAsia" w:eastAsiaTheme="minorEastAsia" w:hAnsiTheme="minorEastAsia"/>
                <w:sz w:val="22"/>
                <w:szCs w:val="22"/>
              </w:rPr>
              <w:t>https://www.chinawealth.com.cn/</w:t>
            </w:r>
            <w:r>
              <w:rPr>
                <w:rFonts w:asciiTheme="minorEastAsia" w:eastAsiaTheme="minorEastAsia" w:hAnsiTheme="minorEastAsia" w:hint="eastAsia"/>
                <w:sz w:val="22"/>
                <w:szCs w:val="22"/>
              </w:rPr>
              <w:t>）查询产品信息。</w:t>
            </w:r>
          </w:p>
        </w:tc>
      </w:tr>
      <w:tr w:rsidR="003252C2">
        <w:tc>
          <w:tcPr>
            <w:tcW w:w="1872" w:type="dxa"/>
          </w:tcPr>
          <w:p w:rsidR="003252C2" w:rsidRDefault="00F10458">
            <w:pPr>
              <w:rPr>
                <w:rFonts w:ascii="宋体" w:hAnsi="宋体"/>
                <w:sz w:val="22"/>
                <w:szCs w:val="22"/>
              </w:rPr>
            </w:pPr>
            <w:r>
              <w:rPr>
                <w:rFonts w:ascii="宋体" w:hAnsi="宋体"/>
                <w:sz w:val="22"/>
                <w:szCs w:val="22"/>
              </w:rPr>
              <w:t>理财币种</w:t>
            </w:r>
          </w:p>
        </w:tc>
        <w:tc>
          <w:tcPr>
            <w:tcW w:w="6542" w:type="dxa"/>
          </w:tcPr>
          <w:p w:rsidR="003252C2" w:rsidRDefault="00F10458">
            <w:pPr>
              <w:rPr>
                <w:rFonts w:ascii="宋体" w:hAnsi="宋体"/>
                <w:sz w:val="22"/>
                <w:szCs w:val="22"/>
              </w:rPr>
            </w:pPr>
            <w:r>
              <w:rPr>
                <w:rFonts w:ascii="宋体" w:hAnsi="宋体"/>
                <w:sz w:val="22"/>
                <w:szCs w:val="22"/>
              </w:rPr>
              <w:t>人民币</w:t>
            </w:r>
          </w:p>
        </w:tc>
      </w:tr>
      <w:tr w:rsidR="003252C2">
        <w:tc>
          <w:tcPr>
            <w:tcW w:w="1872" w:type="dxa"/>
          </w:tcPr>
          <w:p w:rsidR="003252C2" w:rsidRDefault="00F10458">
            <w:pPr>
              <w:rPr>
                <w:rFonts w:ascii="宋体" w:hAnsi="宋体"/>
                <w:sz w:val="22"/>
                <w:szCs w:val="22"/>
              </w:rPr>
            </w:pPr>
            <w:r>
              <w:rPr>
                <w:rFonts w:ascii="宋体" w:hAnsi="宋体" w:hint="eastAsia"/>
                <w:sz w:val="22"/>
                <w:szCs w:val="22"/>
              </w:rPr>
              <w:t>产品类型</w:t>
            </w:r>
          </w:p>
        </w:tc>
        <w:tc>
          <w:tcPr>
            <w:tcW w:w="6542" w:type="dxa"/>
          </w:tcPr>
          <w:p w:rsidR="003252C2" w:rsidRDefault="0069082F">
            <w:pPr>
              <w:rPr>
                <w:rFonts w:ascii="宋体" w:hAnsi="宋体"/>
                <w:sz w:val="22"/>
                <w:szCs w:val="22"/>
              </w:rPr>
            </w:pPr>
            <w:r>
              <w:rPr>
                <w:rFonts w:ascii="宋体" w:hAnsi="宋体" w:cs="宋体"/>
                <w:sz w:val="22"/>
              </w:rPr>
              <w:t>固定收益类。本产品类型为根据监管要求进行的产品分类，并不意味着管理人对本产品的本金及收益的任何承诺或保证，在不利的情况下，投资者的本金及收益仍可能发生亏损乃至全部损失。</w:t>
            </w:r>
          </w:p>
        </w:tc>
      </w:tr>
      <w:tr w:rsidR="003252C2">
        <w:tc>
          <w:tcPr>
            <w:tcW w:w="1872" w:type="dxa"/>
          </w:tcPr>
          <w:p w:rsidR="003252C2" w:rsidRDefault="00F10458">
            <w:pPr>
              <w:rPr>
                <w:rFonts w:ascii="宋体" w:hAnsi="宋体"/>
                <w:sz w:val="22"/>
                <w:szCs w:val="22"/>
              </w:rPr>
            </w:pPr>
            <w:r>
              <w:rPr>
                <w:rFonts w:ascii="宋体" w:hAnsi="宋体" w:hint="eastAsia"/>
                <w:sz w:val="22"/>
                <w:szCs w:val="22"/>
              </w:rPr>
              <w:t>募集方式</w:t>
            </w:r>
          </w:p>
        </w:tc>
        <w:tc>
          <w:tcPr>
            <w:tcW w:w="6542" w:type="dxa"/>
          </w:tcPr>
          <w:p w:rsidR="003252C2" w:rsidRDefault="00F10458">
            <w:pPr>
              <w:rPr>
                <w:rFonts w:ascii="宋体" w:hAnsi="宋体"/>
                <w:sz w:val="22"/>
                <w:szCs w:val="22"/>
              </w:rPr>
            </w:pPr>
            <w:r>
              <w:rPr>
                <w:rFonts w:ascii="宋体" w:hAnsi="宋体" w:hint="eastAsia"/>
                <w:sz w:val="22"/>
                <w:szCs w:val="22"/>
              </w:rPr>
              <w:t>公募发行</w:t>
            </w:r>
          </w:p>
        </w:tc>
      </w:tr>
      <w:tr w:rsidR="003252C2">
        <w:tc>
          <w:tcPr>
            <w:tcW w:w="1872" w:type="dxa"/>
          </w:tcPr>
          <w:p w:rsidR="003252C2" w:rsidRDefault="00F10458">
            <w:pPr>
              <w:rPr>
                <w:rFonts w:ascii="宋体" w:hAnsi="宋体"/>
                <w:sz w:val="22"/>
                <w:szCs w:val="22"/>
              </w:rPr>
            </w:pPr>
            <w:r>
              <w:rPr>
                <w:rFonts w:ascii="宋体" w:hAnsi="宋体" w:hint="eastAsia"/>
                <w:sz w:val="22"/>
                <w:szCs w:val="22"/>
              </w:rPr>
              <w:t>运作方式</w:t>
            </w:r>
          </w:p>
        </w:tc>
        <w:tc>
          <w:tcPr>
            <w:tcW w:w="6542" w:type="dxa"/>
          </w:tcPr>
          <w:p w:rsidR="003252C2" w:rsidRDefault="00F10458">
            <w:pPr>
              <w:rPr>
                <w:rFonts w:ascii="宋体" w:hAnsi="宋体"/>
                <w:sz w:val="22"/>
                <w:szCs w:val="22"/>
              </w:rPr>
            </w:pPr>
            <w:r>
              <w:rPr>
                <w:rFonts w:ascii="宋体" w:hAnsi="宋体" w:hint="eastAsia"/>
                <w:sz w:val="22"/>
                <w:szCs w:val="22"/>
              </w:rPr>
              <w:t>开放式</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发行对象</w:t>
            </w:r>
          </w:p>
        </w:tc>
        <w:tc>
          <w:tcPr>
            <w:tcW w:w="6542" w:type="dxa"/>
          </w:tcPr>
          <w:p w:rsidR="003252C2" w:rsidRDefault="00F10458" w:rsidP="0052697B">
            <w:pPr>
              <w:rPr>
                <w:rFonts w:ascii="宋体" w:hAnsi="宋体"/>
                <w:sz w:val="22"/>
                <w:szCs w:val="22"/>
              </w:rPr>
            </w:pPr>
            <w:r>
              <w:rPr>
                <w:rFonts w:ascii="宋体" w:hAnsi="宋体" w:hint="eastAsia"/>
                <w:sz w:val="22"/>
                <w:szCs w:val="22"/>
              </w:rPr>
              <w:t>A份额（销售代码【</w:t>
            </w:r>
            <w:r w:rsidR="003E43A3">
              <w:rPr>
                <w:rFonts w:ascii="宋体" w:hAnsi="宋体" w:hint="eastAsia"/>
                <w:sz w:val="22"/>
                <w:szCs w:val="22"/>
              </w:rPr>
              <w:t>8109</w:t>
            </w:r>
            <w:r>
              <w:rPr>
                <w:rFonts w:ascii="宋体" w:hAnsi="宋体"/>
                <w:sz w:val="22"/>
                <w:szCs w:val="22"/>
              </w:rPr>
              <w:t>A</w:t>
            </w:r>
            <w:r>
              <w:rPr>
                <w:rFonts w:ascii="宋体" w:hAnsi="宋体" w:hint="eastAsia"/>
                <w:sz w:val="22"/>
                <w:szCs w:val="22"/>
              </w:rPr>
              <w:t>】</w:t>
            </w:r>
            <w:r w:rsidR="0052697B">
              <w:rPr>
                <w:rFonts w:ascii="宋体" w:hAnsi="宋体" w:cs="宋体"/>
                <w:sz w:val="22"/>
              </w:rPr>
              <w:t>，销售简称【</w:t>
            </w:r>
            <w:r w:rsidR="0052697B" w:rsidRPr="0052697B">
              <w:rPr>
                <w:rFonts w:ascii="宋体" w:hAnsi="宋体" w:cs="宋体" w:hint="eastAsia"/>
                <w:sz w:val="22"/>
              </w:rPr>
              <w:t>招银理财日日金</w:t>
            </w:r>
            <w:r w:rsidR="003E43A3">
              <w:rPr>
                <w:rFonts w:ascii="宋体" w:hAnsi="宋体" w:cs="宋体" w:hint="eastAsia"/>
                <w:sz w:val="22"/>
              </w:rPr>
              <w:t>109</w:t>
            </w:r>
            <w:r w:rsidR="0052697B" w:rsidRPr="0052697B">
              <w:rPr>
                <w:rFonts w:ascii="宋体" w:hAnsi="宋体" w:cs="宋体" w:hint="eastAsia"/>
                <w:sz w:val="22"/>
              </w:rPr>
              <w:t>号A</w:t>
            </w:r>
            <w:r w:rsidR="0052697B">
              <w:rPr>
                <w:rFonts w:ascii="宋体" w:hAnsi="宋体" w:cs="宋体"/>
                <w:sz w:val="22"/>
              </w:rPr>
              <w:t>】</w:t>
            </w:r>
            <w:r>
              <w:rPr>
                <w:rFonts w:ascii="宋体" w:hAnsi="宋体" w:hint="eastAsia"/>
                <w:sz w:val="22"/>
                <w:szCs w:val="22"/>
              </w:rPr>
              <w:t>）：招商银行个人投资者</w:t>
            </w:r>
          </w:p>
          <w:p w:rsidR="00287771" w:rsidRDefault="00287771" w:rsidP="0052697B">
            <w:pPr>
              <w:rPr>
                <w:rFonts w:ascii="宋体" w:hAnsi="宋体"/>
                <w:sz w:val="22"/>
                <w:szCs w:val="22"/>
              </w:rPr>
            </w:pPr>
            <w:r>
              <w:rPr>
                <w:rFonts w:ascii="宋体" w:hAnsi="宋体"/>
                <w:sz w:val="22"/>
                <w:szCs w:val="22"/>
              </w:rPr>
              <w:t>C</w:t>
            </w:r>
            <w:r>
              <w:rPr>
                <w:rFonts w:ascii="宋体" w:hAnsi="宋体" w:hint="eastAsia"/>
                <w:sz w:val="22"/>
                <w:szCs w:val="22"/>
              </w:rPr>
              <w:t>份额（销售代码【8109</w:t>
            </w:r>
            <w:r>
              <w:rPr>
                <w:rFonts w:ascii="宋体" w:hAnsi="宋体"/>
                <w:sz w:val="22"/>
                <w:szCs w:val="22"/>
              </w:rPr>
              <w:t>C</w:t>
            </w:r>
            <w:r>
              <w:rPr>
                <w:rFonts w:ascii="宋体" w:hAnsi="宋体" w:hint="eastAsia"/>
                <w:sz w:val="22"/>
                <w:szCs w:val="22"/>
              </w:rPr>
              <w:t>】）：招商银行机构投资者</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份额（销售代码【8109</w:t>
            </w:r>
            <w:r>
              <w:rPr>
                <w:rFonts w:ascii="宋体" w:hAnsi="宋体"/>
                <w:sz w:val="22"/>
                <w:szCs w:val="22"/>
              </w:rPr>
              <w:t>K</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份额（销售代码【8109</w:t>
            </w:r>
            <w:r>
              <w:rPr>
                <w:rFonts w:ascii="宋体" w:hAnsi="宋体"/>
                <w:sz w:val="22"/>
                <w:szCs w:val="22"/>
              </w:rPr>
              <w:t>P</w:t>
            </w:r>
            <w:r>
              <w:rPr>
                <w:rFonts w:ascii="宋体" w:hAnsi="宋体" w:hint="eastAsia"/>
                <w:sz w:val="22"/>
                <w:szCs w:val="22"/>
              </w:rPr>
              <w:t>】）：非招商银行投资者</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份额（销售代码【8109</w:t>
            </w:r>
            <w:r>
              <w:rPr>
                <w:rFonts w:ascii="宋体" w:hAnsi="宋体"/>
                <w:sz w:val="22"/>
                <w:szCs w:val="22"/>
              </w:rPr>
              <w:t>TZ</w:t>
            </w:r>
            <w:r>
              <w:rPr>
                <w:rFonts w:ascii="宋体" w:hAnsi="宋体" w:hint="eastAsia"/>
                <w:sz w:val="22"/>
                <w:szCs w:val="22"/>
              </w:rPr>
              <w:t>】）：非招商银行投资者</w:t>
            </w:r>
          </w:p>
          <w:p w:rsidR="00C01366" w:rsidRPr="00C01366" w:rsidRDefault="00C01366" w:rsidP="00C01366">
            <w:pPr>
              <w:rPr>
                <w:rFonts w:ascii="宋体" w:hAnsi="宋体"/>
                <w:sz w:val="22"/>
                <w:szCs w:val="22"/>
              </w:rPr>
            </w:pPr>
            <w:r>
              <w:rPr>
                <w:rFonts w:ascii="宋体" w:hAnsi="宋体"/>
                <w:sz w:val="22"/>
                <w:szCs w:val="22"/>
              </w:rPr>
              <w:t>TL</w:t>
            </w:r>
            <w:r>
              <w:rPr>
                <w:rFonts w:ascii="宋体" w:hAnsi="宋体" w:hint="eastAsia"/>
                <w:sz w:val="22"/>
                <w:szCs w:val="22"/>
              </w:rPr>
              <w:t>份额（销售代码【8109</w:t>
            </w:r>
            <w:r>
              <w:rPr>
                <w:rFonts w:ascii="宋体" w:hAnsi="宋体"/>
                <w:sz w:val="22"/>
                <w:szCs w:val="22"/>
              </w:rPr>
              <w:t>TL</w:t>
            </w:r>
            <w:r>
              <w:rPr>
                <w:rFonts w:ascii="宋体" w:hAnsi="宋体" w:hint="eastAsia"/>
                <w:sz w:val="22"/>
                <w:szCs w:val="22"/>
              </w:rPr>
              <w:t>】）：非招商银行投资者</w:t>
            </w:r>
          </w:p>
        </w:tc>
      </w:tr>
      <w:tr w:rsidR="003252C2">
        <w:tc>
          <w:tcPr>
            <w:tcW w:w="1872" w:type="dxa"/>
          </w:tcPr>
          <w:p w:rsidR="003252C2" w:rsidRDefault="00F10458">
            <w:pPr>
              <w:rPr>
                <w:rFonts w:ascii="宋体" w:hAnsi="宋体"/>
                <w:sz w:val="22"/>
                <w:szCs w:val="22"/>
              </w:rPr>
            </w:pPr>
            <w:r>
              <w:rPr>
                <w:rFonts w:ascii="宋体" w:hAnsi="宋体" w:hint="eastAsia"/>
                <w:sz w:val="22"/>
                <w:szCs w:val="22"/>
              </w:rPr>
              <w:t>发行规模</w:t>
            </w:r>
          </w:p>
        </w:tc>
        <w:tc>
          <w:tcPr>
            <w:tcW w:w="6542" w:type="dxa"/>
          </w:tcPr>
          <w:p w:rsidR="003252C2" w:rsidRDefault="00F10458">
            <w:pPr>
              <w:rPr>
                <w:rFonts w:ascii="宋体" w:hAnsi="宋体"/>
                <w:sz w:val="22"/>
                <w:szCs w:val="22"/>
              </w:rPr>
            </w:pPr>
            <w:r>
              <w:rPr>
                <w:rFonts w:ascii="宋体" w:hAnsi="宋体" w:hint="eastAsia"/>
                <w:sz w:val="22"/>
                <w:szCs w:val="22"/>
              </w:rPr>
              <w:t>A份额：发行规模上限100亿元。</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份额：发行规模上限</w:t>
            </w:r>
            <w:r>
              <w:rPr>
                <w:rFonts w:ascii="宋体" w:hAnsi="宋体"/>
                <w:sz w:val="22"/>
                <w:szCs w:val="22"/>
              </w:rPr>
              <w:t>2</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份额：发行规模上限100亿元。</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份额：发行规模上限100亿元。</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份额：发行规模上限</w:t>
            </w:r>
            <w:r>
              <w:rPr>
                <w:rFonts w:ascii="宋体" w:hAnsi="宋体"/>
                <w:sz w:val="22"/>
                <w:szCs w:val="22"/>
              </w:rPr>
              <w:t>1</w:t>
            </w:r>
            <w:r>
              <w:rPr>
                <w:rFonts w:ascii="宋体" w:hAnsi="宋体" w:hint="eastAsia"/>
                <w:sz w:val="22"/>
                <w:szCs w:val="22"/>
              </w:rPr>
              <w:t>00亿元。</w:t>
            </w:r>
          </w:p>
          <w:p w:rsidR="003252C2" w:rsidRDefault="00F10458">
            <w:pPr>
              <w:rPr>
                <w:rFonts w:ascii="宋体" w:hAnsi="宋体"/>
                <w:sz w:val="22"/>
                <w:szCs w:val="22"/>
              </w:rPr>
            </w:pPr>
            <w:r>
              <w:rPr>
                <w:rFonts w:ascii="宋体" w:hAnsi="宋体"/>
                <w:sz w:val="22"/>
                <w:szCs w:val="22"/>
              </w:rPr>
              <w:lastRenderedPageBreak/>
              <w:t>发行规模不设下限，若产品发行规模超出上限，</w:t>
            </w:r>
            <w:r>
              <w:rPr>
                <w:rFonts w:ascii="宋体" w:hAnsi="宋体" w:hint="eastAsia"/>
                <w:sz w:val="22"/>
                <w:szCs w:val="22"/>
              </w:rPr>
              <w:t>管理人</w:t>
            </w:r>
            <w:r>
              <w:rPr>
                <w:rFonts w:ascii="宋体" w:hAnsi="宋体"/>
                <w:sz w:val="22"/>
                <w:szCs w:val="22"/>
              </w:rPr>
              <w:t>有权暂停接受认购申请。</w:t>
            </w:r>
          </w:p>
        </w:tc>
      </w:tr>
      <w:tr w:rsidR="003252C2">
        <w:tc>
          <w:tcPr>
            <w:tcW w:w="1872" w:type="dxa"/>
          </w:tcPr>
          <w:p w:rsidR="003252C2" w:rsidRDefault="00F10458">
            <w:pPr>
              <w:rPr>
                <w:rFonts w:ascii="宋体" w:hAnsi="宋体"/>
                <w:sz w:val="22"/>
                <w:szCs w:val="22"/>
              </w:rPr>
            </w:pPr>
            <w:r>
              <w:rPr>
                <w:rFonts w:ascii="宋体" w:hAnsi="宋体"/>
                <w:sz w:val="22"/>
                <w:szCs w:val="22"/>
              </w:rPr>
              <w:lastRenderedPageBreak/>
              <w:t>认购起点</w:t>
            </w:r>
          </w:p>
        </w:tc>
        <w:tc>
          <w:tcPr>
            <w:tcW w:w="6542" w:type="dxa"/>
          </w:tcPr>
          <w:p w:rsidR="003252C2" w:rsidRDefault="00F10458">
            <w:pPr>
              <w:rPr>
                <w:rFonts w:ascii="宋体" w:hAnsi="宋体"/>
                <w:sz w:val="22"/>
                <w:szCs w:val="22"/>
              </w:rPr>
            </w:pPr>
            <w:r>
              <w:rPr>
                <w:rFonts w:ascii="宋体" w:hAnsi="宋体" w:hint="eastAsia"/>
                <w:sz w:val="22"/>
                <w:szCs w:val="22"/>
              </w:rPr>
              <w:t>A份额首次投资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287771" w:rsidRDefault="00287771">
            <w:pPr>
              <w:rPr>
                <w:rFonts w:ascii="宋体" w:hAnsi="宋体"/>
                <w:sz w:val="22"/>
                <w:szCs w:val="22"/>
              </w:rPr>
            </w:pPr>
            <w:r>
              <w:rPr>
                <w:rFonts w:ascii="宋体" w:hAnsi="宋体"/>
                <w:sz w:val="22"/>
                <w:szCs w:val="22"/>
              </w:rPr>
              <w:t>C</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K</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Default="00C01366" w:rsidP="00C01366">
            <w:pPr>
              <w:rPr>
                <w:rFonts w:ascii="宋体" w:hAnsi="宋体"/>
                <w:sz w:val="22"/>
                <w:szCs w:val="22"/>
              </w:rPr>
            </w:pPr>
            <w:r>
              <w:rPr>
                <w:rFonts w:ascii="宋体" w:hAnsi="宋体"/>
                <w:sz w:val="22"/>
                <w:szCs w:val="22"/>
              </w:rPr>
              <w:t>P</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C01366" w:rsidRDefault="00C01366" w:rsidP="00C01366">
            <w:pPr>
              <w:rPr>
                <w:rFonts w:ascii="宋体" w:hAnsi="宋体"/>
                <w:sz w:val="22"/>
                <w:szCs w:val="22"/>
              </w:rPr>
            </w:pPr>
            <w:r>
              <w:rPr>
                <w:rFonts w:ascii="宋体" w:hAnsi="宋体"/>
                <w:sz w:val="22"/>
                <w:szCs w:val="22"/>
              </w:rPr>
              <w:t>TZ</w:t>
            </w:r>
            <w:r>
              <w:rPr>
                <w:rFonts w:ascii="宋体" w:hAnsi="宋体" w:hint="eastAsia"/>
                <w:sz w:val="22"/>
                <w:szCs w:val="22"/>
              </w:rPr>
              <w:t>份额首次投资</w:t>
            </w:r>
            <w:r>
              <w:rPr>
                <w:rFonts w:ascii="宋体" w:hAnsi="宋体"/>
                <w:sz w:val="22"/>
                <w:szCs w:val="22"/>
              </w:rPr>
              <w:t>最低金额为</w:t>
            </w:r>
            <w:r>
              <w:rPr>
                <w:rFonts w:ascii="宋体" w:hAnsi="宋体" w:hint="eastAsia"/>
                <w:sz w:val="22"/>
                <w:szCs w:val="22"/>
              </w:rPr>
              <w:t>0.01元</w:t>
            </w:r>
            <w:r>
              <w:rPr>
                <w:rFonts w:ascii="宋体" w:hAnsi="宋体"/>
                <w:sz w:val="22"/>
                <w:szCs w:val="22"/>
              </w:rPr>
              <w:t>，超过</w:t>
            </w:r>
            <w:r>
              <w:rPr>
                <w:rFonts w:ascii="宋体" w:hAnsi="宋体" w:hint="eastAsia"/>
                <w:sz w:val="22"/>
                <w:szCs w:val="22"/>
              </w:rPr>
              <w:t>首次投资</w:t>
            </w:r>
            <w:r>
              <w:rPr>
                <w:rFonts w:ascii="宋体" w:hAnsi="宋体"/>
                <w:sz w:val="22"/>
                <w:szCs w:val="22"/>
              </w:rPr>
              <w:t>最低金额部分应为</w:t>
            </w:r>
            <w:r>
              <w:rPr>
                <w:rFonts w:ascii="宋体" w:hAnsi="宋体" w:hint="eastAsia"/>
                <w:sz w:val="22"/>
                <w:szCs w:val="22"/>
              </w:rPr>
              <w:t>0.01元</w:t>
            </w:r>
            <w:r>
              <w:rPr>
                <w:rFonts w:ascii="宋体" w:hAnsi="宋体"/>
                <w:sz w:val="22"/>
                <w:szCs w:val="22"/>
              </w:rPr>
              <w:t>的整数倍。</w:t>
            </w:r>
          </w:p>
          <w:p w:rsidR="00C01366" w:rsidRPr="00C01366" w:rsidRDefault="00C01366">
            <w:pPr>
              <w:rPr>
                <w:rFonts w:ascii="宋体" w:hAnsi="宋体"/>
                <w:sz w:val="22"/>
                <w:szCs w:val="22"/>
              </w:rPr>
            </w:pPr>
            <w:r>
              <w:rPr>
                <w:rFonts w:ascii="宋体" w:hAnsi="宋体"/>
                <w:sz w:val="22"/>
                <w:szCs w:val="22"/>
              </w:rPr>
              <w:t>TL</w:t>
            </w:r>
            <w:r>
              <w:rPr>
                <w:rFonts w:ascii="宋体" w:hAnsi="宋体" w:hint="eastAsia"/>
                <w:sz w:val="22"/>
                <w:szCs w:val="22"/>
              </w:rPr>
              <w:t>份额首次投资最低金额为</w:t>
            </w:r>
            <w:r>
              <w:rPr>
                <w:rFonts w:ascii="宋体" w:hAnsi="宋体"/>
                <w:sz w:val="22"/>
                <w:szCs w:val="22"/>
              </w:rPr>
              <w:t>0.01</w:t>
            </w:r>
            <w:r>
              <w:rPr>
                <w:rFonts w:ascii="宋体" w:hAnsi="宋体" w:hint="eastAsia"/>
                <w:sz w:val="22"/>
                <w:szCs w:val="22"/>
              </w:rPr>
              <w:t>元，超过首次投资最低金额部分应为0.01元的整数倍。</w:t>
            </w:r>
          </w:p>
          <w:p w:rsidR="00287771" w:rsidRPr="000D1D19" w:rsidRDefault="00287771" w:rsidP="000D1D19">
            <w:pPr>
              <w:spacing w:line="300" w:lineRule="auto"/>
              <w:rPr>
                <w:rFonts w:ascii="宋体" w:hAnsi="宋体"/>
                <w:b/>
                <w:sz w:val="22"/>
                <w:szCs w:val="22"/>
              </w:rPr>
            </w:pPr>
            <w:r w:rsidRPr="0070716E">
              <w:rPr>
                <w:rFonts w:ascii="宋体" w:hAnsi="宋体"/>
                <w:b/>
                <w:sz w:val="22"/>
                <w:szCs w:val="22"/>
              </w:rPr>
              <w:t>销售服务机构的实际认购起点可能与说明书不一致，具体以销售服务机构通知为准。</w:t>
            </w:r>
          </w:p>
          <w:p w:rsidR="003252C2" w:rsidRDefault="00F10458">
            <w:pPr>
              <w:rPr>
                <w:rFonts w:ascii="宋体" w:hAnsi="宋体"/>
                <w:sz w:val="22"/>
                <w:szCs w:val="22"/>
              </w:rPr>
            </w:pPr>
            <w:r>
              <w:rPr>
                <w:rFonts w:ascii="宋体" w:hAnsi="宋体"/>
                <w:sz w:val="22"/>
                <w:szCs w:val="22"/>
              </w:rPr>
              <w:t>详细内容见</w:t>
            </w:r>
            <w:r>
              <w:rPr>
                <w:rFonts w:ascii="宋体" w:hAnsi="宋体" w:hint="eastAsia"/>
                <w:sz w:val="22"/>
                <w:szCs w:val="22"/>
              </w:rPr>
              <w:t>本《产品说明书》之</w:t>
            </w:r>
            <w:r>
              <w:rPr>
                <w:rFonts w:ascii="宋体" w:hAnsi="宋体"/>
                <w:b/>
                <w:bCs/>
                <w:sz w:val="22"/>
                <w:szCs w:val="22"/>
              </w:rPr>
              <w:t>“理财计划认购”</w:t>
            </w:r>
            <w:r>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单笔认购上限</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A份额投资者单笔认购上限为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w:t>
            </w:r>
            <w:r>
              <w:rPr>
                <w:rFonts w:asciiTheme="minorEastAsia" w:eastAsiaTheme="minorEastAsia" w:hAnsiTheme="minorEastAsia"/>
                <w:sz w:val="22"/>
                <w:szCs w:val="22"/>
              </w:rPr>
              <w:t>元</w:t>
            </w:r>
            <w:r>
              <w:rPr>
                <w:rFonts w:asciiTheme="minorEastAsia" w:eastAsiaTheme="minorEastAsia" w:hAnsiTheme="minorEastAsia" w:hint="eastAsia"/>
                <w:sz w:val="22"/>
                <w:szCs w:val="22"/>
              </w:rPr>
              <w:t>和</w:t>
            </w:r>
            <w:r>
              <w:rPr>
                <w:rFonts w:asciiTheme="minorEastAsia" w:eastAsiaTheme="minorEastAsia" w:hAnsiTheme="minorEastAsia"/>
                <w:sz w:val="22"/>
                <w:szCs w:val="22"/>
              </w:rPr>
              <w:t>本理财计划</w:t>
            </w:r>
            <w:r>
              <w:rPr>
                <w:rFonts w:asciiTheme="minorEastAsia" w:eastAsiaTheme="minorEastAsia" w:hAnsiTheme="minorEastAsia" w:hint="eastAsia"/>
                <w:sz w:val="22"/>
                <w:szCs w:val="22"/>
              </w:rPr>
              <w:t>A份额</w:t>
            </w:r>
            <w:r>
              <w:rPr>
                <w:rFonts w:asciiTheme="minorEastAsia" w:eastAsiaTheme="minorEastAsia" w:hAnsiTheme="minorEastAsia"/>
                <w:sz w:val="22"/>
                <w:szCs w:val="22"/>
              </w:rPr>
              <w:t>规模上限</w:t>
            </w:r>
            <w:r>
              <w:rPr>
                <w:rFonts w:asciiTheme="minorEastAsia" w:eastAsiaTheme="minorEastAsia" w:hAnsiTheme="minorEastAsia" w:hint="eastAsia"/>
                <w:sz w:val="22"/>
                <w:szCs w:val="22"/>
              </w:rPr>
              <w:t>中二者的</w:t>
            </w:r>
            <w:r>
              <w:rPr>
                <w:rFonts w:asciiTheme="minorEastAsia" w:eastAsiaTheme="minorEastAsia" w:hAnsiTheme="minorEastAsia"/>
                <w:sz w:val="22"/>
                <w:szCs w:val="22"/>
              </w:rPr>
              <w:t>较小值</w:t>
            </w:r>
            <w:r>
              <w:rPr>
                <w:rFonts w:asciiTheme="minorEastAsia" w:eastAsiaTheme="minorEastAsia" w:hAnsiTheme="minorEastAsia" w:hint="eastAsia"/>
                <w:sz w:val="22"/>
                <w:szCs w:val="22"/>
              </w:rPr>
              <w:t>。</w:t>
            </w:r>
          </w:p>
          <w:p w:rsidR="00287771" w:rsidRDefault="00287771">
            <w:pPr>
              <w:rPr>
                <w:rFonts w:asciiTheme="minorEastAsia" w:eastAsiaTheme="minorEastAsia" w:hAnsiTheme="minorEastAsia"/>
                <w:sz w:val="22"/>
                <w:szCs w:val="22"/>
              </w:rPr>
            </w:pPr>
            <w:r>
              <w:rPr>
                <w:rFonts w:asciiTheme="minorEastAsia" w:eastAsiaTheme="minorEastAsia" w:hAnsiTheme="minorEastAsia"/>
                <w:sz w:val="22"/>
                <w:szCs w:val="22"/>
              </w:rPr>
              <w:t>C</w:t>
            </w:r>
            <w:r>
              <w:rPr>
                <w:rFonts w:asciiTheme="minorEastAsia" w:eastAsiaTheme="minorEastAsia" w:hAnsiTheme="minorEastAsia" w:hint="eastAsia"/>
                <w:sz w:val="22"/>
                <w:szCs w:val="22"/>
              </w:rPr>
              <w:t>份额投资者单笔认购上限为1亿元和本理财计划</w:t>
            </w:r>
            <w:r>
              <w:rPr>
                <w:rFonts w:asciiTheme="minorEastAsia" w:eastAsiaTheme="minorEastAsia" w:hAnsiTheme="minorEastAsia"/>
                <w:sz w:val="22"/>
                <w:szCs w:val="22"/>
              </w:rPr>
              <w:t>C</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K</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K</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P</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P</w:t>
            </w:r>
            <w:r>
              <w:rPr>
                <w:rFonts w:asciiTheme="minorEastAsia" w:eastAsiaTheme="minorEastAsia" w:hAnsiTheme="minorEastAsia" w:hint="eastAsia"/>
                <w:sz w:val="22"/>
                <w:szCs w:val="22"/>
              </w:rPr>
              <w:t>份额规模上限中二者的较小值。</w:t>
            </w:r>
          </w:p>
          <w:p w:rsid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TZ</w:t>
            </w:r>
            <w:r>
              <w:rPr>
                <w:rFonts w:asciiTheme="minorEastAsia" w:eastAsiaTheme="minorEastAsia" w:hAnsiTheme="minorEastAsia" w:hint="eastAsia"/>
                <w:sz w:val="22"/>
                <w:szCs w:val="22"/>
              </w:rPr>
              <w:t>份额规模上限中二者的较小值。</w:t>
            </w:r>
          </w:p>
          <w:p w:rsidR="00C01366" w:rsidRPr="00C01366" w:rsidRDefault="00C01366" w:rsidP="00C01366">
            <w:pPr>
              <w:rPr>
                <w:rFonts w:asciiTheme="minorEastAsia" w:eastAsiaTheme="minorEastAsia" w:hAnsiTheme="minorEastAsia"/>
                <w:sz w:val="22"/>
                <w:szCs w:val="22"/>
              </w:rPr>
            </w:pP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份额投资者单笔认购上限为</w:t>
            </w:r>
            <w:r>
              <w:rPr>
                <w:rFonts w:asciiTheme="minorEastAsia" w:eastAsiaTheme="minorEastAsia" w:hAnsiTheme="minorEastAsia"/>
                <w:sz w:val="22"/>
                <w:szCs w:val="22"/>
              </w:rPr>
              <w:t>1000</w:t>
            </w:r>
            <w:r>
              <w:rPr>
                <w:rFonts w:asciiTheme="minorEastAsia" w:eastAsiaTheme="minorEastAsia" w:hAnsiTheme="minorEastAsia" w:hint="eastAsia"/>
                <w:sz w:val="22"/>
                <w:szCs w:val="22"/>
              </w:rPr>
              <w:t>万元和本理财计划</w:t>
            </w:r>
            <w:r>
              <w:rPr>
                <w:rFonts w:asciiTheme="minorEastAsia" w:eastAsiaTheme="minorEastAsia" w:hAnsiTheme="minorEastAsia"/>
                <w:sz w:val="22"/>
                <w:szCs w:val="22"/>
              </w:rPr>
              <w:t>TL</w:t>
            </w:r>
            <w:r>
              <w:rPr>
                <w:rFonts w:asciiTheme="minorEastAsia" w:eastAsiaTheme="minorEastAsia" w:hAnsiTheme="minorEastAsia" w:hint="eastAsia"/>
                <w:sz w:val="22"/>
                <w:szCs w:val="22"/>
              </w:rPr>
              <w:t>份额规模上限中二者的较小值。</w:t>
            </w:r>
          </w:p>
        </w:tc>
      </w:tr>
      <w:tr w:rsidR="003252C2">
        <w:tc>
          <w:tcPr>
            <w:tcW w:w="1872" w:type="dxa"/>
          </w:tcPr>
          <w:p w:rsidR="003252C2" w:rsidRDefault="00F10458">
            <w:pPr>
              <w:rPr>
                <w:rFonts w:ascii="宋体" w:hAnsi="宋体"/>
                <w:sz w:val="22"/>
                <w:szCs w:val="22"/>
              </w:rPr>
            </w:pPr>
            <w:r>
              <w:rPr>
                <w:rFonts w:ascii="宋体" w:hAnsi="宋体"/>
                <w:sz w:val="22"/>
                <w:szCs w:val="22"/>
              </w:rPr>
              <w:t>本金及理财收益</w:t>
            </w:r>
            <w:r>
              <w:rPr>
                <w:rFonts w:ascii="宋体" w:hAnsi="宋体" w:hint="eastAsia"/>
                <w:sz w:val="22"/>
                <w:szCs w:val="22"/>
              </w:rPr>
              <w:t>（如有，下同）</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本理财计划的收益特征为</w:t>
            </w:r>
            <w:r>
              <w:rPr>
                <w:rFonts w:asciiTheme="minorEastAsia" w:eastAsiaTheme="minorEastAsia" w:hAnsiTheme="minorEastAsia" w:cs="Arial"/>
                <w:b/>
                <w:sz w:val="22"/>
                <w:szCs w:val="22"/>
              </w:rPr>
              <w:t>非保本浮动收益</w:t>
            </w:r>
            <w:r>
              <w:rPr>
                <w:rFonts w:asciiTheme="minorEastAsia" w:eastAsiaTheme="minorEastAsia" w:hAnsiTheme="minorEastAsia" w:cs="Arial"/>
                <w:sz w:val="22"/>
                <w:szCs w:val="22"/>
              </w:rPr>
              <w:t>，不保障本金且不保证理财收益，本理财计划的收益随投资收益浮动，投资者可能会因市场变动等而蒙受损失且不设止损点。在理财计划对外投资资产正常回收的情况下，扣除理财计划税费和理财计划费用等相关费用后，计算理财产品的可分配利益。</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w:t>
            </w:r>
          </w:p>
        </w:tc>
        <w:tc>
          <w:tcPr>
            <w:tcW w:w="6542" w:type="dxa"/>
          </w:tcPr>
          <w:p w:rsidR="003252C2" w:rsidRDefault="00F10458">
            <w:pPr>
              <w:rPr>
                <w:rFonts w:ascii="宋体" w:hAnsi="宋体"/>
                <w:strike/>
                <w:sz w:val="22"/>
                <w:szCs w:val="22"/>
              </w:rPr>
            </w:pPr>
            <w:r>
              <w:rPr>
                <w:rFonts w:ascii="宋体" w:hAnsi="宋体"/>
                <w:sz w:val="22"/>
                <w:szCs w:val="22"/>
              </w:rPr>
              <w:t>理财计划份额以人民币计价，单位为1份。</w:t>
            </w:r>
          </w:p>
        </w:tc>
      </w:tr>
      <w:tr w:rsidR="003252C2">
        <w:tc>
          <w:tcPr>
            <w:tcW w:w="1872" w:type="dxa"/>
          </w:tcPr>
          <w:p w:rsidR="003252C2" w:rsidRDefault="00F10458">
            <w:pPr>
              <w:rPr>
                <w:rFonts w:ascii="宋体" w:hAnsi="宋体"/>
                <w:sz w:val="22"/>
                <w:szCs w:val="22"/>
              </w:rPr>
            </w:pPr>
            <w:r>
              <w:rPr>
                <w:rFonts w:ascii="宋体" w:hAnsi="宋体"/>
                <w:sz w:val="22"/>
                <w:szCs w:val="22"/>
              </w:rPr>
              <w:t>理财计划份额面值</w:t>
            </w:r>
          </w:p>
        </w:tc>
        <w:tc>
          <w:tcPr>
            <w:tcW w:w="6542" w:type="dxa"/>
          </w:tcPr>
          <w:p w:rsidR="003252C2" w:rsidRDefault="00F10458">
            <w:pPr>
              <w:rPr>
                <w:rFonts w:ascii="宋体" w:hAnsi="宋体"/>
                <w:sz w:val="22"/>
                <w:szCs w:val="22"/>
              </w:rPr>
            </w:pPr>
            <w:r>
              <w:rPr>
                <w:rFonts w:ascii="宋体" w:hAnsi="宋体"/>
                <w:sz w:val="22"/>
                <w:szCs w:val="22"/>
              </w:rPr>
              <w:t>每份理财计划份额面值为人民币1元。</w:t>
            </w:r>
          </w:p>
        </w:tc>
      </w:tr>
      <w:tr w:rsidR="003252C2">
        <w:tc>
          <w:tcPr>
            <w:tcW w:w="1872" w:type="dxa"/>
          </w:tcPr>
          <w:p w:rsidR="003252C2" w:rsidRDefault="00F10458">
            <w:pPr>
              <w:rPr>
                <w:rFonts w:ascii="宋体" w:hAnsi="宋体"/>
                <w:sz w:val="22"/>
                <w:szCs w:val="22"/>
              </w:rPr>
            </w:pPr>
            <w:r>
              <w:rPr>
                <w:rFonts w:ascii="宋体" w:hAnsi="宋体"/>
                <w:sz w:val="22"/>
                <w:szCs w:val="22"/>
              </w:rPr>
              <w:t>认购期</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16</w:t>
            </w:r>
            <w:r>
              <w:rPr>
                <w:rFonts w:ascii="宋体" w:hAnsi="宋体" w:hint="eastAsia"/>
                <w:sz w:val="22"/>
                <w:szCs w:val="22"/>
              </w:rPr>
              <w:t>日</w:t>
            </w:r>
            <w:r w:rsidR="00F10458">
              <w:rPr>
                <w:rFonts w:ascii="宋体" w:hAnsi="宋体" w:hint="eastAsia"/>
                <w:sz w:val="22"/>
                <w:szCs w:val="22"/>
              </w:rPr>
              <w:t>9</w:t>
            </w:r>
            <w:r w:rsidR="00F10458">
              <w:rPr>
                <w:rFonts w:ascii="宋体" w:hAnsi="宋体"/>
                <w:sz w:val="22"/>
                <w:szCs w:val="22"/>
              </w:rPr>
              <w:t>:00到</w:t>
            </w:r>
            <w:r>
              <w:rPr>
                <w:rFonts w:ascii="宋体" w:hAnsi="宋体" w:hint="eastAsia"/>
                <w:sz w:val="22"/>
                <w:szCs w:val="22"/>
              </w:rPr>
              <w:t>2025年6月</w:t>
            </w:r>
            <w:r w:rsidR="00581DFF">
              <w:rPr>
                <w:rFonts w:ascii="宋体" w:hAnsi="宋体" w:hint="eastAsia"/>
                <w:sz w:val="22"/>
                <w:szCs w:val="22"/>
              </w:rPr>
              <w:t>17</w:t>
            </w:r>
            <w:r>
              <w:rPr>
                <w:rFonts w:ascii="宋体" w:hAnsi="宋体" w:hint="eastAsia"/>
                <w:sz w:val="22"/>
                <w:szCs w:val="22"/>
              </w:rPr>
              <w:t>日</w:t>
            </w:r>
            <w:r w:rsidR="00F10458">
              <w:rPr>
                <w:rFonts w:ascii="宋体" w:hAnsi="宋体" w:hint="eastAsia"/>
                <w:sz w:val="22"/>
                <w:szCs w:val="22"/>
              </w:rPr>
              <w:t>17</w:t>
            </w:r>
            <w:r w:rsidR="00F10458">
              <w:rPr>
                <w:rFonts w:ascii="宋体" w:hAnsi="宋体"/>
                <w:sz w:val="22"/>
                <w:szCs w:val="22"/>
              </w:rPr>
              <w:t>:00。详细内容见以下“</w:t>
            </w:r>
            <w:r w:rsidR="00F10458">
              <w:rPr>
                <w:rFonts w:ascii="宋体" w:hAnsi="宋体"/>
                <w:b/>
                <w:bCs/>
                <w:sz w:val="22"/>
                <w:szCs w:val="22"/>
              </w:rPr>
              <w:t>理财计划认购</w:t>
            </w:r>
            <w:r w:rsidR="00F10458">
              <w:rPr>
                <w:rFonts w:ascii="宋体" w:hAnsi="宋体"/>
                <w:sz w:val="22"/>
                <w:szCs w:val="22"/>
              </w:rPr>
              <w:t>”。</w:t>
            </w:r>
          </w:p>
        </w:tc>
      </w:tr>
      <w:tr w:rsidR="003252C2">
        <w:tc>
          <w:tcPr>
            <w:tcW w:w="1872" w:type="dxa"/>
          </w:tcPr>
          <w:p w:rsidR="003252C2" w:rsidRDefault="00F10458">
            <w:pPr>
              <w:rPr>
                <w:rFonts w:ascii="宋体" w:hAnsi="宋体"/>
                <w:sz w:val="22"/>
                <w:szCs w:val="22"/>
              </w:rPr>
            </w:pPr>
            <w:r>
              <w:rPr>
                <w:rFonts w:ascii="宋体" w:hAnsi="宋体" w:hint="eastAsia"/>
                <w:sz w:val="22"/>
                <w:szCs w:val="22"/>
              </w:rPr>
              <w:t>认购</w:t>
            </w:r>
            <w:r>
              <w:rPr>
                <w:rFonts w:ascii="宋体" w:hAnsi="宋体"/>
                <w:sz w:val="22"/>
                <w:szCs w:val="22"/>
              </w:rPr>
              <w:t>方式</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投资者可通过销售服务机构</w:t>
            </w:r>
            <w:r>
              <w:rPr>
                <w:rFonts w:asciiTheme="minorEastAsia" w:eastAsiaTheme="minorEastAsia" w:hAnsiTheme="minorEastAsia" w:cs="Arial" w:hint="eastAsia"/>
                <w:sz w:val="22"/>
                <w:szCs w:val="22"/>
              </w:rPr>
              <w:t>手机银行</w:t>
            </w:r>
            <w:r>
              <w:rPr>
                <w:rFonts w:asciiTheme="minorEastAsia" w:eastAsiaTheme="minorEastAsia" w:hAnsiTheme="minorEastAsia" w:cs="Arial"/>
                <w:sz w:val="22"/>
                <w:szCs w:val="22"/>
              </w:rPr>
              <w:t>或者管理人认可的其他方式办理认购本理财计划份额。</w:t>
            </w:r>
          </w:p>
        </w:tc>
      </w:tr>
      <w:tr w:rsidR="003252C2">
        <w:tc>
          <w:tcPr>
            <w:tcW w:w="1872" w:type="dxa"/>
          </w:tcPr>
          <w:p w:rsidR="003252C2" w:rsidRDefault="00F10458">
            <w:pPr>
              <w:rPr>
                <w:rFonts w:ascii="宋体" w:hAnsi="宋体"/>
                <w:sz w:val="22"/>
                <w:szCs w:val="22"/>
              </w:rPr>
            </w:pPr>
            <w:r>
              <w:rPr>
                <w:rFonts w:ascii="宋体" w:hAnsi="宋体"/>
                <w:sz w:val="22"/>
                <w:szCs w:val="22"/>
              </w:rPr>
              <w:t>认购登记日</w:t>
            </w:r>
          </w:p>
        </w:tc>
        <w:tc>
          <w:tcPr>
            <w:tcW w:w="6542" w:type="dxa"/>
          </w:tcPr>
          <w:p w:rsidR="003252C2" w:rsidRDefault="00CF4C46" w:rsidP="00EB71BE">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成立日</w:t>
            </w:r>
          </w:p>
        </w:tc>
        <w:tc>
          <w:tcPr>
            <w:tcW w:w="6542" w:type="dxa"/>
          </w:tcPr>
          <w:p w:rsidR="003252C2" w:rsidRDefault="00CF4C46">
            <w:pPr>
              <w:rPr>
                <w:rFonts w:ascii="宋体" w:hAnsi="宋体"/>
                <w:sz w:val="22"/>
                <w:szCs w:val="22"/>
              </w:rPr>
            </w:pPr>
            <w:r>
              <w:rPr>
                <w:rFonts w:ascii="宋体" w:hAnsi="宋体" w:hint="eastAsia"/>
                <w:sz w:val="22"/>
                <w:szCs w:val="22"/>
              </w:rPr>
              <w:t>2025年6月</w:t>
            </w:r>
            <w:r w:rsidR="00581DFF">
              <w:rPr>
                <w:rFonts w:ascii="宋体" w:hAnsi="宋体" w:hint="eastAsia"/>
                <w:sz w:val="22"/>
                <w:szCs w:val="22"/>
              </w:rPr>
              <w:t>18</w:t>
            </w:r>
            <w:r>
              <w:rPr>
                <w:rFonts w:ascii="宋体" w:hAnsi="宋体" w:hint="eastAsia"/>
                <w:sz w:val="22"/>
                <w:szCs w:val="22"/>
              </w:rPr>
              <w:t>日</w:t>
            </w:r>
          </w:p>
        </w:tc>
      </w:tr>
      <w:tr w:rsidR="003252C2">
        <w:tc>
          <w:tcPr>
            <w:tcW w:w="1872" w:type="dxa"/>
          </w:tcPr>
          <w:p w:rsidR="003252C2" w:rsidRDefault="00F10458">
            <w:pPr>
              <w:rPr>
                <w:rFonts w:ascii="宋体" w:hAnsi="宋体"/>
                <w:sz w:val="22"/>
                <w:szCs w:val="22"/>
              </w:rPr>
            </w:pPr>
            <w:r>
              <w:rPr>
                <w:rFonts w:ascii="宋体" w:hAnsi="宋体" w:hint="eastAsia"/>
                <w:sz w:val="22"/>
                <w:szCs w:val="22"/>
              </w:rPr>
              <w:lastRenderedPageBreak/>
              <w:t>理财计划预计</w:t>
            </w:r>
            <w:r>
              <w:rPr>
                <w:rFonts w:ascii="宋体" w:hAnsi="宋体"/>
                <w:sz w:val="22"/>
                <w:szCs w:val="22"/>
              </w:rPr>
              <w:t>到期日</w:t>
            </w:r>
          </w:p>
        </w:tc>
        <w:tc>
          <w:tcPr>
            <w:tcW w:w="6542" w:type="dxa"/>
          </w:tcPr>
          <w:p w:rsidR="003252C2" w:rsidRDefault="00F10458">
            <w:pPr>
              <w:rPr>
                <w:rFonts w:ascii="宋体" w:hAnsi="宋体"/>
                <w:sz w:val="22"/>
                <w:szCs w:val="22"/>
              </w:rPr>
            </w:pPr>
            <w:r>
              <w:rPr>
                <w:rFonts w:ascii="宋体" w:hAnsi="宋体" w:hint="eastAsia"/>
                <w:sz w:val="22"/>
                <w:szCs w:val="22"/>
              </w:rPr>
              <w:t>预计到期日为</w:t>
            </w:r>
            <w:r w:rsidR="00CF4C46">
              <w:rPr>
                <w:rFonts w:ascii="宋体" w:hAnsi="宋体" w:hint="eastAsia"/>
                <w:sz w:val="22"/>
                <w:szCs w:val="22"/>
              </w:rPr>
              <w:t>2055年6月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w:t>
            </w:r>
            <w:r>
              <w:rPr>
                <w:rFonts w:asciiTheme="minorEastAsia" w:eastAsiaTheme="minorEastAsia" w:hAnsiTheme="minorEastAsia" w:hint="eastAsia"/>
                <w:sz w:val="22"/>
                <w:szCs w:val="22"/>
              </w:rPr>
              <w:t>如遇非工作日顺延至下一个工作日。</w:t>
            </w:r>
          </w:p>
        </w:tc>
      </w:tr>
      <w:tr w:rsidR="003252C2">
        <w:trPr>
          <w:trHeight w:val="653"/>
        </w:trPr>
        <w:tc>
          <w:tcPr>
            <w:tcW w:w="1872" w:type="dxa"/>
          </w:tcPr>
          <w:p w:rsidR="003252C2" w:rsidRDefault="00F10458">
            <w:pPr>
              <w:rPr>
                <w:rFonts w:ascii="宋体" w:hAnsi="宋体"/>
                <w:sz w:val="22"/>
                <w:szCs w:val="22"/>
              </w:rPr>
            </w:pPr>
            <w:r>
              <w:rPr>
                <w:rFonts w:ascii="宋体" w:hAnsi="宋体" w:hint="eastAsia"/>
                <w:sz w:val="22"/>
                <w:szCs w:val="22"/>
              </w:rPr>
              <w:t>理财计划</w:t>
            </w:r>
            <w:r>
              <w:rPr>
                <w:rFonts w:ascii="宋体" w:hAnsi="宋体"/>
                <w:sz w:val="22"/>
                <w:szCs w:val="22"/>
              </w:rPr>
              <w:t>终止</w:t>
            </w:r>
          </w:p>
        </w:tc>
        <w:tc>
          <w:tcPr>
            <w:tcW w:w="6542" w:type="dxa"/>
          </w:tcPr>
          <w:p w:rsidR="003252C2" w:rsidRDefault="00F10458">
            <w:pPr>
              <w:rPr>
                <w:rFonts w:ascii="宋体" w:hAnsi="宋体"/>
                <w:sz w:val="22"/>
                <w:szCs w:val="22"/>
              </w:rPr>
            </w:pPr>
            <w:r>
              <w:rPr>
                <w:rFonts w:asciiTheme="minorEastAsia" w:eastAsiaTheme="minorEastAsia" w:hAnsiTheme="minorEastAsia" w:cs="Arial"/>
                <w:sz w:val="22"/>
                <w:szCs w:val="22"/>
              </w:rPr>
              <w:t>在理财计划存续期间发生任一理财计划终止事件的，本理财计划有可能终止。</w:t>
            </w:r>
          </w:p>
        </w:tc>
      </w:tr>
      <w:tr w:rsidR="003252C2">
        <w:trPr>
          <w:trHeight w:val="653"/>
        </w:trPr>
        <w:tc>
          <w:tcPr>
            <w:tcW w:w="1872" w:type="dxa"/>
            <w:vAlign w:val="center"/>
          </w:tcPr>
          <w:p w:rsidR="003252C2" w:rsidRDefault="00F10458">
            <w:pPr>
              <w:rPr>
                <w:rFonts w:ascii="宋体" w:hAnsi="宋体"/>
                <w:sz w:val="22"/>
                <w:szCs w:val="22"/>
              </w:rPr>
            </w:pPr>
            <w:r>
              <w:rPr>
                <w:rFonts w:asciiTheme="minorEastAsia" w:eastAsiaTheme="minorEastAsia" w:hAnsiTheme="minorEastAsia" w:cs="Arial" w:hint="eastAsia"/>
                <w:sz w:val="22"/>
                <w:szCs w:val="22"/>
              </w:rPr>
              <w:t>理财计划终止日</w:t>
            </w:r>
          </w:p>
        </w:tc>
        <w:tc>
          <w:tcPr>
            <w:tcW w:w="6542" w:type="dxa"/>
            <w:vAlign w:val="center"/>
          </w:tcPr>
          <w:p w:rsidR="003252C2" w:rsidRDefault="00F10458">
            <w:pPr>
              <w:rPr>
                <w:rFonts w:ascii="宋体" w:hAnsi="宋体"/>
                <w:strike/>
                <w:sz w:val="22"/>
                <w:szCs w:val="22"/>
              </w:rPr>
            </w:pPr>
            <w:r>
              <w:rPr>
                <w:rFonts w:asciiTheme="minorEastAsia" w:eastAsiaTheme="minorEastAsia" w:hAnsiTheme="minorEastAsia" w:cs="Arial"/>
                <w:sz w:val="22"/>
                <w:szCs w:val="22"/>
              </w:rPr>
              <w:t>指理财计划</w:t>
            </w:r>
            <w:r>
              <w:rPr>
                <w:rFonts w:asciiTheme="minorEastAsia" w:eastAsiaTheme="minorEastAsia" w:hAnsiTheme="minorEastAsia" w:cs="Arial" w:hint="eastAsia"/>
                <w:sz w:val="22"/>
                <w:szCs w:val="22"/>
              </w:rPr>
              <w:t>终止之</w:t>
            </w:r>
            <w:r>
              <w:rPr>
                <w:rFonts w:asciiTheme="minorEastAsia" w:eastAsiaTheme="minorEastAsia" w:hAnsiTheme="minorEastAsia" w:cs="Arial"/>
                <w:sz w:val="22"/>
                <w:szCs w:val="22"/>
              </w:rPr>
              <w:t>日，</w:t>
            </w:r>
            <w:r>
              <w:rPr>
                <w:rFonts w:asciiTheme="minorEastAsia" w:eastAsiaTheme="minorEastAsia" w:hAnsiTheme="minorEastAsia" w:cs="Arial" w:hint="eastAsia"/>
                <w:sz w:val="22"/>
                <w:szCs w:val="22"/>
              </w:rPr>
              <w:t>根据实际情况，是指</w:t>
            </w: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预计</w:t>
            </w:r>
            <w:r>
              <w:rPr>
                <w:rFonts w:asciiTheme="minorEastAsia" w:eastAsiaTheme="minorEastAsia" w:hAnsiTheme="minorEastAsia" w:cs="Arial"/>
                <w:sz w:val="22"/>
                <w:szCs w:val="22"/>
              </w:rPr>
              <w:t>到期日，或管理人根据本</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产品说明书</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约定宣布本理财计划</w:t>
            </w:r>
            <w:r>
              <w:rPr>
                <w:rFonts w:asciiTheme="minorEastAsia" w:eastAsiaTheme="minorEastAsia" w:hAnsiTheme="minorEastAsia" w:cs="Arial" w:hint="eastAsia"/>
                <w:sz w:val="22"/>
                <w:szCs w:val="22"/>
              </w:rPr>
              <w:t>早于理财计划预计到期日</w:t>
            </w:r>
            <w:r>
              <w:rPr>
                <w:rFonts w:asciiTheme="minorEastAsia" w:eastAsiaTheme="minorEastAsia" w:hAnsiTheme="minorEastAsia" w:cs="Arial"/>
                <w:sz w:val="22"/>
                <w:szCs w:val="22"/>
              </w:rPr>
              <w:t>而终止之日或宣布本理财计划延长后的</w:t>
            </w:r>
            <w:r>
              <w:rPr>
                <w:rFonts w:asciiTheme="minorEastAsia" w:eastAsiaTheme="minorEastAsia" w:hAnsiTheme="minorEastAsia" w:cs="Arial" w:hint="eastAsia"/>
                <w:sz w:val="22"/>
                <w:szCs w:val="22"/>
              </w:rPr>
              <w:t>实际终止之</w:t>
            </w:r>
            <w:r>
              <w:rPr>
                <w:rFonts w:asciiTheme="minorEastAsia" w:eastAsiaTheme="minorEastAsia" w:hAnsiTheme="minorEastAsia" w:cs="Arial"/>
                <w:sz w:val="22"/>
                <w:szCs w:val="22"/>
              </w:rPr>
              <w:t>日。</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费用</w:t>
            </w:r>
          </w:p>
        </w:tc>
        <w:tc>
          <w:tcPr>
            <w:tcW w:w="6542" w:type="dxa"/>
            <w:vAlign w:val="center"/>
          </w:tcPr>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理财</w:t>
            </w:r>
            <w:r w:rsidRPr="00E11F6F">
              <w:rPr>
                <w:rFonts w:asciiTheme="minorEastAsia" w:eastAsiaTheme="minorEastAsia" w:hAnsiTheme="minorEastAsia"/>
                <w:b/>
                <w:sz w:val="22"/>
                <w:szCs w:val="22"/>
              </w:rPr>
              <w:t>计划费用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1.</w:t>
            </w: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w:t>
            </w:r>
            <w:r w:rsidRPr="00E11F6F">
              <w:rPr>
                <w:rFonts w:asciiTheme="minorEastAsia" w:eastAsiaTheme="minorEastAsia" w:hAnsiTheme="minorEastAsia"/>
                <w:b/>
                <w:sz w:val="22"/>
                <w:szCs w:val="22"/>
              </w:rPr>
              <w:t>0.30%/年。固定管理费精确到小数点后2位，小数点2位以后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2.</w:t>
            </w:r>
            <w:r w:rsidRPr="00F0356A">
              <w:rPr>
                <w:rFonts w:asciiTheme="minorEastAsia" w:eastAsiaTheme="minorEastAsia" w:hAnsiTheme="minorEastAsia" w:hint="eastAsia"/>
                <w:b/>
                <w:sz w:val="22"/>
                <w:szCs w:val="22"/>
              </w:rPr>
              <w:t>销售服务费：</w:t>
            </w:r>
            <w:r w:rsidRPr="00E11F6F">
              <w:rPr>
                <w:rFonts w:asciiTheme="minorEastAsia" w:eastAsiaTheme="minorEastAsia" w:hAnsiTheme="minorEastAsia" w:hint="eastAsia"/>
                <w:b/>
                <w:sz w:val="22"/>
                <w:szCs w:val="22"/>
              </w:rPr>
              <w:t>销售服务</w:t>
            </w:r>
            <w:r w:rsidRPr="00E11F6F">
              <w:rPr>
                <w:rFonts w:asciiTheme="minorEastAsia" w:eastAsiaTheme="minorEastAsia" w:hAnsiTheme="minorEastAsia"/>
                <w:b/>
                <w:sz w:val="22"/>
                <w:szCs w:val="22"/>
              </w:rPr>
              <w:t>机构</w:t>
            </w:r>
            <w:r w:rsidRPr="00E11F6F">
              <w:rPr>
                <w:rFonts w:asciiTheme="minorEastAsia" w:eastAsiaTheme="minorEastAsia" w:hAnsiTheme="minorEastAsia" w:hint="eastAsia"/>
                <w:b/>
                <w:sz w:val="22"/>
                <w:szCs w:val="22"/>
              </w:rPr>
              <w:t>收取理财计划销售服务费，其中</w:t>
            </w:r>
            <w:r w:rsidRPr="00E11F6F">
              <w:rPr>
                <w:rFonts w:asciiTheme="minorEastAsia" w:eastAsiaTheme="minorEastAsia" w:hAnsiTheme="minorEastAsia"/>
                <w:b/>
                <w:sz w:val="22"/>
                <w:szCs w:val="22"/>
              </w:rPr>
              <w:t>：A份额销售服务费率0.20%/年</w:t>
            </w:r>
            <w:r w:rsidR="00287771" w:rsidRPr="00402F4F">
              <w:rPr>
                <w:rFonts w:asciiTheme="minorEastAsia" w:eastAsiaTheme="minorEastAsia" w:hAnsiTheme="minorEastAsia" w:hint="eastAsia"/>
                <w:b/>
                <w:sz w:val="22"/>
                <w:szCs w:val="22"/>
              </w:rPr>
              <w:t>，</w:t>
            </w:r>
            <w:r w:rsidR="00287771" w:rsidRPr="00402F4F">
              <w:rPr>
                <w:rFonts w:asciiTheme="minorEastAsia" w:eastAsiaTheme="minorEastAsia" w:hAnsiTheme="minorEastAsia"/>
                <w:b/>
                <w:sz w:val="22"/>
                <w:szCs w:val="22"/>
              </w:rPr>
              <w:t>C</w:t>
            </w:r>
            <w:r w:rsidR="00287771" w:rsidRPr="00402F4F">
              <w:rPr>
                <w:rFonts w:asciiTheme="minorEastAsia" w:eastAsiaTheme="minorEastAsia" w:hAnsiTheme="minorEastAsia" w:hint="eastAsia"/>
                <w:b/>
                <w:sz w:val="22"/>
                <w:szCs w:val="22"/>
              </w:rPr>
              <w:t>份额销售服务费率</w:t>
            </w:r>
            <w:r w:rsidR="00287771"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K</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P</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TZ</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w:t>
            </w:r>
            <w:r w:rsidR="00C01366">
              <w:rPr>
                <w:rFonts w:asciiTheme="minorEastAsia" w:eastAsiaTheme="minorEastAsia" w:hAnsiTheme="minorEastAsia"/>
                <w:b/>
                <w:sz w:val="22"/>
                <w:szCs w:val="22"/>
              </w:rPr>
              <w:t>3</w:t>
            </w:r>
            <w:r w:rsidR="00C01366" w:rsidRPr="00402F4F">
              <w:rPr>
                <w:rFonts w:asciiTheme="minorEastAsia" w:eastAsiaTheme="minorEastAsia" w:hAnsiTheme="minorEastAsia"/>
                <w:b/>
                <w:sz w:val="22"/>
                <w:szCs w:val="22"/>
              </w:rPr>
              <w:t>0%/年</w:t>
            </w:r>
            <w:r w:rsidR="00C01366" w:rsidRPr="00402F4F">
              <w:rPr>
                <w:rFonts w:asciiTheme="minorEastAsia" w:eastAsiaTheme="minorEastAsia" w:hAnsiTheme="minorEastAsia" w:hint="eastAsia"/>
                <w:b/>
                <w:sz w:val="22"/>
                <w:szCs w:val="22"/>
              </w:rPr>
              <w:t>，</w:t>
            </w:r>
            <w:r w:rsidR="00C01366">
              <w:rPr>
                <w:rFonts w:asciiTheme="minorEastAsia" w:eastAsiaTheme="minorEastAsia" w:hAnsiTheme="minorEastAsia"/>
                <w:b/>
                <w:sz w:val="22"/>
                <w:szCs w:val="22"/>
              </w:rPr>
              <w:t>TL</w:t>
            </w:r>
            <w:r w:rsidR="00C01366" w:rsidRPr="00402F4F">
              <w:rPr>
                <w:rFonts w:asciiTheme="minorEastAsia" w:eastAsiaTheme="minorEastAsia" w:hAnsiTheme="minorEastAsia" w:hint="eastAsia"/>
                <w:b/>
                <w:sz w:val="22"/>
                <w:szCs w:val="22"/>
              </w:rPr>
              <w:t>份额销售服务费率</w:t>
            </w:r>
            <w:r w:rsidR="00C01366" w:rsidRPr="00402F4F">
              <w:rPr>
                <w:rFonts w:asciiTheme="minorEastAsia" w:eastAsiaTheme="minorEastAsia" w:hAnsiTheme="minorEastAsia"/>
                <w:b/>
                <w:sz w:val="22"/>
                <w:szCs w:val="22"/>
              </w:rPr>
              <w:t>0.20%/年</w:t>
            </w:r>
            <w:r w:rsidRPr="00E11F6F">
              <w:rPr>
                <w:rFonts w:asciiTheme="minorEastAsia" w:eastAsiaTheme="minorEastAsia" w:hAnsiTheme="minorEastAsia" w:hint="eastAsia"/>
                <w:b/>
                <w:sz w:val="22"/>
                <w:szCs w:val="22"/>
              </w:rPr>
              <w:t>。销售服务费精确到小数点后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3.</w:t>
            </w:r>
            <w:r w:rsidRPr="00F0356A">
              <w:rPr>
                <w:rFonts w:asciiTheme="minorEastAsia" w:eastAsiaTheme="minorEastAsia" w:hAnsiTheme="minorEastAsia" w:hint="eastAsia"/>
                <w:b/>
                <w:sz w:val="22"/>
                <w:szCs w:val="22"/>
              </w:rPr>
              <w:t>托管费：</w:t>
            </w:r>
            <w:r w:rsidRPr="00E11F6F">
              <w:rPr>
                <w:rFonts w:asciiTheme="minorEastAsia" w:eastAsiaTheme="minorEastAsia" w:hAnsiTheme="minorEastAsia" w:hint="eastAsia"/>
                <w:b/>
                <w:sz w:val="22"/>
                <w:szCs w:val="22"/>
              </w:rPr>
              <w:t>托管人对本理财计划收取托管费，托管费率</w:t>
            </w:r>
            <w:r w:rsidRPr="00E11F6F">
              <w:rPr>
                <w:rFonts w:asciiTheme="minorEastAsia" w:eastAsiaTheme="minorEastAsia" w:hAnsiTheme="minorEastAsia"/>
                <w:b/>
                <w:sz w:val="22"/>
                <w:szCs w:val="22"/>
              </w:rPr>
              <w:t>0.02%/年。托管费精确到小数点后2位，小数点2位以后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rPr>
                <w:rFonts w:asciiTheme="minorEastAsia" w:eastAsiaTheme="minorEastAsia" w:hAnsiTheme="minorEastAsia"/>
                <w:b/>
                <w:sz w:val="22"/>
                <w:szCs w:val="22"/>
              </w:rPr>
            </w:pPr>
            <w:bookmarkStart w:id="1" w:name="_Hlk101954036"/>
            <w:r w:rsidRPr="00E11F6F">
              <w:rPr>
                <w:rFonts w:asciiTheme="minorEastAsia" w:eastAsiaTheme="minorEastAsia" w:hAnsiTheme="minorEastAsia"/>
                <w:b/>
                <w:sz w:val="22"/>
                <w:szCs w:val="22"/>
              </w:rPr>
              <w:t>4.</w:t>
            </w:r>
            <w:r w:rsidRPr="00E11F6F">
              <w:rPr>
                <w:rFonts w:asciiTheme="minorEastAsia" w:eastAsiaTheme="minorEastAsia" w:hAnsiTheme="minorEastAsia" w:hint="eastAsia"/>
                <w:b/>
                <w:sz w:val="22"/>
                <w:szCs w:val="22"/>
              </w:rPr>
              <w:t>强制赎回费：</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1）在满足相关流动性风险管理要求的前提下，当本产品持有的现金、国债、中央银行票据、政策性金融债券以及5个交易日内到期的其他金融工具占本产品资产净值的比例合计低于5%且偏离度为负时，管理人有权对当日单个投资者申请赎回份额超过本产品总份额1%以上的赎回申请征收1%的强制赎回费用，并将上述赎回费用全额计入本产品财产。管理人与托管人协商确认上述做法无益于本产品利益最大化的情形除外。</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w:t>
            </w:r>
            <w:r w:rsidRPr="00E11F6F">
              <w:rPr>
                <w:rFonts w:asciiTheme="minorEastAsia" w:eastAsiaTheme="minorEastAsia" w:hAnsiTheme="minorEastAsia"/>
                <w:b/>
                <w:sz w:val="22"/>
                <w:szCs w:val="22"/>
              </w:rPr>
              <w:t>2）本产品前10名投资者的持有份额合计超过本产品总份额50%的，当投资组合中现金、国债、中央银行票据、政策性金融债券以及5个交易日内到期的其他金融工具占本产品资产净值的比例合计低于10%且偏离度为负时，管理人有权对投资者超过本产品总份额1%以上的赎回申请征收1%的强制赎回费用。</w:t>
            </w:r>
          </w:p>
          <w:p w:rsidR="003252C2" w:rsidRPr="00E11F6F" w:rsidRDefault="00F10458">
            <w:pPr>
              <w:adjustRightInd w:val="0"/>
              <w:snapToGrid w:val="0"/>
              <w:spacing w:line="300" w:lineRule="auto"/>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法律法规或监管机构另有规定的，从其规定。</w:t>
            </w:r>
          </w:p>
          <w:bookmarkEnd w:id="1"/>
          <w:p w:rsidR="003252C2" w:rsidRPr="00E11F6F" w:rsidRDefault="00F10458">
            <w:pPr>
              <w:adjustRightInd w:val="0"/>
              <w:snapToGrid w:val="0"/>
              <w:spacing w:line="300" w:lineRule="auto"/>
              <w:jc w:val="left"/>
              <w:rPr>
                <w:rFonts w:asciiTheme="minorEastAsia" w:eastAsiaTheme="minorEastAsia" w:hAnsiTheme="minorEastAsia"/>
                <w:b/>
                <w:sz w:val="22"/>
                <w:szCs w:val="22"/>
              </w:rPr>
            </w:pPr>
            <w:r w:rsidRPr="00F0356A">
              <w:rPr>
                <w:rFonts w:ascii="宋体" w:hAnsi="宋体"/>
                <w:b/>
                <w:sz w:val="22"/>
              </w:rPr>
              <w:t>5.因投资资产而产生的资产服务费（如有）：</w:t>
            </w:r>
            <w:r w:rsidRPr="00E11F6F">
              <w:rPr>
                <w:rFonts w:ascii="宋体" w:hAnsi="宋体" w:hint="eastAsia"/>
                <w:b/>
                <w:sz w:val="22"/>
              </w:rPr>
              <w:t>本理财计划在投资运作过程中，所投资产可能因招商银行股份有限公司或其它机构提供管理服务而产生资产服务费等相关费用。管理人将根据费用实际发生额支付，并按照产品说明书约定的信息披露方式予以披露。</w:t>
            </w:r>
          </w:p>
          <w:p w:rsidR="007C6F64" w:rsidRDefault="00F10458" w:rsidP="007C6F64">
            <w:pPr>
              <w:numPr>
                <w:ilvl w:val="255"/>
                <w:numId w:val="0"/>
              </w:numPr>
              <w:spacing w:line="300" w:lineRule="auto"/>
              <w:rPr>
                <w:rFonts w:ascii="宋体" w:hAnsi="宋体" w:cs="宋体"/>
                <w:b/>
                <w:sz w:val="22"/>
              </w:rPr>
            </w:pPr>
            <w:r w:rsidRPr="00E11F6F">
              <w:rPr>
                <w:rFonts w:asciiTheme="minorEastAsia" w:eastAsiaTheme="minorEastAsia" w:hAnsiTheme="minorEastAsia"/>
                <w:b/>
                <w:color w:val="000000"/>
                <w:kern w:val="0"/>
                <w:sz w:val="22"/>
                <w:szCs w:val="22"/>
              </w:rPr>
              <w:t>6</w:t>
            </w:r>
            <w:r w:rsidRPr="00E11F6F">
              <w:rPr>
                <w:rFonts w:asciiTheme="minorEastAsia" w:eastAsiaTheme="minorEastAsia" w:hAnsiTheme="minorEastAsia"/>
                <w:b/>
                <w:color w:val="000000"/>
                <w:kern w:val="0"/>
                <w:sz w:val="22"/>
                <w:szCs w:val="22"/>
                <w:lang w:val="zh-CN"/>
              </w:rPr>
              <w:t>.其他</w:t>
            </w:r>
            <w:r w:rsidRPr="00E11F6F">
              <w:rPr>
                <w:rFonts w:asciiTheme="minorEastAsia" w:eastAsiaTheme="minorEastAsia" w:hAnsiTheme="minorEastAsia" w:hint="eastAsia"/>
                <w:b/>
                <w:color w:val="000000"/>
                <w:kern w:val="0"/>
                <w:sz w:val="22"/>
                <w:szCs w:val="22"/>
                <w:lang w:val="zh-CN"/>
              </w:rPr>
              <w:t>（如有</w:t>
            </w:r>
            <w:r w:rsidRPr="00E11F6F">
              <w:rPr>
                <w:rFonts w:asciiTheme="minorEastAsia" w:eastAsiaTheme="minorEastAsia" w:hAnsiTheme="minorEastAsia"/>
                <w:b/>
                <w:color w:val="000000"/>
                <w:kern w:val="0"/>
                <w:sz w:val="22"/>
                <w:szCs w:val="22"/>
                <w:lang w:val="zh-CN"/>
              </w:rPr>
              <w:t>）：</w:t>
            </w:r>
            <w:r w:rsidR="007C6F64">
              <w:rPr>
                <w:rFonts w:ascii="宋体" w:hAnsi="宋体" w:cs="宋体"/>
                <w:b/>
                <w:sz w:val="22"/>
              </w:rPr>
              <w:t>交易费用（包括但不限于交易佣金、印花税、过户费、撮合费用等）、理财计划验资费、审计费、信息披露费、清</w:t>
            </w:r>
            <w:r w:rsidR="007C6F64">
              <w:rPr>
                <w:rFonts w:ascii="宋体" w:hAnsi="宋体" w:cs="宋体"/>
                <w:b/>
                <w:sz w:val="22"/>
              </w:rPr>
              <w:lastRenderedPageBreak/>
              <w:t>算费、执行费用</w:t>
            </w:r>
            <w:r w:rsidR="007C6F64">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7C6F64">
              <w:rPr>
                <w:rFonts w:ascii="宋体" w:hAnsi="宋体" w:cs="宋体"/>
                <w:b/>
                <w:sz w:val="22"/>
              </w:rPr>
              <w:t>等相关费用，以及根据法律法规、监管规定或理财计划销售文件约定，可以在理财计划财产中列支的其他费用，具体以实际发生为准</w:t>
            </w:r>
            <w:r w:rsidR="007C6F64">
              <w:rPr>
                <w:rFonts w:ascii="宋体" w:hAnsi="宋体" w:cs="宋体" w:hint="eastAsia"/>
                <w:b/>
                <w:sz w:val="22"/>
              </w:rPr>
              <w:t>。</w:t>
            </w:r>
          </w:p>
          <w:p w:rsidR="007C6F64" w:rsidRDefault="007C6F64" w:rsidP="007C6F64">
            <w:pPr>
              <w:numPr>
                <w:ilvl w:val="255"/>
                <w:numId w:val="0"/>
              </w:numPr>
              <w:spacing w:line="300" w:lineRule="auto"/>
            </w:pPr>
            <w:r>
              <w:rPr>
                <w:rFonts w:ascii="宋体" w:hAnsi="宋体" w:cs="宋体" w:hint="eastAsia"/>
                <w:b/>
                <w:sz w:val="22"/>
              </w:rPr>
              <w:t>7.</w:t>
            </w:r>
            <w:r>
              <w:rPr>
                <w:rFonts w:ascii="宋体" w:hAnsi="宋体" w:cs="宋体"/>
                <w:b/>
                <w:sz w:val="22"/>
              </w:rPr>
              <w:t>执行费用</w:t>
            </w:r>
            <w:r>
              <w:rPr>
                <w:rFonts w:ascii="宋体" w:hAnsi="宋体" w:cs="宋体" w:hint="eastAsia"/>
                <w:b/>
                <w:sz w:val="22"/>
              </w:rPr>
              <w:t>：</w:t>
            </w:r>
            <w:r>
              <w:rPr>
                <w:rFonts w:ascii="宋体" w:hAnsi="宋体" w:cs="宋体"/>
                <w:sz w:val="22"/>
              </w:rPr>
              <w:t>指与理财投资或标的资产相关且为理财计划利益目的而进行的诉讼或仲裁等法律程序相关的费用，包括但不限于</w:t>
            </w:r>
            <w:r>
              <w:rPr>
                <w:rFonts w:ascii="宋体" w:hAnsi="宋体" w:cs="宋体" w:hint="eastAsia"/>
                <w:sz w:val="22"/>
              </w:rPr>
              <w:t>诉讼（仲裁）费</w:t>
            </w:r>
            <w:r>
              <w:rPr>
                <w:rFonts w:ascii="宋体" w:hAnsi="宋体" w:cs="宋体"/>
                <w:sz w:val="22"/>
              </w:rPr>
              <w:t>、财产保全费、律师费和执行费，以及因诉讼或仲裁之需要而委托中介机构或司法机构进行鉴定、评估等而产生的费用。</w:t>
            </w:r>
          </w:p>
          <w:p w:rsidR="007C6F64" w:rsidRDefault="007C6F64" w:rsidP="007C6F64">
            <w:pPr>
              <w:spacing w:line="300" w:lineRule="auto"/>
              <w:rPr>
                <w:rFonts w:asciiTheme="minorHAnsi" w:hAnsiTheme="minorHAnsi" w:cs="宋体"/>
                <w:sz w:val="22"/>
                <w:lang w:val="uk-UA"/>
              </w:rPr>
            </w:pPr>
            <w:r>
              <w:rPr>
                <w:rFonts w:ascii="宋体" w:hAnsi="宋体" w:cs="宋体"/>
                <w:sz w:val="22"/>
              </w:rPr>
              <w:t>延期清算期间，本理财计划不收取固定投资管理费、托管费及销售服务费（如有）等。</w:t>
            </w:r>
          </w:p>
          <w:p w:rsidR="003252C2" w:rsidRDefault="007C6F64">
            <w:pPr>
              <w:rPr>
                <w:rFonts w:asciiTheme="minorEastAsia" w:eastAsiaTheme="minorEastAsia" w:hAnsiTheme="minorEastAsia" w:cs="Arial"/>
                <w:sz w:val="22"/>
                <w:szCs w:val="22"/>
              </w:rPr>
            </w:pPr>
            <w:r>
              <w:rPr>
                <w:rFonts w:ascii="宋体" w:hAnsi="宋体" w:cs="宋体"/>
                <w:b/>
                <w:sz w:val="22"/>
              </w:rPr>
              <w:t>详细内容见“理财计划费用”</w:t>
            </w:r>
            <w:r>
              <w:rPr>
                <w:rFonts w:ascii="宋体" w:hAnsi="宋体" w:cs="宋体" w:hint="eastAsia"/>
                <w:b/>
                <w:sz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业绩</w:t>
            </w:r>
            <w:r>
              <w:rPr>
                <w:rFonts w:asciiTheme="minorEastAsia" w:eastAsiaTheme="minorEastAsia" w:hAnsiTheme="minorEastAsia"/>
                <w:sz w:val="22"/>
                <w:szCs w:val="22"/>
              </w:rPr>
              <w:t>比较基准</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本产品资金100%投资于现金、银行存款、债券回购、中央银行票据、同业存单、债券、资产支持证券及其他</w:t>
            </w:r>
            <w:r w:rsidR="00527821">
              <w:rPr>
                <w:rFonts w:asciiTheme="minorEastAsia" w:eastAsiaTheme="minorEastAsia" w:hAnsiTheme="minorEastAsia" w:cs="Arial" w:hint="eastAsia"/>
                <w:sz w:val="22"/>
                <w:szCs w:val="22"/>
              </w:rPr>
              <w:t>监管机构</w:t>
            </w:r>
            <w:r>
              <w:rPr>
                <w:rFonts w:asciiTheme="minorEastAsia" w:eastAsiaTheme="minorEastAsia" w:hAnsiTheme="minorEastAsia" w:cs="Arial" w:hint="eastAsia"/>
                <w:sz w:val="22"/>
                <w:szCs w:val="22"/>
              </w:rPr>
              <w:t>认可的具有良好流动性的货币市场工具。</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因此根据产品风险收益特征，选取：</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【中国人民银行公布的7天通知存款利率】</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作为本产品的业绩比较基准。</w:t>
            </w:r>
          </w:p>
          <w:p w:rsidR="003252C2" w:rsidRDefault="00F10458">
            <w:pPr>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hint="eastAsia"/>
                <w:b/>
                <w:sz w:val="22"/>
                <w:szCs w:val="22"/>
              </w:rPr>
              <w:t>业绩比较基准是本机构基于产品性质、投资策略、过往经验等因素对产品设定的投资目标，不代表产品的未来表现和实际收益，不构成对产品收益的承诺。</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sz w:val="22"/>
                <w:szCs w:val="22"/>
              </w:rPr>
              <w:t>理财计划存续期间，</w:t>
            </w:r>
            <w:bookmarkStart w:id="2" w:name="_Hlk104484745"/>
            <w:r>
              <w:rPr>
                <w:rFonts w:asciiTheme="minorEastAsia" w:eastAsiaTheme="minorEastAsia" w:hAnsiTheme="minorEastAsia" w:cs="Arial" w:hint="eastAsia"/>
                <w:sz w:val="22"/>
                <w:szCs w:val="22"/>
              </w:rPr>
              <w:t>招银理财</w:t>
            </w:r>
            <w:bookmarkEnd w:id="2"/>
            <w:r>
              <w:rPr>
                <w:rFonts w:asciiTheme="minorEastAsia" w:eastAsiaTheme="minorEastAsia" w:hAnsiTheme="minorEastAsia" w:cs="Arial"/>
                <w:sz w:val="22"/>
                <w:szCs w:val="22"/>
              </w:rPr>
              <w:t>有权根据市场情况对业绩比较基准进行调整，该调整将通过本《产品说明书》之“信息披露”约定的方式进行信息披露。</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理财计划利益分配</w:t>
            </w:r>
          </w:p>
        </w:tc>
        <w:tc>
          <w:tcPr>
            <w:tcW w:w="6542" w:type="dxa"/>
            <w:vAlign w:val="center"/>
          </w:tcPr>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本理财计划根据每日收益情况，以理财计划实际收益为基准，每日为投资者计提当日理财收益</w:t>
            </w:r>
            <w:r>
              <w:rPr>
                <w:rFonts w:ascii="宋体" w:hAnsi="宋体" w:cs="宋体" w:hint="eastAsia"/>
                <w:b/>
                <w:sz w:val="22"/>
                <w:szCs w:val="22"/>
              </w:rPr>
              <w:t>，每日结转份额</w:t>
            </w:r>
            <w:r>
              <w:rPr>
                <w:rFonts w:ascii="宋体" w:hAnsi="宋体" w:cs="宋体" w:hint="eastAsia"/>
                <w:sz w:val="22"/>
                <w:szCs w:val="22"/>
              </w:rPr>
              <w:t>。投资者当日收益计提的计算位数保留到小数点后2位，小数点后第3位按去尾原则处理，因去尾形成的余额进行再次分配，直到分完为止。</w:t>
            </w: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宋体" w:hAnsi="宋体" w:cs="宋体"/>
                <w:b/>
                <w:sz w:val="22"/>
                <w:szCs w:val="22"/>
              </w:rPr>
            </w:pPr>
            <w:r>
              <w:rPr>
                <w:rFonts w:asciiTheme="minorEastAsia" w:eastAsiaTheme="minorEastAsia" w:hAnsiTheme="minorEastAsia" w:hint="eastAsia"/>
                <w:b/>
                <w:sz w:val="22"/>
                <w:szCs w:val="22"/>
              </w:rPr>
              <w:t>就期间分配而言，</w:t>
            </w:r>
            <w:r>
              <w:rPr>
                <w:rFonts w:ascii="宋体" w:hAnsi="宋体" w:cs="宋体" w:hint="eastAsia"/>
                <w:b/>
                <w:sz w:val="22"/>
                <w:szCs w:val="22"/>
              </w:rPr>
              <w:t>本产品收益支付方式为每日收益结转份额。</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本理财计划根据每日收益情况，将当日收益全部计提，若当日收益大于零时，为投资者记正收益；若当日收益小于零时，为投资者记负收益；若当日收益等于零时，当日投资者不记收益。</w:t>
            </w:r>
          </w:p>
          <w:p w:rsidR="003252C2" w:rsidRDefault="00F10458">
            <w:pPr>
              <w:adjustRightInd w:val="0"/>
              <w:snapToGrid w:val="0"/>
              <w:spacing w:line="300" w:lineRule="auto"/>
              <w:rPr>
                <w:rFonts w:ascii="宋体" w:hAnsi="宋体" w:cs="宋体"/>
                <w:sz w:val="22"/>
                <w:szCs w:val="22"/>
              </w:rPr>
            </w:pPr>
            <w:r>
              <w:rPr>
                <w:rFonts w:ascii="宋体" w:hAnsi="宋体" w:cs="宋体" w:hint="eastAsia"/>
                <w:sz w:val="22"/>
                <w:szCs w:val="22"/>
              </w:rPr>
              <w:t>如投资者全部或部分赎回本理财计划的，有关收益分配方式详细内容见本《产品说明书》之“理财计划利益分配”。在符合法律法规及理财计划合同约定，并对理财计划份额持有人利益无实质不利影响的前提下，管理人可提前2个工作日通过公告形式对理财计划期间</w:t>
            </w:r>
            <w:r>
              <w:rPr>
                <w:rFonts w:ascii="宋体" w:hAnsi="宋体" w:cs="宋体" w:hint="eastAsia"/>
                <w:sz w:val="22"/>
                <w:szCs w:val="22"/>
              </w:rPr>
              <w:lastRenderedPageBreak/>
              <w:t>收益分配原则及方式进行调整。</w:t>
            </w:r>
          </w:p>
          <w:p w:rsidR="003252C2" w:rsidRDefault="003252C2">
            <w:pPr>
              <w:adjustRightInd w:val="0"/>
              <w:snapToGrid w:val="0"/>
              <w:spacing w:line="300" w:lineRule="auto"/>
              <w:rPr>
                <w:rFonts w:asciiTheme="minorEastAsia" w:eastAsiaTheme="minorEastAsia" w:hAnsiTheme="minorEastAsia" w:cs="Arial"/>
                <w:sz w:val="22"/>
                <w:szCs w:val="22"/>
              </w:rPr>
            </w:pP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keepNext/>
              <w:keepLines/>
              <w:adjustRightInd w:val="0"/>
              <w:snapToGrid w:val="0"/>
              <w:spacing w:before="260" w:after="260"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理财计划</w:t>
            </w:r>
            <w:r>
              <w:rPr>
                <w:rFonts w:asciiTheme="minorEastAsia" w:eastAsiaTheme="minorEastAsia" w:hAnsiTheme="minorEastAsia" w:cs="Arial" w:hint="eastAsia"/>
                <w:sz w:val="22"/>
                <w:szCs w:val="22"/>
              </w:rPr>
              <w:t>终止日</w:t>
            </w:r>
            <w:r>
              <w:rPr>
                <w:rFonts w:asciiTheme="minorEastAsia" w:eastAsiaTheme="minorEastAsia" w:hAnsiTheme="minorEastAsia" w:cs="Arial"/>
                <w:sz w:val="22"/>
                <w:szCs w:val="22"/>
              </w:rPr>
              <w:t>，如理财计划项下所投资的标的资产因市场风险、信用风险等原因不能全部变现，则</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将现金类资产扣除应由理财计划承担的费用（包括但不限于固定投资管理费、销售服务费、托管费等）后，按照各投资者持有理财计划份额比例在5个工作日内向投资者分配。对于未变现资产部分，</w:t>
            </w: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以投资者利益最大化的原则，寻求未变现资产变现方式，在资产变现后，扣除应由理财计划承担的费用（包括但不限于固定投资管理费、销售服务费、托管费等</w:t>
            </w:r>
            <w:r>
              <w:rPr>
                <w:rFonts w:asciiTheme="minorEastAsia" w:eastAsiaTheme="minorEastAsia" w:hAnsiTheme="minorEastAsia" w:cs="Arial" w:hint="eastAsia"/>
                <w:sz w:val="22"/>
                <w:szCs w:val="22"/>
              </w:rPr>
              <w:t>，或者管理人、第三方垫付的费用</w:t>
            </w:r>
            <w:r>
              <w:rPr>
                <w:rFonts w:asciiTheme="minorEastAsia" w:eastAsiaTheme="minorEastAsia" w:hAnsiTheme="minorEastAsia" w:cs="Arial"/>
                <w:sz w:val="22"/>
                <w:szCs w:val="22"/>
              </w:rPr>
              <w:t>）后，按照各投资者持有理财计划份额比例在5个工作日内向投资者分配。</w:t>
            </w:r>
          </w:p>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详细内容见</w:t>
            </w:r>
            <w:r>
              <w:rPr>
                <w:rFonts w:asciiTheme="minorEastAsia" w:eastAsiaTheme="minorEastAsia" w:hAnsiTheme="minorEastAsia" w:cs="Arial"/>
                <w:kern w:val="0"/>
                <w:sz w:val="22"/>
                <w:szCs w:val="22"/>
              </w:rPr>
              <w:t>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sz w:val="22"/>
                <w:szCs w:val="22"/>
              </w:rPr>
              <w:t>“</w:t>
            </w:r>
            <w:r>
              <w:rPr>
                <w:rFonts w:asciiTheme="minorEastAsia" w:eastAsiaTheme="minorEastAsia" w:hAnsiTheme="minorEastAsia" w:cs="Arial"/>
                <w:b/>
                <w:sz w:val="22"/>
                <w:szCs w:val="22"/>
              </w:rPr>
              <w:t>理财计划利益分配”</w:t>
            </w:r>
            <w:r>
              <w:rPr>
                <w:rFonts w:asciiTheme="minorEastAsia" w:eastAsiaTheme="minorEastAsia" w:hAnsiTheme="minorEastAsia" w:cs="Arial"/>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估值日</w:t>
            </w:r>
          </w:p>
        </w:tc>
        <w:tc>
          <w:tcPr>
            <w:tcW w:w="6542" w:type="dxa"/>
            <w:vAlign w:val="center"/>
          </w:tcPr>
          <w:p w:rsidR="003252C2" w:rsidRDefault="00F10458">
            <w:pPr>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理财计划存续期内，每个自然日为估值日。管理人于</w:t>
            </w:r>
            <w:r>
              <w:rPr>
                <w:rFonts w:asciiTheme="minorEastAsia" w:eastAsiaTheme="minorEastAsia" w:hAnsiTheme="minorEastAsia"/>
                <w:sz w:val="22"/>
                <w:szCs w:val="22"/>
              </w:rPr>
              <w:t>估值日后</w:t>
            </w:r>
            <w:r>
              <w:rPr>
                <w:rFonts w:asciiTheme="minorEastAsia" w:eastAsiaTheme="minorEastAsia" w:hAnsiTheme="minorEastAsia" w:hint="eastAsia"/>
                <w:sz w:val="22"/>
                <w:szCs w:val="22"/>
              </w:rPr>
              <w:t>第1个工作</w:t>
            </w:r>
            <w:r>
              <w:rPr>
                <w:rFonts w:asciiTheme="minorEastAsia" w:eastAsiaTheme="minorEastAsia" w:hAnsiTheme="minorEastAsia"/>
                <w:sz w:val="22"/>
                <w:szCs w:val="22"/>
              </w:rPr>
              <w:t>日</w:t>
            </w:r>
            <w:r>
              <w:rPr>
                <w:rFonts w:asciiTheme="minorEastAsia" w:eastAsiaTheme="minorEastAsia" w:hAnsiTheme="minorEastAsia" w:hint="eastAsia"/>
                <w:sz w:val="22"/>
                <w:szCs w:val="22"/>
              </w:rPr>
              <w:t>公布理财计划每万份收益和七日年化收益率。详细内容见以下“</w:t>
            </w:r>
            <w:r>
              <w:rPr>
                <w:rFonts w:asciiTheme="minorEastAsia" w:eastAsiaTheme="minorEastAsia" w:hAnsiTheme="minorEastAsia" w:hint="eastAsia"/>
                <w:b/>
                <w:sz w:val="22"/>
                <w:szCs w:val="22"/>
              </w:rPr>
              <w:t>理财计划估值</w:t>
            </w:r>
            <w:r>
              <w:rPr>
                <w:rFonts w:asciiTheme="minorEastAsia" w:eastAsiaTheme="minorEastAsia" w:hAnsiTheme="minorEastAsia" w:hint="eastAsia"/>
                <w:sz w:val="22"/>
                <w:szCs w:val="22"/>
              </w:rPr>
              <w:t>”。</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cs="Arial"/>
                <w:sz w:val="22"/>
                <w:szCs w:val="22"/>
              </w:rPr>
              <w:t>信息披露</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cs="Arial"/>
                <w:kern w:val="0"/>
                <w:sz w:val="22"/>
                <w:szCs w:val="22"/>
                <w:lang w:val="zh-CN"/>
              </w:rPr>
              <w:t>管理人将通过《产品说明书》之信息披露约定的方式进行信息披露。</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cs="Arial"/>
                <w:kern w:val="0"/>
                <w:sz w:val="22"/>
                <w:szCs w:val="22"/>
              </w:rPr>
              <w:t>详细内容见本</w:t>
            </w:r>
            <w:r>
              <w:rPr>
                <w:rFonts w:asciiTheme="minorEastAsia" w:eastAsiaTheme="minorEastAsia" w:hAnsiTheme="minorEastAsia" w:cs="Arial"/>
                <w:kern w:val="0"/>
                <w:sz w:val="22"/>
                <w:szCs w:val="22"/>
                <w:lang w:val="zh-CN"/>
              </w:rPr>
              <w:t>《产品说明书》之</w:t>
            </w:r>
            <w:r>
              <w:rPr>
                <w:rFonts w:asciiTheme="minorEastAsia" w:eastAsiaTheme="minorEastAsia" w:hAnsiTheme="minorEastAsia" w:cs="Arial"/>
                <w:b/>
                <w:kern w:val="0"/>
                <w:sz w:val="22"/>
                <w:szCs w:val="22"/>
                <w:lang w:val="zh-CN"/>
              </w:rPr>
              <w:t>“信息披露”</w:t>
            </w:r>
            <w:r>
              <w:rPr>
                <w:rFonts w:asciiTheme="minorEastAsia" w:eastAsiaTheme="minorEastAsia" w:hAnsiTheme="minorEastAsia" w:cs="Arial"/>
                <w:kern w:val="0"/>
                <w:sz w:val="22"/>
                <w:szCs w:val="22"/>
                <w:lang w:val="zh-CN"/>
              </w:rPr>
              <w:t>。</w:t>
            </w:r>
          </w:p>
        </w:tc>
      </w:tr>
      <w:tr w:rsidR="003252C2">
        <w:trPr>
          <w:trHeight w:val="653"/>
        </w:trPr>
        <w:tc>
          <w:tcPr>
            <w:tcW w:w="1872" w:type="dxa"/>
            <w:vAlign w:val="center"/>
          </w:tcPr>
          <w:p w:rsidR="003252C2" w:rsidRDefault="00F10458">
            <w:pPr>
              <w:rPr>
                <w:rFonts w:asciiTheme="minorEastAsia" w:eastAsiaTheme="minorEastAsia" w:hAnsiTheme="minorEastAsia" w:cs="Arial"/>
                <w:sz w:val="22"/>
                <w:szCs w:val="22"/>
              </w:rPr>
            </w:pPr>
            <w:r>
              <w:rPr>
                <w:rFonts w:asciiTheme="minorEastAsia" w:eastAsiaTheme="minorEastAsia" w:hAnsiTheme="minorEastAsia" w:hint="eastAsia"/>
                <w:sz w:val="22"/>
                <w:szCs w:val="22"/>
              </w:rPr>
              <w:t>开放日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cs="Arial"/>
                <w:kern w:val="0"/>
                <w:sz w:val="22"/>
                <w:szCs w:val="22"/>
                <w:lang w:val="zh-CN"/>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tc>
      </w:tr>
      <w:tr w:rsidR="003252C2">
        <w:trPr>
          <w:trHeight w:val="653"/>
        </w:trPr>
        <w:tc>
          <w:tcPr>
            <w:tcW w:w="187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hint="eastAsia"/>
                <w:sz w:val="22"/>
                <w:szCs w:val="22"/>
              </w:rPr>
              <w:t>申购、赎回确认日</w:t>
            </w:r>
          </w:p>
        </w:tc>
        <w:tc>
          <w:tcPr>
            <w:tcW w:w="6542" w:type="dxa"/>
            <w:vAlign w:val="center"/>
          </w:tcPr>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投资者提交申购、赎回申请后，管理人对申购、赎回申请进行确认的日期，具体以本《产品说明书》之“理财计划申购、赎回”确定的申购、赎回确认日规则为准。</w:t>
            </w:r>
          </w:p>
        </w:tc>
      </w:tr>
      <w:tr w:rsidR="003252C2">
        <w:tc>
          <w:tcPr>
            <w:tcW w:w="1872" w:type="dxa"/>
          </w:tcPr>
          <w:p w:rsidR="003252C2" w:rsidRDefault="00F10458">
            <w:pPr>
              <w:rPr>
                <w:rFonts w:ascii="宋体" w:hAnsi="宋体"/>
                <w:sz w:val="22"/>
                <w:szCs w:val="22"/>
              </w:rPr>
            </w:pPr>
            <w:r>
              <w:rPr>
                <w:rFonts w:ascii="宋体" w:hAnsi="宋体"/>
                <w:sz w:val="22"/>
                <w:szCs w:val="22"/>
              </w:rPr>
              <w:t>申购</w:t>
            </w:r>
            <w:r>
              <w:rPr>
                <w:rFonts w:ascii="宋体" w:hAnsi="宋体" w:hint="eastAsia"/>
                <w:sz w:val="22"/>
                <w:szCs w:val="22"/>
              </w:rPr>
              <w:t>、</w:t>
            </w:r>
            <w:r>
              <w:rPr>
                <w:rFonts w:ascii="宋体" w:hAnsi="宋体"/>
                <w:sz w:val="22"/>
                <w:szCs w:val="22"/>
              </w:rPr>
              <w:t>赎回</w:t>
            </w:r>
            <w:r>
              <w:rPr>
                <w:rFonts w:ascii="宋体" w:hAnsi="宋体" w:hint="eastAsia"/>
                <w:sz w:val="22"/>
                <w:szCs w:val="22"/>
              </w:rPr>
              <w:t>期</w:t>
            </w:r>
            <w:r>
              <w:rPr>
                <w:rFonts w:ascii="宋体" w:hAnsi="宋体"/>
                <w:sz w:val="22"/>
                <w:szCs w:val="22"/>
              </w:rPr>
              <w:t>/</w:t>
            </w:r>
            <w:r>
              <w:rPr>
                <w:rFonts w:ascii="宋体" w:hAnsi="宋体" w:hint="eastAsia"/>
                <w:sz w:val="22"/>
                <w:szCs w:val="22"/>
              </w:rPr>
              <w:t>开放期</w:t>
            </w:r>
          </w:p>
        </w:tc>
        <w:tc>
          <w:tcPr>
            <w:tcW w:w="6542" w:type="dxa"/>
          </w:tcPr>
          <w:p w:rsidR="003252C2" w:rsidRDefault="00F10458">
            <w:pPr>
              <w:rPr>
                <w:rFonts w:ascii="宋体" w:hAnsi="宋体"/>
                <w:sz w:val="22"/>
                <w:szCs w:val="22"/>
              </w:rPr>
            </w:pPr>
            <w:r>
              <w:rPr>
                <w:rFonts w:asciiTheme="minorEastAsia" w:eastAsiaTheme="minorEastAsia" w:hAnsiTheme="minorEastAsia"/>
                <w:sz w:val="22"/>
                <w:szCs w:val="22"/>
              </w:rPr>
              <w:t>本</w:t>
            </w:r>
            <w:r>
              <w:rPr>
                <w:rFonts w:asciiTheme="minorEastAsia" w:eastAsiaTheme="minorEastAsia" w:hAnsiTheme="minorEastAsia" w:hint="eastAsia"/>
                <w:sz w:val="22"/>
                <w:szCs w:val="22"/>
              </w:rPr>
              <w:t>产品</w:t>
            </w:r>
            <w:r>
              <w:rPr>
                <w:rFonts w:asciiTheme="minorEastAsia" w:eastAsiaTheme="minorEastAsia" w:hAnsiTheme="minorEastAsia"/>
                <w:sz w:val="22"/>
                <w:szCs w:val="22"/>
              </w:rPr>
              <w:t>存续期内，每日00：00至24：00为理财计划的</w:t>
            </w:r>
            <w:r>
              <w:rPr>
                <w:rFonts w:asciiTheme="minorEastAsia" w:eastAsiaTheme="minorEastAsia" w:hAnsiTheme="minorEastAsia" w:hint="eastAsia"/>
                <w:sz w:val="22"/>
                <w:szCs w:val="22"/>
              </w:rPr>
              <w:t>开放期，</w:t>
            </w:r>
            <w:r>
              <w:rPr>
                <w:rFonts w:asciiTheme="minorEastAsia" w:eastAsiaTheme="minorEastAsia" w:hAnsiTheme="minorEastAsia"/>
                <w:sz w:val="22"/>
                <w:szCs w:val="22"/>
              </w:rPr>
              <w:t>投资者可在</w:t>
            </w:r>
            <w:r>
              <w:rPr>
                <w:rFonts w:asciiTheme="minorEastAsia" w:eastAsiaTheme="minorEastAsia" w:hAnsiTheme="minorEastAsia" w:hint="eastAsia"/>
                <w:sz w:val="22"/>
                <w:szCs w:val="22"/>
              </w:rPr>
              <w:t>开放</w:t>
            </w:r>
            <w:r>
              <w:rPr>
                <w:rFonts w:asciiTheme="minorEastAsia" w:eastAsiaTheme="minorEastAsia" w:hAnsiTheme="minorEastAsia"/>
                <w:sz w:val="22"/>
                <w:szCs w:val="22"/>
              </w:rPr>
              <w:t>期</w:t>
            </w:r>
            <w:r>
              <w:rPr>
                <w:rFonts w:asciiTheme="minorEastAsia" w:eastAsiaTheme="minorEastAsia" w:hAnsiTheme="minorEastAsia" w:hint="eastAsia"/>
                <w:sz w:val="22"/>
                <w:szCs w:val="22"/>
              </w:rPr>
              <w:t>提交</w:t>
            </w:r>
            <w:r>
              <w:rPr>
                <w:rFonts w:asciiTheme="minorEastAsia" w:eastAsiaTheme="minorEastAsia" w:hAnsiTheme="minorEastAsia"/>
                <w:sz w:val="22"/>
                <w:szCs w:val="22"/>
              </w:rPr>
              <w:t>申购</w:t>
            </w:r>
            <w:r>
              <w:rPr>
                <w:rFonts w:asciiTheme="minorEastAsia" w:eastAsiaTheme="minorEastAsia" w:hAnsiTheme="minorEastAsia" w:hint="eastAsia"/>
                <w:sz w:val="22"/>
                <w:szCs w:val="22"/>
              </w:rPr>
              <w:t>/赎回申请，管理人仅在开放日对申购/赎回申请进行确认，具体确认日期以申购/赎回确认日规则为准</w:t>
            </w:r>
            <w:r>
              <w:rPr>
                <w:rFonts w:asciiTheme="minorEastAsia" w:eastAsiaTheme="minorEastAsia" w:hAnsiTheme="minorEastAsia"/>
                <w:sz w:val="22"/>
                <w:szCs w:val="22"/>
              </w:rPr>
              <w:t>。</w:t>
            </w:r>
          </w:p>
        </w:tc>
      </w:tr>
      <w:tr w:rsidR="003252C2">
        <w:tc>
          <w:tcPr>
            <w:tcW w:w="1872" w:type="dxa"/>
            <w:vAlign w:val="center"/>
          </w:tcPr>
          <w:p w:rsidR="003252C2" w:rsidRDefault="00F10458">
            <w:pPr>
              <w:rPr>
                <w:rFonts w:ascii="宋体" w:hAnsi="宋体"/>
                <w:sz w:val="22"/>
                <w:szCs w:val="22"/>
              </w:rPr>
            </w:pPr>
            <w:r>
              <w:rPr>
                <w:rFonts w:asciiTheme="minorEastAsia" w:eastAsiaTheme="minorEastAsia" w:hAnsiTheme="minorEastAsia" w:hint="eastAsia"/>
                <w:sz w:val="22"/>
                <w:szCs w:val="22"/>
              </w:rPr>
              <w:t>理财计划申购和赎回</w:t>
            </w:r>
          </w:p>
        </w:tc>
        <w:tc>
          <w:tcPr>
            <w:tcW w:w="6542" w:type="dxa"/>
            <w:vAlign w:val="center"/>
          </w:tcPr>
          <w:p w:rsidR="003252C2" w:rsidRDefault="00F10458">
            <w:pPr>
              <w:rPr>
                <w:rFonts w:asciiTheme="minorEastAsia" w:eastAsiaTheme="minorEastAsia" w:hAnsiTheme="minorEastAsia"/>
                <w:sz w:val="22"/>
                <w:szCs w:val="22"/>
              </w:rPr>
            </w:pPr>
            <w:r>
              <w:rPr>
                <w:rFonts w:asciiTheme="minorEastAsia" w:eastAsiaTheme="minorEastAsia" w:hAnsiTheme="minorEastAsia"/>
                <w:sz w:val="22"/>
                <w:szCs w:val="22"/>
              </w:rPr>
              <w:t>本理财计划于</w:t>
            </w:r>
            <w:r>
              <w:rPr>
                <w:rFonts w:asciiTheme="minorEastAsia" w:eastAsiaTheme="minorEastAsia" w:hAnsiTheme="minorEastAsia" w:hint="eastAsia"/>
                <w:sz w:val="22"/>
                <w:szCs w:val="22"/>
              </w:rPr>
              <w:t>申购期、</w:t>
            </w:r>
            <w:r>
              <w:rPr>
                <w:rFonts w:asciiTheme="minorEastAsia" w:eastAsiaTheme="minorEastAsia" w:hAnsiTheme="minorEastAsia"/>
                <w:sz w:val="22"/>
                <w:szCs w:val="22"/>
              </w:rPr>
              <w:t>赎回</w:t>
            </w:r>
            <w:r>
              <w:rPr>
                <w:rFonts w:asciiTheme="minorEastAsia" w:eastAsiaTheme="minorEastAsia" w:hAnsiTheme="minorEastAsia" w:hint="eastAsia"/>
                <w:sz w:val="22"/>
                <w:szCs w:val="22"/>
              </w:rPr>
              <w:t>期开放申购</w:t>
            </w:r>
            <w:r>
              <w:rPr>
                <w:rFonts w:asciiTheme="minorEastAsia" w:eastAsiaTheme="minorEastAsia" w:hAnsiTheme="minorEastAsia"/>
                <w:sz w:val="22"/>
                <w:szCs w:val="22"/>
              </w:rPr>
              <w:t>和赎回。</w:t>
            </w:r>
            <w:r>
              <w:rPr>
                <w:rFonts w:asciiTheme="minorEastAsia" w:eastAsiaTheme="minorEastAsia" w:hAnsiTheme="minorEastAsia" w:hint="eastAsia"/>
                <w:sz w:val="22"/>
                <w:szCs w:val="22"/>
              </w:rPr>
              <w:t>管理人仅在开放日对申购、赎回申请进行确认，具体确认日期以申购、赎回确认日规则为准</w:t>
            </w:r>
            <w:r>
              <w:rPr>
                <w:rFonts w:asciiTheme="minorEastAsia" w:eastAsiaTheme="minorEastAsia" w:hAnsiTheme="minorEastAsia"/>
                <w:sz w:val="22"/>
                <w:szCs w:val="22"/>
              </w:rPr>
              <w:t>。</w:t>
            </w:r>
            <w:r>
              <w:rPr>
                <w:rFonts w:asciiTheme="minorEastAsia" w:eastAsiaTheme="minorEastAsia" w:hAnsiTheme="minorEastAsia" w:hint="eastAsia"/>
                <w:sz w:val="22"/>
                <w:szCs w:val="22"/>
              </w:rPr>
              <w:t>特定情形</w:t>
            </w:r>
            <w:r>
              <w:rPr>
                <w:rFonts w:asciiTheme="minorEastAsia" w:eastAsiaTheme="minorEastAsia" w:hAnsiTheme="minorEastAsia"/>
                <w:sz w:val="22"/>
                <w:szCs w:val="22"/>
              </w:rPr>
              <w:t>下且</w:t>
            </w:r>
            <w:r>
              <w:rPr>
                <w:rFonts w:asciiTheme="minorEastAsia" w:eastAsiaTheme="minorEastAsia" w:hAnsiTheme="minorEastAsia" w:hint="eastAsia"/>
                <w:sz w:val="22"/>
                <w:szCs w:val="22"/>
              </w:rPr>
              <w:t>本产品</w:t>
            </w:r>
            <w:r>
              <w:rPr>
                <w:rFonts w:asciiTheme="minorEastAsia" w:eastAsiaTheme="minorEastAsia" w:hAnsiTheme="minorEastAsia"/>
                <w:sz w:val="22"/>
                <w:szCs w:val="22"/>
              </w:rPr>
              <w:t>说明书有</w:t>
            </w:r>
            <w:r>
              <w:rPr>
                <w:rFonts w:asciiTheme="minorEastAsia" w:eastAsiaTheme="minorEastAsia" w:hAnsiTheme="minorEastAsia" w:hint="eastAsia"/>
                <w:sz w:val="22"/>
                <w:szCs w:val="22"/>
              </w:rPr>
              <w:t>特别</w:t>
            </w:r>
            <w:r>
              <w:rPr>
                <w:rFonts w:asciiTheme="minorEastAsia" w:eastAsiaTheme="minorEastAsia" w:hAnsiTheme="minorEastAsia"/>
                <w:sz w:val="22"/>
                <w:szCs w:val="22"/>
              </w:rPr>
              <w:t>约定的</w:t>
            </w:r>
            <w:r>
              <w:rPr>
                <w:rFonts w:asciiTheme="minorEastAsia" w:eastAsiaTheme="minorEastAsia" w:hAnsiTheme="minorEastAsia" w:hint="eastAsia"/>
                <w:sz w:val="22"/>
                <w:szCs w:val="22"/>
              </w:rPr>
              <w:t>除外。详细</w:t>
            </w:r>
            <w:r>
              <w:rPr>
                <w:rFonts w:asciiTheme="minorEastAsia" w:eastAsiaTheme="minorEastAsia" w:hAnsiTheme="minorEastAsia"/>
                <w:sz w:val="22"/>
                <w:szCs w:val="22"/>
              </w:rPr>
              <w:t>内容见以下“</w:t>
            </w: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赎回</w:t>
            </w:r>
            <w:r>
              <w:rPr>
                <w:rFonts w:asciiTheme="minorEastAsia" w:eastAsiaTheme="minorEastAsia" w:hAnsiTheme="minorEastAsia"/>
                <w:sz w:val="22"/>
                <w:szCs w:val="22"/>
              </w:rPr>
              <w:t>”</w:t>
            </w:r>
            <w:r>
              <w:rPr>
                <w:rFonts w:asciiTheme="minorEastAsia" w:eastAsiaTheme="minorEastAsia" w:hAnsiTheme="minorEastAsia" w:hint="eastAsia"/>
                <w:sz w:val="22"/>
                <w:szCs w:val="22"/>
              </w:rPr>
              <w:t>。</w:t>
            </w:r>
          </w:p>
        </w:tc>
      </w:tr>
      <w:tr w:rsidR="003252C2">
        <w:trPr>
          <w:trHeight w:val="156"/>
        </w:trPr>
        <w:tc>
          <w:tcPr>
            <w:tcW w:w="1872" w:type="dxa"/>
          </w:tcPr>
          <w:p w:rsidR="003252C2" w:rsidRDefault="00F10458">
            <w:pPr>
              <w:rPr>
                <w:rFonts w:ascii="宋体" w:hAnsi="宋体"/>
                <w:sz w:val="22"/>
                <w:szCs w:val="22"/>
              </w:rPr>
            </w:pPr>
            <w:r>
              <w:rPr>
                <w:rFonts w:ascii="宋体" w:hAnsi="宋体" w:hint="eastAsia"/>
                <w:sz w:val="22"/>
                <w:szCs w:val="22"/>
              </w:rPr>
              <w:t>理财计划份额净值</w:t>
            </w:r>
          </w:p>
        </w:tc>
        <w:tc>
          <w:tcPr>
            <w:tcW w:w="6542" w:type="dxa"/>
          </w:tcPr>
          <w:p w:rsidR="003252C2" w:rsidRDefault="00F10458">
            <w:pPr>
              <w:rPr>
                <w:rFonts w:ascii="宋体" w:hAnsi="宋体"/>
                <w:sz w:val="22"/>
                <w:szCs w:val="22"/>
              </w:rPr>
            </w:pPr>
            <w:r>
              <w:rPr>
                <w:rFonts w:asciiTheme="minorEastAsia" w:eastAsiaTheme="minorEastAsia" w:hAnsiTheme="minorEastAsia" w:hint="eastAsia"/>
                <w:sz w:val="22"/>
                <w:szCs w:val="22"/>
              </w:rPr>
              <w:t>本理财计划份额净值</w:t>
            </w:r>
            <w:r>
              <w:rPr>
                <w:rFonts w:asciiTheme="minorEastAsia" w:eastAsiaTheme="minorEastAsia" w:hAnsiTheme="minorEastAsia"/>
                <w:sz w:val="22"/>
                <w:szCs w:val="22"/>
              </w:rPr>
              <w:t>为1</w:t>
            </w:r>
            <w:r>
              <w:rPr>
                <w:rFonts w:asciiTheme="minorEastAsia" w:eastAsiaTheme="minorEastAsia" w:hAnsiTheme="minorEastAsia" w:hint="eastAsia"/>
                <w:sz w:val="22"/>
                <w:szCs w:val="22"/>
              </w:rPr>
              <w:t>.00</w:t>
            </w:r>
            <w:r>
              <w:rPr>
                <w:rFonts w:asciiTheme="minorEastAsia" w:eastAsiaTheme="minorEastAsia" w:hAnsiTheme="minorEastAsia"/>
                <w:sz w:val="22"/>
                <w:szCs w:val="22"/>
              </w:rPr>
              <w:t xml:space="preserve">元人民币/份 </w:t>
            </w:r>
            <w:r>
              <w:rPr>
                <w:rFonts w:asciiTheme="minorEastAsia" w:eastAsiaTheme="minorEastAsia" w:hAnsiTheme="minorEastAsia" w:hint="eastAsia"/>
                <w:sz w:val="22"/>
                <w:szCs w:val="22"/>
              </w:rPr>
              <w:t>。即使赎回价格按照理财计划份额净值计算，赎回价格并非代表投资者最终可根据该价格获得最终赎回资金，具体见</w:t>
            </w:r>
            <w:r>
              <w:rPr>
                <w:rFonts w:asciiTheme="minorEastAsia" w:eastAsiaTheme="minorEastAsia" w:hAnsiTheme="minorEastAsia" w:hint="eastAsia"/>
                <w:b/>
                <w:sz w:val="22"/>
                <w:szCs w:val="22"/>
              </w:rPr>
              <w:t>“理财计划利益分配”</w:t>
            </w:r>
            <w:r>
              <w:rPr>
                <w:rFonts w:asciiTheme="minorEastAsia" w:eastAsiaTheme="minorEastAsia" w:hAnsiTheme="minorEastAsia" w:hint="eastAsia"/>
                <w:sz w:val="22"/>
                <w:szCs w:val="22"/>
              </w:rPr>
              <w:t>的相关规定。</w:t>
            </w:r>
          </w:p>
        </w:tc>
      </w:tr>
      <w:tr w:rsidR="003252C2">
        <w:tc>
          <w:tcPr>
            <w:tcW w:w="1872" w:type="dxa"/>
          </w:tcPr>
          <w:p w:rsidR="003252C2" w:rsidRDefault="00F10458">
            <w:pPr>
              <w:rPr>
                <w:rFonts w:ascii="宋体" w:hAnsi="宋体"/>
                <w:sz w:val="22"/>
                <w:szCs w:val="22"/>
              </w:rPr>
            </w:pPr>
            <w:r>
              <w:rPr>
                <w:rFonts w:ascii="宋体" w:hAnsi="宋体" w:hint="eastAsia"/>
                <w:sz w:val="22"/>
                <w:szCs w:val="22"/>
              </w:rPr>
              <w:t>收益</w:t>
            </w:r>
            <w:r>
              <w:rPr>
                <w:rFonts w:ascii="宋体" w:hAnsi="宋体"/>
                <w:sz w:val="22"/>
                <w:szCs w:val="22"/>
              </w:rPr>
              <w:t>计息</w:t>
            </w:r>
            <w:r>
              <w:rPr>
                <w:rFonts w:ascii="宋体" w:hAnsi="宋体" w:hint="eastAsia"/>
                <w:sz w:val="22"/>
                <w:szCs w:val="22"/>
              </w:rPr>
              <w:t>天数</w:t>
            </w:r>
          </w:p>
        </w:tc>
        <w:tc>
          <w:tcPr>
            <w:tcW w:w="6542" w:type="dxa"/>
          </w:tcPr>
          <w:p w:rsidR="003252C2" w:rsidRDefault="00F10458">
            <w:pPr>
              <w:rPr>
                <w:rFonts w:ascii="宋体" w:hAnsi="宋体"/>
                <w:sz w:val="22"/>
                <w:szCs w:val="22"/>
              </w:rPr>
            </w:pPr>
            <w:r>
              <w:rPr>
                <w:rFonts w:ascii="宋体" w:hAnsi="宋体"/>
                <w:sz w:val="22"/>
                <w:szCs w:val="22"/>
              </w:rPr>
              <w:t>实际理财天数/365</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lastRenderedPageBreak/>
              <w:t>收益计算方式</w:t>
            </w:r>
          </w:p>
        </w:tc>
        <w:tc>
          <w:tcPr>
            <w:tcW w:w="6542" w:type="dxa"/>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理财计划存续期间，每日计算收益。</w:t>
            </w:r>
          </w:p>
        </w:tc>
      </w:tr>
      <w:tr w:rsidR="003252C2">
        <w:tc>
          <w:tcPr>
            <w:tcW w:w="187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巨额赎回</w:t>
            </w:r>
          </w:p>
        </w:tc>
        <w:tc>
          <w:tcPr>
            <w:tcW w:w="6542" w:type="dxa"/>
            <w:vAlign w:val="center"/>
          </w:tcPr>
          <w:p w:rsidR="003252C2" w:rsidRDefault="00F10458">
            <w:pPr>
              <w:adjustRightInd w:val="0"/>
              <w:snapToGrid w:val="0"/>
              <w:spacing w:line="300" w:lineRule="auto"/>
              <w:rPr>
                <w:sz w:val="22"/>
                <w:szCs w:val="22"/>
              </w:rPr>
            </w:pPr>
            <w:r>
              <w:rPr>
                <w:rFonts w:hint="eastAsia"/>
                <w:sz w:val="22"/>
                <w:szCs w:val="22"/>
              </w:rPr>
              <w:t>在理财计划存续期内，若理财计划单个开放日的净赎回额（赎回申请份额总数扣除申购申请份额总数）超过本理财计划上一工作日日终份额的</w:t>
            </w:r>
            <w:r>
              <w:rPr>
                <w:rFonts w:hint="eastAsia"/>
                <w:sz w:val="22"/>
                <w:szCs w:val="22"/>
              </w:rPr>
              <w:t>10%</w:t>
            </w:r>
            <w:r>
              <w:rPr>
                <w:rFonts w:hint="eastAsia"/>
                <w:sz w:val="22"/>
                <w:szCs w:val="22"/>
              </w:rPr>
              <w:t>时，即为发生巨额赎回。</w:t>
            </w:r>
          </w:p>
          <w:p w:rsidR="003252C2" w:rsidRDefault="00F10458">
            <w:pPr>
              <w:adjustRightInd w:val="0"/>
              <w:snapToGrid w:val="0"/>
              <w:spacing w:line="300" w:lineRule="auto"/>
              <w:rPr>
                <w:rFonts w:ascii="宋体" w:hAnsi="宋体" w:cs="宋体"/>
                <w:b/>
                <w:sz w:val="22"/>
                <w:szCs w:val="22"/>
              </w:rPr>
            </w:pPr>
            <w:r>
              <w:rPr>
                <w:rFonts w:ascii="宋体" w:hAnsi="宋体" w:cs="宋体" w:hint="eastAsia"/>
                <w:b/>
                <w:sz w:val="22"/>
                <w:szCs w:val="22"/>
              </w:rPr>
              <w:t>在发生巨额赎回</w:t>
            </w:r>
            <w:r>
              <w:rPr>
                <w:rFonts w:ascii="宋体" w:hAnsi="宋体" w:cs="宋体" w:hint="eastAsia"/>
                <w:b/>
                <w:sz w:val="22"/>
                <w:szCs w:val="22"/>
                <w:lang w:eastAsia="zh-Hans"/>
              </w:rPr>
              <w:t>及连续巨额赎回</w:t>
            </w:r>
            <w:r>
              <w:rPr>
                <w:rFonts w:ascii="宋体" w:hAnsi="宋体" w:cs="宋体" w:hint="eastAsia"/>
                <w:b/>
                <w:sz w:val="22"/>
                <w:szCs w:val="22"/>
              </w:rPr>
              <w:t>时，管理人有权依照理财计划当时的资产组合状况选择全额赎回、部分赎回或延缓支付赎回款项。</w:t>
            </w:r>
          </w:p>
          <w:p w:rsidR="003252C2" w:rsidRDefault="00F10458">
            <w:pPr>
              <w:adjustRightInd w:val="0"/>
              <w:snapToGrid w:val="0"/>
              <w:spacing w:line="300" w:lineRule="auto"/>
              <w:rPr>
                <w:rFonts w:ascii="宋体" w:hAnsi="宋体"/>
                <w:sz w:val="22"/>
                <w:szCs w:val="22"/>
              </w:rPr>
            </w:pPr>
            <w:r>
              <w:rPr>
                <w:rFonts w:ascii="宋体" w:hAnsi="宋体" w:cs="宋体" w:hint="eastAsia"/>
                <w:bCs/>
                <w:sz w:val="22"/>
                <w:szCs w:val="22"/>
              </w:rPr>
              <w:t>详细内容见</w:t>
            </w:r>
            <w:r>
              <w:rPr>
                <w:rFonts w:ascii="宋体" w:hAnsi="宋体" w:cs="宋体" w:hint="eastAsia"/>
                <w:sz w:val="22"/>
                <w:szCs w:val="22"/>
              </w:rPr>
              <w:t>本《产品说明书》之“</w:t>
            </w:r>
            <w:r>
              <w:rPr>
                <w:rFonts w:ascii="宋体" w:hAnsi="宋体" w:cs="宋体" w:hint="eastAsia"/>
                <w:b/>
                <w:sz w:val="22"/>
                <w:szCs w:val="22"/>
              </w:rPr>
              <w:t>理财计划申购、赎回</w:t>
            </w:r>
            <w:r>
              <w:rPr>
                <w:rFonts w:ascii="宋体" w:hAnsi="宋体" w:cs="宋体" w:hint="eastAsia"/>
                <w:sz w:val="22"/>
                <w:szCs w:val="22"/>
              </w:rPr>
              <w:t>”。</w:t>
            </w:r>
          </w:p>
        </w:tc>
      </w:tr>
      <w:tr w:rsidR="003252C2">
        <w:tc>
          <w:tcPr>
            <w:tcW w:w="1872" w:type="dxa"/>
          </w:tcPr>
          <w:p w:rsidR="003252C2" w:rsidRDefault="00F10458">
            <w:pPr>
              <w:adjustRightInd w:val="0"/>
              <w:snapToGrid w:val="0"/>
              <w:spacing w:line="300" w:lineRule="auto"/>
              <w:rPr>
                <w:rFonts w:ascii="宋体" w:hAnsi="宋体"/>
                <w:sz w:val="22"/>
                <w:szCs w:val="22"/>
              </w:rPr>
            </w:pPr>
            <w:r>
              <w:rPr>
                <w:rFonts w:ascii="宋体" w:hAnsi="宋体"/>
                <w:sz w:val="22"/>
                <w:szCs w:val="22"/>
              </w:rPr>
              <w:t>税款</w:t>
            </w:r>
          </w:p>
        </w:tc>
        <w:tc>
          <w:tcPr>
            <w:tcW w:w="6542" w:type="dxa"/>
          </w:tcPr>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运作过程中涉及的各纳税主体，其纳税义务按国家税收法律、法规执行。除法律法规特别要求外，投资者应缴纳的税收由投资者负责，产品管理人不承担代扣代缴或纳税的义务。理财计划在资产管理、运营、处置过程中产生的收入，根据国家相关法律法规应缴纳增值税（含增值税附加税费，下同）及/或其他税费的，即使本产品管理人被税务机关认定为纳税义务人，该等增值税及/或其他税费仍属于应由理财计划承担的理财计划税费，由本产品管理人申报和缴纳，该等税款直接从理财计划中扣付缴纳。详细内容见 “</w:t>
            </w:r>
            <w:r>
              <w:rPr>
                <w:rFonts w:asciiTheme="minorEastAsia" w:eastAsiaTheme="minorEastAsia" w:hAnsiTheme="minorEastAsia" w:hint="eastAsia"/>
                <w:b/>
                <w:sz w:val="22"/>
                <w:szCs w:val="22"/>
              </w:rPr>
              <w:t>理财计划税费</w:t>
            </w:r>
            <w:r>
              <w:rPr>
                <w:rFonts w:asciiTheme="minorEastAsia" w:eastAsiaTheme="minorEastAsia" w:hAnsiTheme="minorEastAsia" w:hint="eastAsia"/>
                <w:sz w:val="22"/>
                <w:szCs w:val="22"/>
              </w:rPr>
              <w:t>”。</w:t>
            </w:r>
          </w:p>
          <w:p w:rsidR="003252C2" w:rsidRDefault="00F10458">
            <w:pPr>
              <w:spacing w:line="276" w:lineRule="auto"/>
              <w:rPr>
                <w:rFonts w:asciiTheme="minorEastAsia" w:eastAsiaTheme="minorEastAsia" w:hAnsiTheme="minorEastAsia"/>
                <w:sz w:val="22"/>
                <w:szCs w:val="22"/>
              </w:rPr>
            </w:pPr>
            <w:r>
              <w:rPr>
                <w:rFonts w:asciiTheme="minorEastAsia" w:eastAsiaTheme="minorEastAsia" w:hAnsiTheme="minorEastAsia" w:hint="eastAsia"/>
                <w:sz w:val="22"/>
                <w:szCs w:val="22"/>
              </w:rPr>
              <w:t>若税费政策调整，可能影响理财计划投资收益情况。</w:t>
            </w:r>
          </w:p>
        </w:tc>
      </w:tr>
    </w:tbl>
    <w:p w:rsidR="003252C2" w:rsidRDefault="003252C2">
      <w:pPr>
        <w:rPr>
          <w:rFonts w:ascii="宋体" w:hAnsi="宋体" w:cs="Arial"/>
          <w:b/>
          <w:sz w:val="24"/>
        </w:rPr>
      </w:pPr>
    </w:p>
    <w:p w:rsidR="003252C2" w:rsidRDefault="003252C2">
      <w:pPr>
        <w:adjustRightInd w:val="0"/>
        <w:snapToGrid w:val="0"/>
        <w:spacing w:line="300" w:lineRule="auto"/>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w:t>
      </w:r>
      <w:r>
        <w:rPr>
          <w:rFonts w:asciiTheme="minorEastAsia" w:eastAsiaTheme="minorEastAsia" w:hAnsiTheme="minorEastAsia"/>
          <w:b/>
          <w:sz w:val="22"/>
          <w:szCs w:val="22"/>
        </w:rPr>
        <w:t>计划</w:t>
      </w:r>
      <w:r>
        <w:rPr>
          <w:rFonts w:asciiTheme="minorEastAsia" w:eastAsiaTheme="minorEastAsia" w:hAnsiTheme="minorEastAsia" w:hint="eastAsia"/>
          <w:b/>
          <w:sz w:val="22"/>
          <w:szCs w:val="22"/>
        </w:rPr>
        <w:t>的投资目标、范围和比例</w:t>
      </w: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（一）投资目标</w:t>
      </w:r>
    </w:p>
    <w:p w:rsidR="003252C2" w:rsidRDefault="00F10458">
      <w:pPr>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在严格控制风险的前提下，通过深入分析国内外宏观经济走势、宏观经济政策对金融市场的影响，力争在满足投资者流动性需求的同时，为投资者提供稳定的收益。</w:t>
      </w:r>
    </w:p>
    <w:p w:rsidR="003252C2" w:rsidRDefault="00F10458">
      <w:pPr>
        <w:rPr>
          <w:rFonts w:ascii="宋体" w:hAnsi="宋体"/>
          <w:b/>
          <w:bCs/>
          <w:sz w:val="22"/>
          <w:szCs w:val="22"/>
        </w:rPr>
      </w:pPr>
      <w:r>
        <w:rPr>
          <w:rFonts w:ascii="宋体" w:hAnsi="宋体" w:hint="eastAsia"/>
          <w:b/>
          <w:bCs/>
          <w:sz w:val="22"/>
          <w:szCs w:val="22"/>
        </w:rPr>
        <w:t>（二）投资范围</w:t>
      </w:r>
    </w:p>
    <w:p w:rsidR="003252C2" w:rsidRDefault="00F10458">
      <w:pPr>
        <w:snapToGrid w:val="0"/>
        <w:spacing w:line="300" w:lineRule="auto"/>
        <w:ind w:firstLine="420"/>
        <w:rPr>
          <w:rFonts w:asciiTheme="minorEastAsia" w:eastAsiaTheme="minorEastAsia" w:hAnsiTheme="minorEastAsia"/>
          <w:sz w:val="22"/>
          <w:szCs w:val="22"/>
        </w:rPr>
      </w:pPr>
      <w:bookmarkStart w:id="3" w:name="_Hlk41846326"/>
      <w:r>
        <w:rPr>
          <w:rFonts w:asciiTheme="minorEastAsia" w:eastAsiaTheme="minorEastAsia" w:hAnsiTheme="minorEastAsia" w:hint="eastAsia"/>
          <w:sz w:val="22"/>
          <w:szCs w:val="22"/>
        </w:rPr>
        <w:t>本理财计划理财资金可直接或通过信托计划、资产管理计划等资产管理产品间接投资于以下金融资产和金融工具：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包括但不限于</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1、现金；</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2、期限在1年以内（含1年）的银行存款、债券回购、中央银行票据、同业存单；</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3、剩余期限在397天以内（含397天）的债券（包括非金融企业债务融资工具）、在银行间市场和证券交易所市场发行的资产支持证券；</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4、</w:t>
      </w:r>
      <w:r w:rsidR="00527821">
        <w:rPr>
          <w:rFonts w:asciiTheme="minorEastAsia" w:eastAsiaTheme="minorEastAsia" w:hAnsiTheme="minorEastAsia" w:hint="eastAsia"/>
          <w:sz w:val="22"/>
          <w:szCs w:val="22"/>
        </w:rPr>
        <w:t>监管机构</w:t>
      </w:r>
      <w:r>
        <w:rPr>
          <w:rFonts w:asciiTheme="minorEastAsia" w:eastAsiaTheme="minorEastAsia" w:hAnsiTheme="minorEastAsia"/>
          <w:sz w:val="22"/>
          <w:szCs w:val="22"/>
        </w:rPr>
        <w:t>认可的其他具有良好流动性的货币市场工具。</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5、以及其他符合监管规定的金融资产等。</w:t>
      </w:r>
    </w:p>
    <w:p w:rsidR="003252C2" w:rsidRDefault="00F10458">
      <w:pPr>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在遵守相关法律法规、监管规则及本产品说明书约定，避免不公平交易、利益输送等违法违规行为的前提下，投资者知晓并同意本理财计划的投资对象可能包括理财计划管理人/托管人/销售服务机构及其关联方发行、承销、管理的符合本理财计划投资范围规定的投资产品，本理财计划可能与理财计划管理人/托管人/销售服务机构及其关联方、理财计划管理人/托管人/销售服务机构及其关联方管理的投资组合之间互为交易对手或从事其他类型的关联交易。</w:t>
      </w:r>
    </w:p>
    <w:bookmarkEnd w:id="3"/>
    <w:p w:rsidR="003252C2" w:rsidRDefault="00F10458">
      <w:pPr>
        <w:rPr>
          <w:rFonts w:ascii="宋体" w:hAnsi="宋体"/>
          <w:b/>
          <w:bCs/>
          <w:sz w:val="22"/>
          <w:szCs w:val="22"/>
        </w:rPr>
      </w:pPr>
      <w:r>
        <w:rPr>
          <w:rFonts w:ascii="宋体" w:hAnsi="宋体" w:hint="eastAsia"/>
          <w:b/>
          <w:bCs/>
          <w:sz w:val="22"/>
          <w:szCs w:val="22"/>
        </w:rPr>
        <w:lastRenderedPageBreak/>
        <w:t>（三）投资比例</w:t>
      </w:r>
    </w:p>
    <w:p w:rsidR="003252C2" w:rsidRDefault="00F10458">
      <w:pPr>
        <w:ind w:firstLine="420"/>
        <w:rPr>
          <w:rFonts w:ascii="宋体" w:hAnsi="宋体"/>
          <w:sz w:val="22"/>
          <w:szCs w:val="22"/>
        </w:rPr>
      </w:pPr>
      <w:r>
        <w:rPr>
          <w:rFonts w:ascii="宋体" w:hAnsi="宋体" w:hint="eastAsia"/>
          <w:sz w:val="22"/>
          <w:szCs w:val="22"/>
        </w:rPr>
        <w:t>各投资品种的计划配置比例如下：</w:t>
      </w:r>
    </w:p>
    <w:tbl>
      <w:tblPr>
        <w:tblW w:w="850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3681"/>
        <w:gridCol w:w="4824"/>
      </w:tblGrid>
      <w:tr w:rsidR="003252C2">
        <w:trPr>
          <w:trHeight w:val="516"/>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投资品种</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b/>
                <w:sz w:val="22"/>
                <w:szCs w:val="22"/>
              </w:rPr>
            </w:pPr>
            <w:r>
              <w:rPr>
                <w:rFonts w:ascii="宋体" w:hAnsi="宋体" w:hint="eastAsia"/>
                <w:b/>
                <w:sz w:val="22"/>
                <w:szCs w:val="22"/>
              </w:rPr>
              <w:t>计划配置比例</w:t>
            </w:r>
          </w:p>
        </w:tc>
      </w:tr>
      <w:tr w:rsidR="003252C2">
        <w:trPr>
          <w:trHeight w:val="309"/>
          <w:jc w:val="center"/>
        </w:trPr>
        <w:tc>
          <w:tcPr>
            <w:tcW w:w="3681" w:type="dxa"/>
            <w:tcBorders>
              <w:top w:val="single" w:sz="4" w:space="0" w:color="000000"/>
              <w:bottom w:val="single" w:sz="4" w:space="0" w:color="000000"/>
              <w:right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固定收益类资产</w:t>
            </w:r>
          </w:p>
        </w:tc>
        <w:tc>
          <w:tcPr>
            <w:tcW w:w="4824" w:type="dxa"/>
            <w:tcBorders>
              <w:top w:val="single" w:sz="4" w:space="0" w:color="000000"/>
              <w:left w:val="single" w:sz="4" w:space="0" w:color="000000"/>
              <w:bottom w:val="single" w:sz="4" w:space="0" w:color="000000"/>
            </w:tcBorders>
            <w:vAlign w:val="center"/>
          </w:tcPr>
          <w:p w:rsidR="003252C2" w:rsidRDefault="00F10458">
            <w:pPr>
              <w:jc w:val="center"/>
              <w:rPr>
                <w:rFonts w:ascii="宋体" w:hAnsi="宋体"/>
                <w:sz w:val="22"/>
                <w:szCs w:val="22"/>
              </w:rPr>
            </w:pPr>
            <w:r>
              <w:rPr>
                <w:rFonts w:ascii="宋体" w:hAnsi="宋体" w:hint="eastAsia"/>
                <w:sz w:val="22"/>
                <w:szCs w:val="22"/>
              </w:rPr>
              <w:t>不低于80</w:t>
            </w:r>
            <w:r>
              <w:rPr>
                <w:rFonts w:ascii="宋体" w:hAnsi="宋体"/>
                <w:sz w:val="22"/>
                <w:szCs w:val="22"/>
              </w:rPr>
              <w:t>%</w:t>
            </w:r>
          </w:p>
        </w:tc>
      </w:tr>
    </w:tbl>
    <w:p w:rsidR="003252C2" w:rsidRDefault="003252C2">
      <w:pPr>
        <w:rPr>
          <w:rFonts w:ascii="宋体" w:hAnsi="宋体"/>
          <w:sz w:val="22"/>
          <w:szCs w:val="22"/>
        </w:rPr>
      </w:pPr>
    </w:p>
    <w:p w:rsidR="003252C2" w:rsidRDefault="00F10458">
      <w:pPr>
        <w:adjustRightInd w:val="0"/>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投资管理人应当自理财计划成立日起三个月内使理财计划的投资比例符合约定。非因管理人主观因素导致不足前述比例的，管理人将尽力在</w:t>
      </w:r>
      <w:r>
        <w:rPr>
          <w:rFonts w:asciiTheme="minorEastAsia" w:eastAsiaTheme="minorEastAsia" w:hAnsiTheme="minorEastAsia"/>
          <w:sz w:val="22"/>
          <w:szCs w:val="22"/>
        </w:rPr>
        <w:t>15</w:t>
      </w:r>
      <w:r>
        <w:rPr>
          <w:rFonts w:asciiTheme="minorEastAsia" w:eastAsiaTheme="minorEastAsia" w:hAnsiTheme="minorEastAsia" w:hint="eastAsia"/>
          <w:sz w:val="22"/>
          <w:szCs w:val="22"/>
        </w:rPr>
        <w:t>个交易日内调整至符合相关要求。</w:t>
      </w:r>
    </w:p>
    <w:p w:rsidR="003252C2" w:rsidRDefault="00F10458">
      <w:pPr>
        <w:snapToGrid w:val="0"/>
        <w:spacing w:line="300" w:lineRule="auto"/>
        <w:ind w:firstLine="330"/>
        <w:rPr>
          <w:rFonts w:asciiTheme="minorEastAsia" w:eastAsiaTheme="minorEastAsia" w:hAnsiTheme="minorEastAsia"/>
          <w:sz w:val="22"/>
          <w:szCs w:val="22"/>
        </w:rPr>
      </w:pPr>
      <w:r>
        <w:rPr>
          <w:rFonts w:asciiTheme="minorEastAsia" w:eastAsiaTheme="minorEastAsia" w:hAnsiTheme="minorEastAsia" w:hint="eastAsia"/>
          <w:sz w:val="22"/>
          <w:szCs w:val="22"/>
        </w:rPr>
        <w:t>相关法律法规和</w:t>
      </w:r>
      <w:r>
        <w:rPr>
          <w:rFonts w:asciiTheme="minorEastAsia" w:eastAsiaTheme="minorEastAsia" w:hAnsiTheme="minorEastAsia"/>
          <w:sz w:val="22"/>
          <w:szCs w:val="22"/>
        </w:rPr>
        <w:t>监管</w:t>
      </w:r>
      <w:r>
        <w:rPr>
          <w:rFonts w:asciiTheme="minorEastAsia" w:eastAsiaTheme="minorEastAsia" w:hAnsiTheme="minorEastAsia" w:hint="eastAsia"/>
          <w:sz w:val="22"/>
          <w:szCs w:val="22"/>
        </w:rPr>
        <w:t>部门对以上投资范围和配置比例有另行规定的，按照监管最新规定执行。如监管对投资比例无其他明确规定和要求的，由产品管理人与托管人协商确定计算方法。</w:t>
      </w:r>
    </w:p>
    <w:p w:rsidR="003252C2" w:rsidRDefault="00F10458">
      <w:pPr>
        <w:snapToGrid w:val="0"/>
        <w:spacing w:line="300" w:lineRule="auto"/>
        <w:rPr>
          <w:rFonts w:asciiTheme="minorEastAsia" w:eastAsiaTheme="minorEastAsia" w:hAnsiTheme="minorEastAsia"/>
          <w:b/>
          <w:sz w:val="22"/>
          <w:szCs w:val="22"/>
          <w:shd w:val="clear" w:color="auto" w:fill="FFFFFF"/>
        </w:rPr>
      </w:pPr>
      <w:r>
        <w:rPr>
          <w:rFonts w:asciiTheme="minorEastAsia" w:eastAsiaTheme="minorEastAsia" w:hAnsiTheme="minorEastAsia" w:hint="eastAsia"/>
          <w:b/>
          <w:bCs/>
          <w:color w:val="000000"/>
          <w:kern w:val="0"/>
          <w:sz w:val="22"/>
          <w:szCs w:val="22"/>
          <w:lang w:val="zh-CN"/>
        </w:rPr>
        <w:t>（四）投资限制</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对本产品的集中度要求如下：</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1）本理财产品投资于单只证券或单只公募证券投资基金的市值不超过本产品净资产的10%。</w:t>
      </w:r>
      <w:r>
        <w:rPr>
          <w:rFonts w:asciiTheme="minorEastAsia" w:eastAsiaTheme="minorEastAsia" w:hAnsiTheme="minorEastAsia"/>
          <w:sz w:val="22"/>
          <w:szCs w:val="22"/>
        </w:rPr>
        <w:t>投资于国债、地方政府债、央票、政府机构债、政策性银行债的除外。</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w:t>
      </w:r>
      <w:r>
        <w:rPr>
          <w:rFonts w:asciiTheme="minorEastAsia" w:eastAsiaTheme="minorEastAsia" w:hAnsiTheme="minorEastAsia"/>
          <w:bCs/>
          <w:color w:val="000000"/>
          <w:kern w:val="0"/>
          <w:sz w:val="22"/>
          <w:szCs w:val="22"/>
          <w:lang w:val="zh-CN"/>
        </w:rPr>
        <w:t>2）</w:t>
      </w:r>
      <w:r>
        <w:rPr>
          <w:rFonts w:asciiTheme="minorEastAsia" w:eastAsiaTheme="minorEastAsia" w:hAnsiTheme="minorEastAsia" w:hint="eastAsia"/>
          <w:bCs/>
          <w:color w:val="000000"/>
          <w:kern w:val="0"/>
          <w:sz w:val="22"/>
          <w:szCs w:val="22"/>
          <w:lang w:val="zh-CN"/>
        </w:rPr>
        <w:t>管理人发行的全部公募理财产品投资单只证券或者单只证券投资基金的市值不得超过该证券市值或者证券投资基金市值的</w:t>
      </w:r>
      <w:r>
        <w:rPr>
          <w:rFonts w:asciiTheme="minorEastAsia" w:eastAsiaTheme="minorEastAsia" w:hAnsiTheme="minorEastAsia"/>
          <w:bCs/>
          <w:color w:val="000000"/>
          <w:kern w:val="0"/>
          <w:sz w:val="22"/>
          <w:szCs w:val="22"/>
          <w:lang w:val="zh-CN"/>
        </w:rPr>
        <w:t>30%。</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（3）本理财产品投资于同一机构发行的债券及其作为原始权益人的资产支持证券的比例合计不得超过本理财产品资产净值的10%，投资于国债、中央银行票据、政策性金融债券的除外。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投资于所有主体信用评级低于AAA的机构发行的金融工具的比例合计不得超过本理财产品资产净值的10%，其中单一机构发行的金融工具的比例合计不得超过本理财产品资产净值的2%；本款所称金融工具包括债券、银行存款、同业存单、相关机构作为原始权益人的资产支持证券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认可的其他金融工具。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本理财产品投资于有固定期限银行存款的比例合计不得超过本理财产品资产净值的30%，投资于有存款期限，根据协议可提前支取的银行存款除外；本理财产品投资于主体信用评级为AAA的同一商业银行的银行存款、同业存单占本理财产品资产净值的比例合计不得超过20%。</w:t>
      </w:r>
    </w:p>
    <w:p w:rsidR="003252C2" w:rsidRDefault="00F10458">
      <w:pPr>
        <w:tabs>
          <w:tab w:val="left" w:pos="360"/>
        </w:tabs>
        <w:adjustRightInd w:val="0"/>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sz w:val="22"/>
          <w:szCs w:val="22"/>
        </w:rPr>
        <w:t>（6）管理人管理的全部现金管理类产品投资于同一商业银行的存款、同业存单和债券，不得超过该商业银行最近一个季度末净资产的10%。</w:t>
      </w:r>
    </w:p>
    <w:p w:rsidR="003252C2" w:rsidRDefault="00F10458">
      <w:pPr>
        <w:snapToGrid w:val="0"/>
        <w:spacing w:line="300" w:lineRule="auto"/>
        <w:rPr>
          <w:rFonts w:asciiTheme="minorEastAsia" w:eastAsiaTheme="minorEastAsia" w:hAnsiTheme="minorEastAsia"/>
          <w:bCs/>
          <w:color w:val="000000"/>
          <w:kern w:val="0"/>
          <w:sz w:val="22"/>
          <w:szCs w:val="22"/>
          <w:lang w:val="zh-CN"/>
        </w:rPr>
      </w:pPr>
      <w:r>
        <w:rPr>
          <w:rFonts w:asciiTheme="minorEastAsia" w:eastAsiaTheme="minorEastAsia" w:hAnsiTheme="minorEastAsia" w:hint="eastAsia"/>
          <w:bCs/>
          <w:color w:val="000000"/>
          <w:kern w:val="0"/>
          <w:sz w:val="22"/>
          <w:szCs w:val="22"/>
          <w:lang w:val="zh-CN"/>
        </w:rPr>
        <w:t>因非管理人主观因素致使不符合上述第（1）项、第（2）项比例限制的，</w:t>
      </w:r>
      <w:r>
        <w:rPr>
          <w:rFonts w:asciiTheme="minorEastAsia" w:eastAsiaTheme="minorEastAsia" w:hAnsiTheme="minorEastAsia" w:cs="Arial"/>
          <w:bCs/>
          <w:color w:val="000000"/>
          <w:kern w:val="0"/>
          <w:sz w:val="22"/>
          <w:szCs w:val="22"/>
          <w:lang w:val="zh-CN"/>
        </w:rPr>
        <w:t>管理人</w:t>
      </w:r>
      <w:r>
        <w:rPr>
          <w:rFonts w:asciiTheme="minorEastAsia" w:eastAsiaTheme="minorEastAsia" w:hAnsiTheme="minorEastAsia" w:cs="Arial"/>
          <w:sz w:val="22"/>
          <w:szCs w:val="22"/>
        </w:rPr>
        <w:t>将在流动性受限资产可出售、可转让或者恢复交易的</w:t>
      </w:r>
      <w:r>
        <w:rPr>
          <w:rFonts w:asciiTheme="minorEastAsia" w:eastAsiaTheme="minorEastAsia" w:hAnsiTheme="minorEastAsia"/>
          <w:bCs/>
          <w:color w:val="000000"/>
          <w:kern w:val="0"/>
          <w:sz w:val="22"/>
          <w:szCs w:val="22"/>
          <w:lang w:val="zh-CN"/>
        </w:rPr>
        <w:t>10个交易日内调整</w:t>
      </w:r>
      <w:r>
        <w:rPr>
          <w:rFonts w:asciiTheme="minorEastAsia" w:eastAsiaTheme="minorEastAsia" w:hAnsiTheme="minorEastAsia" w:cs="Arial"/>
          <w:bCs/>
          <w:color w:val="000000"/>
          <w:kern w:val="0"/>
          <w:sz w:val="22"/>
          <w:szCs w:val="22"/>
          <w:lang w:val="zh-CN"/>
        </w:rPr>
        <w:t>至符合相关要求</w:t>
      </w:r>
      <w:r>
        <w:rPr>
          <w:rFonts w:asciiTheme="minorEastAsia" w:eastAsiaTheme="minorEastAsia" w:hAnsiTheme="minorEastAsia" w:hint="eastAsia"/>
          <w:bCs/>
          <w:color w:val="000000"/>
          <w:kern w:val="0"/>
          <w:sz w:val="22"/>
          <w:szCs w:val="22"/>
          <w:lang w:val="zh-CN"/>
        </w:rPr>
        <w:t>。</w:t>
      </w:r>
    </w:p>
    <w:p w:rsidR="003252C2" w:rsidRDefault="00F10458">
      <w:pPr>
        <w:snapToGrid w:val="0"/>
        <w:spacing w:line="300" w:lineRule="auto"/>
        <w:rPr>
          <w:rFonts w:asciiTheme="majorEastAsia" w:eastAsiaTheme="majorEastAsia" w:hAnsiTheme="majorEastAsia" w:cs="Arial"/>
          <w:bCs/>
          <w:color w:val="000000"/>
          <w:kern w:val="0"/>
          <w:sz w:val="22"/>
          <w:lang w:val="zh-CN"/>
        </w:rPr>
      </w:pPr>
      <w:r>
        <w:rPr>
          <w:rFonts w:asciiTheme="majorEastAsia" w:eastAsiaTheme="majorEastAsia" w:hAnsiTheme="majorEastAsia" w:cs="Arial" w:hint="eastAsia"/>
          <w:bCs/>
          <w:color w:val="000000"/>
          <w:kern w:val="0"/>
          <w:sz w:val="22"/>
          <w:lang w:val="zh-CN"/>
        </w:rPr>
        <w:t>因非管理人主观因素导致突破上述第（3）项至第（6）项比例限制的，管理人应当在10个交易日内调整至符合要求，</w:t>
      </w:r>
      <w:r w:rsidR="00527821">
        <w:rPr>
          <w:rFonts w:asciiTheme="majorEastAsia" w:eastAsiaTheme="majorEastAsia" w:hAnsiTheme="majorEastAsia" w:cs="Arial" w:hint="eastAsia"/>
          <w:bCs/>
          <w:color w:val="000000"/>
          <w:kern w:val="0"/>
          <w:sz w:val="22"/>
          <w:lang w:val="zh-CN"/>
        </w:rPr>
        <w:t>及监管机构</w:t>
      </w:r>
      <w:r>
        <w:rPr>
          <w:rFonts w:asciiTheme="majorEastAsia" w:eastAsiaTheme="majorEastAsia" w:hAnsiTheme="majorEastAsia" w:cs="Arial" w:hint="eastAsia"/>
          <w:bCs/>
          <w:color w:val="000000"/>
          <w:kern w:val="0"/>
          <w:sz w:val="22"/>
          <w:lang w:val="zh-CN"/>
        </w:rPr>
        <w:t>规定的特殊情形除外。</w:t>
      </w:r>
    </w:p>
    <w:p w:rsidR="003252C2" w:rsidRDefault="00F10458">
      <w:pPr>
        <w:snapToGrid w:val="0"/>
        <w:spacing w:line="300" w:lineRule="auto"/>
        <w:rPr>
          <w:rFonts w:asciiTheme="minorEastAsia" w:eastAsiaTheme="minorEastAsia" w:hAnsiTheme="minorEastAsia"/>
          <w:bCs/>
          <w:color w:val="000000"/>
          <w:kern w:val="0"/>
          <w:sz w:val="22"/>
          <w:szCs w:val="22"/>
        </w:rPr>
      </w:pPr>
      <w:r>
        <w:rPr>
          <w:rFonts w:asciiTheme="minorEastAsia" w:eastAsiaTheme="minorEastAsia" w:hAnsiTheme="minorEastAsia" w:hint="eastAsia"/>
          <w:bCs/>
          <w:color w:val="000000"/>
          <w:kern w:val="0"/>
          <w:sz w:val="22"/>
          <w:szCs w:val="22"/>
        </w:rPr>
        <w:t>本理财产品拟投资于主体信用评级低于AA＋的商业银行的银行存款与同业存单的，应当经管理人董事会审议批准，相关交易应当事先告知托管人，并作为重大事项履行信息披露程序。</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本理财产品不得投资以下金融工具：</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（1）股票；</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（2）可转换债券、可交换债券；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（3）以定期存款利率为基准利率的浮动利率债券，已进入最后一个利率调整期的除外；</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（4）信用等级在AA＋以下的债券、资产支持证券；</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禁止投资的其他金融工具。</w:t>
      </w:r>
    </w:p>
    <w:p w:rsidR="003252C2" w:rsidRDefault="00F10458">
      <w:pPr>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前述债券的信用等级应当主要参照最近一个会计年度的主体信用评级，如果对发行人同时有两家以上境内评级机构评级的，应当选择使用评级较低、违约概率较大的外部评级结果，并结合管理人内部评级进行独立判断和认定。</w:t>
      </w:r>
    </w:p>
    <w:p w:rsidR="003252C2" w:rsidRDefault="00F10458">
      <w:pPr>
        <w:numPr>
          <w:ilvl w:val="0"/>
          <w:numId w:val="3"/>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本产品应当确保持有足够的具有良好流动性的资产，并符合以下要求：</w:t>
      </w:r>
    </w:p>
    <w:p w:rsidR="003252C2" w:rsidRDefault="00F10458">
      <w:pPr>
        <w:tabs>
          <w:tab w:val="left" w:pos="0"/>
          <w:tab w:val="left" w:pos="360"/>
        </w:tabs>
        <w:adjustRightInd w:val="0"/>
        <w:snapToGrid w:val="0"/>
        <w:spacing w:line="300" w:lineRule="auto"/>
        <w:rPr>
          <w:rFonts w:ascii="宋体" w:hAnsi="宋体"/>
          <w:sz w:val="22"/>
          <w:szCs w:val="22"/>
        </w:rPr>
      </w:pPr>
      <w:r>
        <w:rPr>
          <w:rFonts w:asciiTheme="majorEastAsia" w:eastAsiaTheme="majorEastAsia" w:hAnsiTheme="majorEastAsia" w:cs="Arial" w:hint="eastAsia"/>
          <w:bCs/>
          <w:color w:val="000000"/>
          <w:kern w:val="0"/>
          <w:sz w:val="22"/>
          <w:lang w:val="zh-CN"/>
        </w:rPr>
        <w:t>（1）</w:t>
      </w:r>
      <w:r>
        <w:rPr>
          <w:rFonts w:asciiTheme="majorEastAsia" w:eastAsiaTheme="majorEastAsia" w:hAnsiTheme="majorEastAsia" w:cs="Arial"/>
          <w:bCs/>
          <w:color w:val="000000"/>
          <w:kern w:val="0"/>
          <w:sz w:val="22"/>
          <w:lang w:val="zh-CN"/>
        </w:rPr>
        <w:t>本</w:t>
      </w:r>
      <w:r>
        <w:rPr>
          <w:rFonts w:ascii="宋体" w:hAnsi="宋体" w:hint="eastAsia"/>
          <w:sz w:val="22"/>
          <w:szCs w:val="22"/>
        </w:rPr>
        <w:t>理财产品持有不低于本理财产品资产净值5%的现金、国债、中央银行票据、政策性金融债券。</w:t>
      </w:r>
    </w:p>
    <w:p w:rsidR="003252C2" w:rsidRDefault="00F10458">
      <w:pPr>
        <w:tabs>
          <w:tab w:val="left" w:pos="0"/>
          <w:tab w:val="left" w:pos="360"/>
        </w:tabs>
        <w:adjustRightInd w:val="0"/>
        <w:snapToGrid w:val="0"/>
        <w:spacing w:line="300" w:lineRule="auto"/>
        <w:rPr>
          <w:rFonts w:ascii="宋体" w:hAnsi="宋体"/>
          <w:sz w:val="22"/>
          <w:szCs w:val="22"/>
        </w:rPr>
      </w:pPr>
      <w:r>
        <w:rPr>
          <w:rFonts w:ascii="宋体" w:hAnsi="宋体" w:hint="eastAsia"/>
          <w:sz w:val="22"/>
          <w:szCs w:val="22"/>
        </w:rPr>
        <w:t>（2）本理财产品持有不低于本理财产品资产净值10%的现金、国债、中央银行票据、政策性金融债券以及五个交易日内到期的其他金融工具。</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（3）本理财产品投资于流动性受限资产的市值合计不得超过本产品净资产的1</w:t>
      </w:r>
      <w:r>
        <w:rPr>
          <w:rFonts w:asciiTheme="minorEastAsia" w:eastAsiaTheme="minorEastAsia" w:hAnsiTheme="minorEastAsia"/>
          <w:sz w:val="22"/>
          <w:szCs w:val="22"/>
        </w:rPr>
        <w:t>0</w:t>
      </w:r>
      <w:r>
        <w:rPr>
          <w:rFonts w:asciiTheme="minorEastAsia" w:eastAsiaTheme="minorEastAsia" w:hAnsiTheme="minorEastAsia" w:hint="eastAsia"/>
          <w:sz w:val="22"/>
          <w:szCs w:val="22"/>
        </w:rPr>
        <w:t>%。</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（4）本理财产品的杠杆水平不得超过120%，发生巨额赎回、连续3个交易日累计赎回20%以上或者连续5个交易日累计赎回30%以上的情形除外。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因非管理人主观因素导致突破上述第（2）项、第（4）项比例限制的，管理人应当在10个交易日内调整至符合要求；因非管理人主观因素导致突破上述第（3）项比例限制的，管理人不得主动新增流动性受限资产的投资。</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4. </w:t>
      </w:r>
      <w:r>
        <w:rPr>
          <w:rFonts w:asciiTheme="majorEastAsia" w:eastAsiaTheme="majorEastAsia" w:hAnsiTheme="majorEastAsia" w:cs="Arial" w:hint="eastAsia"/>
          <w:bCs/>
          <w:color w:val="000000"/>
          <w:kern w:val="0"/>
          <w:sz w:val="22"/>
        </w:rPr>
        <w:t>本理财产品投资不存在活跃交易市场并且需要采用估值技术确定公允价值的资产比例不得达到或超过本理财产品净资产50%。</w:t>
      </w:r>
      <w:r>
        <w:rPr>
          <w:rFonts w:asciiTheme="majorEastAsia" w:eastAsiaTheme="majorEastAsia" w:hAnsiTheme="majorEastAsia" w:cs="Arial" w:hint="eastAsia"/>
          <w:bCs/>
          <w:color w:val="000000"/>
          <w:kern w:val="0"/>
          <w:sz w:val="22"/>
          <w:lang w:val="zh-CN"/>
        </w:rPr>
        <w:t>非因管理人主观因素导致突破前款规定比例限制的,本理财产品不得新增投资上述资产。</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5. </w:t>
      </w:r>
      <w:r>
        <w:rPr>
          <w:rFonts w:asciiTheme="majorEastAsia" w:eastAsiaTheme="majorEastAsia" w:hAnsiTheme="majorEastAsia" w:cs="Arial" w:hint="eastAsia"/>
          <w:bCs/>
          <w:color w:val="000000"/>
          <w:kern w:val="0"/>
          <w:sz w:val="22"/>
        </w:rPr>
        <w:t>在开放日前一工作日内，</w:t>
      </w:r>
      <w:r>
        <w:rPr>
          <w:rFonts w:hint="eastAsia"/>
        </w:rPr>
        <w:t>本理财产品</w:t>
      </w:r>
      <w:r>
        <w:rPr>
          <w:rFonts w:asciiTheme="majorEastAsia" w:eastAsiaTheme="majorEastAsia" w:hAnsiTheme="majorEastAsia" w:cs="Arial" w:hint="eastAsia"/>
          <w:bCs/>
          <w:color w:val="000000"/>
          <w:kern w:val="0"/>
          <w:sz w:val="22"/>
        </w:rPr>
        <w:t>7个工作日可变现资产的可变现价值应当不低于本产品净资产的10%。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6.</w:t>
      </w:r>
      <w:r>
        <w:rPr>
          <w:rFonts w:hint="eastAsia"/>
        </w:rPr>
        <w:t xml:space="preserve"> </w:t>
      </w:r>
      <w:r>
        <w:rPr>
          <w:rFonts w:hint="eastAsia"/>
        </w:rPr>
        <w:t>本理财</w:t>
      </w:r>
      <w:r>
        <w:rPr>
          <w:rFonts w:asciiTheme="majorEastAsia" w:eastAsiaTheme="majorEastAsia" w:hAnsiTheme="majorEastAsia" w:cs="Arial" w:hint="eastAsia"/>
          <w:bCs/>
          <w:color w:val="000000"/>
          <w:kern w:val="0"/>
          <w:sz w:val="22"/>
        </w:rPr>
        <w:t>产品投资组合的平均剩余期限不得超过120天，平均剩余存续期限不得超过240天。</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bCs/>
          <w:color w:val="000000"/>
          <w:kern w:val="0"/>
          <w:sz w:val="22"/>
        </w:rPr>
        <w:t xml:space="preserve">7. </w:t>
      </w:r>
      <w:r>
        <w:rPr>
          <w:rFonts w:asciiTheme="majorEastAsia" w:eastAsiaTheme="majorEastAsia" w:hAnsiTheme="majorEastAsia" w:cs="Arial" w:hint="eastAsia"/>
          <w:bCs/>
          <w:color w:val="000000"/>
          <w:kern w:val="0"/>
          <w:sz w:val="22"/>
        </w:rPr>
        <w:t>管理人应根据投资者集中度情况对投资组合实施调整，并遵守以下要求：</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1）当前10名投资者的持有份额合计超过本理财产品总份额的50%时，投资组合的平均剩余期限不得超过60天，平均剩余存续期限不得超过120天，投资组合中现金、国债、中央银行票据、政策性金融债券以及5个交易日内到期的其他金融工具占本理财产品资产净值的比例合计不得低于30%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2）当前10名投资者的持有份额合计超过本理财产品总份额的20%时，投资组合的平均剩余期限不得超过90天，平均剩余存续期限不得超过180天，投资组合中现金、国债、中央银行票据、政策性金融债券以及5个交易日内到期的其他金融工具占本理财产品资产净值的比例合计不得低于20%。</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非因管理人主观因素导致突破上述第（1）项、第（2）项比例限制的，管理人应当在10个交易日内调整至符合要求，</w:t>
      </w:r>
      <w:r w:rsidR="00527821">
        <w:rPr>
          <w:rFonts w:asciiTheme="majorEastAsia" w:eastAsiaTheme="majorEastAsia" w:hAnsiTheme="majorEastAsia" w:cs="Arial" w:hint="eastAsia"/>
          <w:bCs/>
          <w:color w:val="000000"/>
          <w:kern w:val="0"/>
          <w:sz w:val="22"/>
        </w:rPr>
        <w:t>监管机构</w:t>
      </w:r>
      <w:r>
        <w:rPr>
          <w:rFonts w:asciiTheme="majorEastAsia" w:eastAsiaTheme="majorEastAsia" w:hAnsiTheme="majorEastAsia" w:cs="Arial" w:hint="eastAsia"/>
          <w:bCs/>
          <w:color w:val="000000"/>
          <w:kern w:val="0"/>
          <w:sz w:val="22"/>
        </w:rPr>
        <w:t>规定的特殊情形除外。</w:t>
      </w:r>
    </w:p>
    <w:p w:rsidR="003252C2" w:rsidRDefault="00F10458">
      <w:pPr>
        <w:tabs>
          <w:tab w:val="left" w:pos="360"/>
        </w:tabs>
        <w:adjustRightInd w:val="0"/>
        <w:snapToGrid w:val="0"/>
        <w:spacing w:line="300" w:lineRule="auto"/>
        <w:rPr>
          <w:rFonts w:asciiTheme="majorEastAsia" w:eastAsiaTheme="majorEastAsia" w:hAnsiTheme="majorEastAsia" w:cs="Arial"/>
          <w:b/>
          <w:color w:val="000000"/>
          <w:kern w:val="0"/>
          <w:sz w:val="22"/>
        </w:rPr>
      </w:pPr>
      <w:r>
        <w:rPr>
          <w:rFonts w:asciiTheme="majorEastAsia" w:eastAsiaTheme="majorEastAsia" w:hAnsiTheme="majorEastAsia" w:cs="Arial" w:hint="eastAsia"/>
          <w:b/>
          <w:color w:val="000000"/>
          <w:kern w:val="0"/>
          <w:sz w:val="22"/>
        </w:rPr>
        <w:t>（五）本理财产品投资组合平均剩余期限的计算公式为：</w:t>
      </w:r>
    </w:p>
    <w:p w:rsidR="003252C2" w:rsidRDefault="00F10458">
      <w:pPr>
        <w:tabs>
          <w:tab w:val="left" w:pos="360"/>
        </w:tabs>
        <w:adjustRightInd w:val="0"/>
        <w:snapToGrid w:val="0"/>
        <w:spacing w:line="300" w:lineRule="auto"/>
        <w:rPr>
          <w:rFonts w:asciiTheme="majorEastAsia" w:eastAsiaTheme="majorEastAsia" w:hAnsiTheme="majorEastAsia" w:cs="Arial"/>
          <w:bCs/>
          <w:color w:val="000000"/>
          <w:kern w:val="0"/>
          <w:sz w:val="22"/>
        </w:rPr>
      </w:pPr>
      <w:r>
        <w:rPr>
          <w:rFonts w:asciiTheme="majorEastAsia" w:eastAsiaTheme="majorEastAsia" w:hAnsiTheme="majorEastAsia" w:cs="Arial" w:hint="eastAsia"/>
          <w:bCs/>
          <w:color w:val="000000"/>
          <w:kern w:val="0"/>
          <w:sz w:val="22"/>
        </w:rPr>
        <w:t>（∑本理财产品的资产×剩余期限—∑本理财产品的负债×剩余期限＋债券卖出回购×剩余期限）/（本理财产品的资产—本理财产品的负债＋债券卖出回购）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本理财产品投资组合平均剩余存续期限的计算公式为：</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（∑本理财产品的资产×剩余存续期限—∑本理财产品的负债×剩余存续期限＋债券卖出回购×剩余存续期限）/（本理财产品的资产—本理财产品的负债＋债券卖出回购）</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投资组合中债券的剩余期限和剩余存续期限是指计算日至债券到期日为止所剩余的天数，以下情况除外：</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允许投资的可变利率或者浮动利率债券的剩余期限以计算日至下一个利率调整日的实际剩余天数计算。</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允许投资的可变利率或者浮动利率债券的剩余存续期限以计算日至债券到期日的实际剩余天数计算。</w:t>
      </w:r>
    </w:p>
    <w:p w:rsidR="003252C2" w:rsidRDefault="00F10458">
      <w:pPr>
        <w:snapToGrid w:val="0"/>
        <w:spacing w:line="300" w:lineRule="auto"/>
        <w:rPr>
          <w:rFonts w:asciiTheme="minorEastAsia" w:eastAsiaTheme="minorEastAsia" w:hAnsiTheme="minorEastAsia"/>
          <w:sz w:val="22"/>
          <w:szCs w:val="22"/>
        </w:rPr>
      </w:pPr>
      <w:r>
        <w:rPr>
          <w:rFonts w:asciiTheme="majorEastAsia" w:eastAsiaTheme="majorEastAsia" w:hAnsiTheme="majorEastAsia" w:cs="Arial" w:hint="eastAsia"/>
          <w:b/>
          <w:color w:val="000000"/>
          <w:kern w:val="0"/>
          <w:sz w:val="22"/>
          <w:lang w:val="zh-CN"/>
        </w:rPr>
        <w:t>（六）</w:t>
      </w:r>
      <w:r>
        <w:rPr>
          <w:rFonts w:asciiTheme="majorEastAsia" w:eastAsiaTheme="majorEastAsia" w:hAnsiTheme="majorEastAsia" w:cs="Arial"/>
          <w:b/>
          <w:color w:val="000000"/>
          <w:kern w:val="0"/>
          <w:sz w:val="22"/>
          <w:lang w:val="zh-CN"/>
        </w:rPr>
        <w:t>如</w:t>
      </w:r>
      <w:r>
        <w:rPr>
          <w:rFonts w:asciiTheme="majorEastAsia" w:eastAsiaTheme="majorEastAsia" w:hAnsiTheme="majorEastAsia" w:cs="Arial" w:hint="eastAsia"/>
          <w:b/>
          <w:color w:val="000000"/>
          <w:kern w:val="0"/>
          <w:sz w:val="22"/>
          <w:lang w:val="zh-CN"/>
        </w:rPr>
        <w:t>法律法规或监管政策对上述限制</w:t>
      </w:r>
      <w:r>
        <w:rPr>
          <w:rFonts w:asciiTheme="majorEastAsia" w:eastAsiaTheme="majorEastAsia" w:hAnsiTheme="majorEastAsia" w:cs="Arial"/>
          <w:b/>
          <w:color w:val="000000"/>
          <w:kern w:val="0"/>
          <w:sz w:val="22"/>
          <w:lang w:val="zh-CN"/>
        </w:rPr>
        <w:t>有最新规定的，</w:t>
      </w:r>
      <w:r>
        <w:rPr>
          <w:rFonts w:asciiTheme="majorEastAsia" w:eastAsiaTheme="majorEastAsia" w:hAnsiTheme="majorEastAsia" w:cs="Arial" w:hint="eastAsia"/>
          <w:b/>
          <w:color w:val="000000"/>
          <w:kern w:val="0"/>
          <w:sz w:val="22"/>
          <w:lang w:val="zh-CN"/>
        </w:rPr>
        <w:t>可</w:t>
      </w:r>
      <w:r>
        <w:rPr>
          <w:rFonts w:asciiTheme="majorEastAsia" w:eastAsiaTheme="majorEastAsia" w:hAnsiTheme="majorEastAsia" w:cs="Arial"/>
          <w:b/>
          <w:color w:val="000000"/>
          <w:kern w:val="0"/>
          <w:sz w:val="22"/>
          <w:lang w:val="zh-CN"/>
        </w:rPr>
        <w:t>参照</w:t>
      </w:r>
      <w:r>
        <w:rPr>
          <w:rFonts w:asciiTheme="majorEastAsia" w:eastAsiaTheme="majorEastAsia" w:hAnsiTheme="majorEastAsia" w:cs="Arial" w:hint="eastAsia"/>
          <w:b/>
          <w:color w:val="000000"/>
          <w:kern w:val="0"/>
          <w:sz w:val="22"/>
          <w:lang w:val="zh-CN"/>
        </w:rPr>
        <w:t>法律法规或监管政策的</w:t>
      </w:r>
      <w:r>
        <w:rPr>
          <w:rFonts w:asciiTheme="majorEastAsia" w:eastAsiaTheme="majorEastAsia" w:hAnsiTheme="majorEastAsia" w:cs="Arial"/>
          <w:b/>
          <w:color w:val="000000"/>
          <w:kern w:val="0"/>
          <w:sz w:val="22"/>
          <w:lang w:val="zh-CN"/>
        </w:rPr>
        <w:t>规定调整。</w:t>
      </w:r>
    </w:p>
    <w:p w:rsidR="003252C2" w:rsidRDefault="003252C2">
      <w:pPr>
        <w:rPr>
          <w:rFonts w:ascii="宋体" w:hAnsi="宋体" w:cs="Arial"/>
          <w:b/>
          <w:sz w:val="24"/>
        </w:rPr>
      </w:pP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投资管理人</w:t>
      </w:r>
    </w:p>
    <w:p w:rsidR="003252C2" w:rsidRDefault="00F10458">
      <w:pPr>
        <w:adjustRightInd w:val="0"/>
        <w:snapToGrid w:val="0"/>
        <w:spacing w:line="300" w:lineRule="auto"/>
        <w:ind w:firstLineChars="193" w:firstLine="425"/>
        <w:rPr>
          <w:rFonts w:ascii="宋体" w:hAnsi="宋体"/>
          <w:b/>
          <w:sz w:val="22"/>
          <w:szCs w:val="22"/>
        </w:rPr>
      </w:pPr>
      <w:r>
        <w:rPr>
          <w:rFonts w:ascii="宋体" w:hAnsi="宋体" w:hint="eastAsia"/>
          <w:sz w:val="22"/>
          <w:szCs w:val="22"/>
        </w:rPr>
        <w:t>本理财计划的投资管理人为招银理财。招银理财负责本理财计划的投资运作和产品管理，投资者在此授权并同意</w:t>
      </w:r>
      <w:r>
        <w:rPr>
          <w:rFonts w:asciiTheme="minorEastAsia" w:eastAsiaTheme="minorEastAsia" w:hAnsiTheme="minorEastAsia" w:cs="Arial" w:hint="eastAsia"/>
          <w:sz w:val="22"/>
          <w:szCs w:val="22"/>
        </w:rPr>
        <w:t>招银理财</w:t>
      </w:r>
      <w:r>
        <w:rPr>
          <w:rFonts w:ascii="宋体" w:hAnsi="宋体" w:hint="eastAsia"/>
          <w:sz w:val="22"/>
          <w:szCs w:val="22"/>
        </w:rPr>
        <w:t>享有以下权利：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1.按照本理财计划文件的约定，管理、运用和处分理财计划资金；</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2.按照本理财计划文件的约定，及时、足额获得投资管理费</w:t>
      </w:r>
      <w:r>
        <w:rPr>
          <w:rFonts w:asciiTheme="minorEastAsia" w:eastAsiaTheme="minorEastAsia" w:hAnsiTheme="minorEastAsia" w:cs="Arial"/>
          <w:sz w:val="22"/>
          <w:szCs w:val="22"/>
        </w:rPr>
        <w:t>和本产品说明书约定的其他费用（如有）</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3.管理人以其固有财产先行垫付因处理本理财计划相关事务所支出的理财计划费用及税费的，对理财计划资金享有优先受偿的权利；</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4.管理人有权根据本理财计划文件的约定提前终止或延长本理财计划的期限；</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5.管理人有权单方调整</w:t>
      </w:r>
      <w:r>
        <w:rPr>
          <w:rFonts w:ascii="Arial" w:hAnsi="Arial" w:hint="eastAsia"/>
          <w:sz w:val="22"/>
          <w:szCs w:val="22"/>
        </w:rPr>
        <w:t>本理财计划的认购规模上限、认购起点、认购金额上限、</w:t>
      </w:r>
      <w:r>
        <w:rPr>
          <w:rFonts w:ascii="宋体" w:hAnsi="宋体" w:hint="eastAsia"/>
          <w:sz w:val="22"/>
          <w:szCs w:val="22"/>
        </w:rPr>
        <w:t>认购资金的最低金额</w:t>
      </w:r>
      <w:r>
        <w:rPr>
          <w:rFonts w:asciiTheme="minorEastAsia" w:eastAsiaTheme="minorEastAsia" w:hAnsiTheme="minorEastAsia"/>
          <w:sz w:val="22"/>
          <w:szCs w:val="22"/>
        </w:rPr>
        <w:t>、单笔认购上限</w:t>
      </w:r>
      <w:r>
        <w:rPr>
          <w:rFonts w:asciiTheme="minorEastAsia" w:eastAsiaTheme="minorEastAsia" w:hAnsiTheme="minorEastAsia" w:hint="eastAsia"/>
          <w:sz w:val="22"/>
          <w:szCs w:val="22"/>
        </w:rPr>
        <w:t>、单笔申购上限、</w:t>
      </w:r>
      <w:r>
        <w:rPr>
          <w:rFonts w:hint="eastAsia"/>
          <w:sz w:val="22"/>
          <w:szCs w:val="22"/>
        </w:rPr>
        <w:t>单日净申购比例上限、</w:t>
      </w:r>
      <w:r>
        <w:rPr>
          <w:rFonts w:ascii="宋体" w:hAnsi="宋体" w:hint="eastAsia"/>
          <w:sz w:val="22"/>
          <w:szCs w:val="22"/>
        </w:rPr>
        <w:t>单一客户持有上限、赎回上限等要素，</w:t>
      </w:r>
      <w:r>
        <w:rPr>
          <w:rFonts w:ascii="宋体" w:hAnsi="宋体" w:hint="eastAsia"/>
          <w:b/>
          <w:bCs/>
          <w:sz w:val="22"/>
          <w:szCs w:val="22"/>
        </w:rPr>
        <w:t>以及决定及调整因投资资产而产生的资产服务费（如有）等要素</w:t>
      </w:r>
      <w:r>
        <w:rPr>
          <w:rFonts w:ascii="宋体" w:hAnsi="宋体"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6.管理人有权按照法律规定和监管机构的要求将投资者的信息向有权部门或相关机构披露；</w:t>
      </w:r>
    </w:p>
    <w:p w:rsidR="003252C2" w:rsidRDefault="00F10458">
      <w:pPr>
        <w:adjustRightInd w:val="0"/>
        <w:snapToGrid w:val="0"/>
        <w:spacing w:line="300" w:lineRule="auto"/>
        <w:rPr>
          <w:rFonts w:ascii="宋体" w:hAnsi="宋体"/>
          <w:b/>
          <w:sz w:val="22"/>
          <w:szCs w:val="22"/>
        </w:rPr>
      </w:pPr>
      <w:r>
        <w:rPr>
          <w:rFonts w:ascii="宋体" w:hAnsi="宋体" w:hint="eastAsia"/>
          <w:sz w:val="22"/>
          <w:szCs w:val="22"/>
        </w:rPr>
        <w:t>7</w:t>
      </w:r>
      <w:r>
        <w:rPr>
          <w:rFonts w:ascii="宋体" w:hAnsi="宋体"/>
          <w:sz w:val="22"/>
          <w:szCs w:val="22"/>
        </w:rPr>
        <w:t>.</w:t>
      </w:r>
      <w:r>
        <w:rPr>
          <w:rFonts w:ascii="宋体" w:hAnsi="宋体" w:hint="eastAsia"/>
          <w:sz w:val="22"/>
          <w:szCs w:val="22"/>
        </w:rPr>
        <w:t>以理财计划投资管理人的名义，依照法律法规相关规定以及为理财计划的利益，对被投资的各类基金（含公募基金和私募基金）、公司/企业等行使出资人/投资者权利（包括但不限于表决投票的权利）以及行使因理财计划财产投资于证券类基础资产（含债券）或其他基础资产（包括但不限于债权类资产）所产生的相关权利。</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宋体" w:hAnsi="宋体"/>
          <w:sz w:val="22"/>
          <w:szCs w:val="22"/>
        </w:rPr>
        <w:t>8.</w:t>
      </w:r>
      <w:r>
        <w:rPr>
          <w:rFonts w:asciiTheme="minorEastAsia" w:eastAsiaTheme="minorEastAsia" w:hAnsiTheme="minorEastAsia" w:cs="Arial"/>
          <w:sz w:val="22"/>
          <w:szCs w:val="22"/>
        </w:rPr>
        <w:t>以理财计划投资管理人的名义，依照法律法规相关规定以及代表理财计划份额持有人的利益行使代为追索的权利（包括但不限于提起诉讼/仲裁、申请保全/执行的权利）或者实施其他</w:t>
      </w:r>
      <w:r>
        <w:rPr>
          <w:rFonts w:asciiTheme="minorEastAsia" w:eastAsiaTheme="minorEastAsia" w:hAnsiTheme="minorEastAsia" w:cs="Arial" w:hint="eastAsia"/>
          <w:sz w:val="22"/>
          <w:szCs w:val="22"/>
        </w:rPr>
        <w:t>风险处置，行使、放弃、变更相关权利义务等</w:t>
      </w:r>
      <w:r>
        <w:rPr>
          <w:rFonts w:asciiTheme="minorEastAsia" w:eastAsiaTheme="minorEastAsia" w:hAnsiTheme="minorEastAsia" w:cs="Arial"/>
          <w:sz w:val="22"/>
          <w:szCs w:val="22"/>
        </w:rPr>
        <w:t>法律行为</w:t>
      </w:r>
      <w:r>
        <w:rPr>
          <w:rFonts w:asciiTheme="minorEastAsia" w:eastAsiaTheme="minorEastAsia" w:hAnsiTheme="minorEastAsia" w:cs="Arial" w:hint="eastAsia"/>
          <w:sz w:val="22"/>
          <w:szCs w:val="22"/>
        </w:rPr>
        <w:t>；</w:t>
      </w:r>
    </w:p>
    <w:p w:rsidR="003252C2" w:rsidRDefault="00F10458">
      <w:pPr>
        <w:adjustRightInd w:val="0"/>
        <w:snapToGrid w:val="0"/>
        <w:spacing w:line="300" w:lineRule="auto"/>
        <w:rPr>
          <w:rFonts w:ascii="宋体" w:hAnsi="宋体"/>
          <w:sz w:val="22"/>
          <w:szCs w:val="22"/>
        </w:rPr>
      </w:pPr>
      <w:r>
        <w:rPr>
          <w:rFonts w:ascii="宋体" w:hAnsi="宋体"/>
          <w:sz w:val="22"/>
          <w:szCs w:val="22"/>
        </w:rPr>
        <w:t>9</w:t>
      </w:r>
      <w:r>
        <w:rPr>
          <w:rFonts w:ascii="宋体" w:hAnsi="宋体" w:hint="eastAsia"/>
          <w:sz w:val="22"/>
          <w:szCs w:val="22"/>
        </w:rPr>
        <w:t>.在法律法规、监管政策允许的前提下调整估值日。</w:t>
      </w:r>
    </w:p>
    <w:p w:rsidR="003252C2" w:rsidRDefault="00F10458">
      <w:pPr>
        <w:adjustRightInd w:val="0"/>
        <w:snapToGrid w:val="0"/>
        <w:spacing w:line="300" w:lineRule="auto"/>
        <w:rPr>
          <w:rFonts w:ascii="宋体" w:hAnsi="宋体"/>
          <w:sz w:val="22"/>
          <w:szCs w:val="22"/>
        </w:rPr>
      </w:pPr>
      <w:r>
        <w:rPr>
          <w:rFonts w:ascii="宋体" w:hAnsi="宋体"/>
          <w:sz w:val="22"/>
          <w:szCs w:val="22"/>
        </w:rPr>
        <w:t>10</w:t>
      </w:r>
      <w:r>
        <w:rPr>
          <w:rFonts w:ascii="宋体" w:hAnsi="宋体" w:hint="eastAsia"/>
          <w:sz w:val="22"/>
          <w:szCs w:val="22"/>
        </w:rPr>
        <w:t>.法律法规、监管政策和本理财计划文件约定的其他权利。</w:t>
      </w:r>
    </w:p>
    <w:p w:rsidR="003252C2" w:rsidRDefault="003252C2">
      <w:pPr>
        <w:adjustRightInd w:val="0"/>
        <w:snapToGrid w:val="0"/>
        <w:spacing w:line="300" w:lineRule="auto"/>
        <w:jc w:val="left"/>
        <w:rPr>
          <w:rFonts w:ascii="宋体" w:hAnsi="宋体"/>
          <w:sz w:val="22"/>
          <w:szCs w:val="22"/>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t>托管人</w:t>
      </w:r>
    </w:p>
    <w:p w:rsidR="003252C2" w:rsidRDefault="00F10458">
      <w:pPr>
        <w:adjustRightInd w:val="0"/>
        <w:snapToGrid w:val="0"/>
        <w:spacing w:line="300" w:lineRule="auto"/>
        <w:ind w:firstLine="420"/>
        <w:rPr>
          <w:rFonts w:ascii="宋体" w:hAnsi="宋体"/>
          <w:sz w:val="22"/>
          <w:szCs w:val="22"/>
        </w:rPr>
      </w:pPr>
      <w:r>
        <w:rPr>
          <w:rFonts w:ascii="宋体" w:hAnsi="宋体"/>
          <w:sz w:val="22"/>
          <w:szCs w:val="22"/>
        </w:rPr>
        <w:t>本理财计划的托管人为招商银行。</w:t>
      </w:r>
    </w:p>
    <w:p w:rsidR="003252C2" w:rsidRDefault="00F10458">
      <w:pPr>
        <w:adjustRightInd w:val="0"/>
        <w:snapToGrid w:val="0"/>
        <w:spacing w:line="300" w:lineRule="auto"/>
        <w:ind w:firstLine="420"/>
        <w:rPr>
          <w:rFonts w:ascii="宋体" w:hAnsi="宋体"/>
          <w:sz w:val="22"/>
          <w:szCs w:val="22"/>
        </w:rPr>
      </w:pPr>
      <w:r>
        <w:rPr>
          <w:rFonts w:ascii="宋体" w:hAnsi="宋体" w:hint="eastAsia"/>
          <w:sz w:val="22"/>
          <w:szCs w:val="22"/>
        </w:rPr>
        <w:t>基本信息如下：</w:t>
      </w:r>
    </w:p>
    <w:tbl>
      <w:tblPr>
        <w:tblStyle w:val="af1"/>
        <w:tblW w:w="8376" w:type="dxa"/>
        <w:tblLayout w:type="fixed"/>
        <w:tblLook w:val="04A0" w:firstRow="1" w:lastRow="0" w:firstColumn="1" w:lastColumn="0" w:noHBand="0" w:noVBand="1"/>
      </w:tblPr>
      <w:tblGrid>
        <w:gridCol w:w="1394"/>
        <w:gridCol w:w="6982"/>
      </w:tblGrid>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lastRenderedPageBreak/>
              <w:t>托管人</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招商</w:t>
            </w:r>
            <w:r>
              <w:rPr>
                <w:rFonts w:ascii="宋体" w:hAnsi="宋体"/>
                <w:sz w:val="22"/>
                <w:szCs w:val="22"/>
              </w:rPr>
              <w:t>银行股份有限公司</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住所</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深圳市福田区深南大道7088号招商银行大厦</w:t>
            </w:r>
          </w:p>
        </w:tc>
      </w:tr>
      <w:tr w:rsidR="003252C2">
        <w:tc>
          <w:tcPr>
            <w:tcW w:w="1394"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主要职责</w:t>
            </w:r>
          </w:p>
        </w:tc>
        <w:tc>
          <w:tcPr>
            <w:tcW w:w="6982" w:type="dxa"/>
          </w:tcPr>
          <w:p w:rsidR="003252C2" w:rsidRDefault="00F10458">
            <w:pPr>
              <w:autoSpaceDE w:val="0"/>
              <w:autoSpaceDN w:val="0"/>
              <w:adjustRightInd w:val="0"/>
              <w:snapToGrid w:val="0"/>
              <w:spacing w:line="300" w:lineRule="auto"/>
              <w:jc w:val="left"/>
              <w:rPr>
                <w:rFonts w:ascii="宋体" w:hAnsi="宋体"/>
                <w:sz w:val="22"/>
                <w:szCs w:val="22"/>
              </w:rPr>
            </w:pPr>
            <w:r>
              <w:rPr>
                <w:rFonts w:ascii="宋体" w:hAnsi="宋体" w:hint="eastAsia"/>
                <w:sz w:val="22"/>
                <w:szCs w:val="22"/>
              </w:rPr>
              <w:t>由招商银行股份有限公司提供包括账户开立、资金保管、资金清算、估值核算等理财产品托管服务。</w:t>
            </w:r>
          </w:p>
        </w:tc>
      </w:tr>
    </w:tbl>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管理人为理财计划资金管理之目的，以本理财计划的名义在托管人处单独开立资金账户，理财计划资金的一切收支活动，包括但不限于划付对外投资资金、缴纳理财计划税费、接收理财计划回收资金、支付理财计划费用，均必须通过该账户进行。</w:t>
      </w:r>
    </w:p>
    <w:p w:rsidR="003252C2" w:rsidRDefault="003252C2">
      <w:pPr>
        <w:adjustRightInd w:val="0"/>
        <w:snapToGrid w:val="0"/>
        <w:spacing w:line="300" w:lineRule="auto"/>
        <w:ind w:firstLineChars="200" w:firstLine="440"/>
        <w:rPr>
          <w:rFonts w:ascii="宋体" w:hAnsi="宋体"/>
          <w:sz w:val="22"/>
          <w:szCs w:val="22"/>
        </w:rPr>
      </w:pPr>
    </w:p>
    <w:p w:rsidR="003252C2" w:rsidRDefault="00F10458">
      <w:pPr>
        <w:adjustRightInd w:val="0"/>
        <w:snapToGrid w:val="0"/>
        <w:spacing w:line="300" w:lineRule="auto"/>
        <w:rPr>
          <w:rFonts w:ascii="宋体" w:hAnsi="宋体" w:cs="Arial"/>
          <w:b/>
          <w:sz w:val="22"/>
          <w:szCs w:val="22"/>
        </w:rPr>
      </w:pPr>
      <w:r>
        <w:rPr>
          <w:rFonts w:ascii="宋体" w:hAnsi="宋体" w:cs="Arial" w:hint="eastAsia"/>
          <w:b/>
          <w:sz w:val="22"/>
          <w:szCs w:val="22"/>
        </w:rPr>
        <w:t>销售服务机构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本理财计划的销售服务机构为招商银行</w:t>
      </w:r>
      <w:r w:rsidR="004D1A69">
        <w:rPr>
          <w:rFonts w:asciiTheme="minorEastAsia" w:eastAsiaTheme="minorEastAsia" w:hAnsiTheme="minorEastAsia" w:cs="Arial" w:hint="eastAsia"/>
          <w:sz w:val="22"/>
          <w:szCs w:val="22"/>
        </w:rPr>
        <w:t>、宁波银行、</w:t>
      </w:r>
      <w:r w:rsidR="00241507">
        <w:rPr>
          <w:rFonts w:asciiTheme="minorEastAsia" w:eastAsiaTheme="minorEastAsia" w:hAnsiTheme="minorEastAsia" w:cs="Arial" w:hint="eastAsia"/>
          <w:sz w:val="22"/>
          <w:szCs w:val="22"/>
        </w:rPr>
        <w:t>福建</w:t>
      </w:r>
      <w:r w:rsidR="004D1A69">
        <w:rPr>
          <w:rFonts w:asciiTheme="minorEastAsia" w:eastAsiaTheme="minorEastAsia" w:hAnsiTheme="minorEastAsia" w:cs="Arial" w:hint="eastAsia"/>
          <w:sz w:val="22"/>
          <w:szCs w:val="22"/>
        </w:rPr>
        <w:t>海峡银行、兴业银行、日照银行、</w:t>
      </w:r>
      <w:r w:rsidR="00EA2D16" w:rsidRPr="00EA2D16">
        <w:rPr>
          <w:rFonts w:asciiTheme="minorEastAsia" w:eastAsiaTheme="minorEastAsia" w:hAnsiTheme="minorEastAsia" w:cs="Arial" w:hint="eastAsia"/>
          <w:sz w:val="22"/>
          <w:szCs w:val="22"/>
        </w:rPr>
        <w:t>江苏高邮农商行</w:t>
      </w:r>
      <w:r w:rsidR="004D1A69">
        <w:rPr>
          <w:rFonts w:asciiTheme="minorEastAsia" w:eastAsiaTheme="minorEastAsia" w:hAnsiTheme="minorEastAsia" w:cs="Arial" w:hint="eastAsia"/>
          <w:sz w:val="22"/>
          <w:szCs w:val="22"/>
        </w:rPr>
        <w:t>、台州银行、平安银行、盛京银行、泰隆银行、浙江温岭农商行</w:t>
      </w:r>
      <w:r w:rsidR="00376698">
        <w:rPr>
          <w:rFonts w:asciiTheme="minorEastAsia" w:eastAsiaTheme="minorEastAsia" w:hAnsiTheme="minorEastAsia" w:cs="Arial" w:hint="eastAsia"/>
          <w:sz w:val="22"/>
          <w:szCs w:val="22"/>
        </w:rPr>
        <w:t>、温州银行</w:t>
      </w:r>
      <w:r w:rsidR="00E34E56">
        <w:rPr>
          <w:rFonts w:asciiTheme="minorEastAsia" w:eastAsiaTheme="minorEastAsia" w:hAnsiTheme="minorEastAsia" w:cs="Arial" w:hint="eastAsia"/>
          <w:sz w:val="22"/>
          <w:szCs w:val="22"/>
        </w:rPr>
        <w:t>、青海银行</w:t>
      </w:r>
      <w:r>
        <w:rPr>
          <w:rFonts w:asciiTheme="minorEastAsia" w:eastAsiaTheme="minorEastAsia" w:hAnsiTheme="minorEastAsia" w:cs="Arial" w:hint="eastAsia"/>
          <w:sz w:val="22"/>
          <w:szCs w:val="22"/>
        </w:rPr>
        <w:t>，后续如有变更以管理人信息披露为准。销售服务机构及其分支机构提供包括理财计划宣传推广、投资者风险承受能力评估和投资者适当性管理、理财计划份额认购/申购/赎回、协助管理人与投资者订立理财计划合同、协助管理人与投资者沟通及进行信息披露、接受投资者咨询和客户维护等销售服务</w:t>
      </w:r>
      <w:r>
        <w:rPr>
          <w:rFonts w:asciiTheme="minorEastAsia" w:eastAsiaTheme="minorEastAsia" w:hAnsiTheme="minorEastAsia" w:cs="Arial"/>
          <w:sz w:val="22"/>
          <w:szCs w:val="22"/>
        </w:rPr>
        <w:t>。</w:t>
      </w:r>
    </w:p>
    <w:tbl>
      <w:tblPr>
        <w:tblW w:w="8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9"/>
        <w:gridCol w:w="1557"/>
        <w:gridCol w:w="4649"/>
      </w:tblGrid>
      <w:tr w:rsidR="003252C2">
        <w:trPr>
          <w:jc w:val="center"/>
        </w:trPr>
        <w:tc>
          <w:tcPr>
            <w:tcW w:w="8715" w:type="dxa"/>
            <w:gridSpan w:val="3"/>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销售服务机构</w:t>
            </w:r>
          </w:p>
        </w:tc>
      </w:tr>
      <w:tr w:rsidR="003252C2">
        <w:trPr>
          <w:jc w:val="center"/>
        </w:trPr>
        <w:tc>
          <w:tcPr>
            <w:tcW w:w="2509" w:type="dxa"/>
            <w:vMerge w:val="restart"/>
            <w:tcBorders>
              <w:top w:val="single" w:sz="4" w:space="0" w:color="000000"/>
              <w:left w:val="single" w:sz="4" w:space="0" w:color="000000"/>
              <w:bottom w:val="single" w:sz="4" w:space="0" w:color="000000"/>
              <w:right w:val="single" w:sz="4" w:space="0" w:color="000000"/>
            </w:tcBorders>
            <w:vAlign w:val="center"/>
          </w:tcPr>
          <w:p w:rsidR="003252C2" w:rsidRDefault="00F10458">
            <w:pPr>
              <w:autoSpaceDE w:val="0"/>
              <w:autoSpaceDN w:val="0"/>
              <w:adjustRightInd w:val="0"/>
              <w:snapToGrid w:val="0"/>
              <w:spacing w:line="300" w:lineRule="auto"/>
              <w:jc w:val="center"/>
              <w:rPr>
                <w:rFonts w:ascii="宋体" w:hAnsi="宋体" w:cs="Arial"/>
                <w:sz w:val="22"/>
                <w:szCs w:val="22"/>
              </w:rPr>
            </w:pPr>
            <w:r>
              <w:rPr>
                <w:rFonts w:ascii="宋体" w:hAnsi="宋体" w:cs="Arial" w:hint="eastAsia"/>
                <w:sz w:val="22"/>
                <w:szCs w:val="22"/>
              </w:rPr>
              <w:t>招商银行股份有限公司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住所</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深圳市福田区深南大道7088号招商银行大厦</w:t>
            </w:r>
          </w:p>
        </w:tc>
      </w:tr>
      <w:tr w:rsidR="003252C2">
        <w:trPr>
          <w:jc w:val="center"/>
        </w:trPr>
        <w:tc>
          <w:tcPr>
            <w:tcW w:w="2509" w:type="dxa"/>
            <w:vMerge/>
            <w:tcBorders>
              <w:top w:val="single" w:sz="4" w:space="0" w:color="000000"/>
              <w:left w:val="single" w:sz="4" w:space="0" w:color="000000"/>
              <w:bottom w:val="single" w:sz="4" w:space="0" w:color="000000"/>
              <w:right w:val="single" w:sz="4" w:space="0" w:color="000000"/>
            </w:tcBorders>
            <w:vAlign w:val="center"/>
          </w:tcPr>
          <w:p w:rsidR="003252C2" w:rsidRDefault="003252C2">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3252C2" w:rsidRDefault="00F10458">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szCs w:val="22"/>
              </w:rPr>
              <w:t>客户服务热线</w:t>
            </w:r>
          </w:p>
        </w:tc>
        <w:tc>
          <w:tcPr>
            <w:tcW w:w="4649" w:type="dxa"/>
            <w:tcBorders>
              <w:top w:val="single" w:sz="4" w:space="0" w:color="000000"/>
              <w:left w:val="single" w:sz="4" w:space="0" w:color="000000"/>
              <w:bottom w:val="single" w:sz="4" w:space="0" w:color="000000"/>
              <w:right w:val="single" w:sz="4" w:space="0" w:color="000000"/>
            </w:tcBorders>
          </w:tcPr>
          <w:p w:rsidR="003252C2" w:rsidRDefault="00F10458">
            <w:pPr>
              <w:adjustRightInd w:val="0"/>
              <w:snapToGrid w:val="0"/>
              <w:spacing w:line="300" w:lineRule="auto"/>
              <w:rPr>
                <w:rFonts w:ascii="宋体" w:hAnsi="宋体" w:cs="Arial"/>
                <w:sz w:val="22"/>
                <w:szCs w:val="22"/>
              </w:rPr>
            </w:pPr>
            <w:r>
              <w:rPr>
                <w:rFonts w:ascii="宋体" w:hAnsi="宋体" w:cs="Arial" w:hint="eastAsia"/>
                <w:sz w:val="22"/>
                <w:szCs w:val="22"/>
              </w:rPr>
              <w:t>95555</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243B9">
              <w:rPr>
                <w:rFonts w:ascii="宋体" w:hAnsi="宋体" w:cs="Arial"/>
                <w:sz w:val="22"/>
              </w:rPr>
              <w:t>宁波银行股份有限公司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2243B9">
              <w:rPr>
                <w:rFonts w:ascii="宋体" w:hAnsi="宋体" w:cs="Arial"/>
                <w:sz w:val="22"/>
              </w:rPr>
              <w:t>浙江省宁波市鄞州区宁东路345号宁波银行大厦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4C3AB3">
              <w:rPr>
                <w:rFonts w:ascii="宋体" w:hAnsi="宋体" w:cs="Arial"/>
                <w:sz w:val="22"/>
              </w:rPr>
              <w:t>95574</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42CD3">
              <w:rPr>
                <w:rFonts w:ascii="宋体" w:hAnsi="宋体" w:cs="宋体" w:hint="eastAsia"/>
                <w:sz w:val="22"/>
              </w:rPr>
              <w:t>福建海峡银行股份有限公司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hint="eastAsia"/>
                <w:sz w:val="22"/>
              </w:rPr>
              <w:t>福州市台江区江滨中大道</w:t>
            </w:r>
            <w:r w:rsidRPr="00942CD3">
              <w:rPr>
                <w:rFonts w:ascii="宋体" w:hAnsi="宋体" w:cs="宋体"/>
                <w:sz w:val="22"/>
              </w:rPr>
              <w:t xml:space="preserve"> 358 </w:t>
            </w:r>
            <w:r w:rsidRPr="00942CD3">
              <w:rPr>
                <w:rFonts w:ascii="宋体" w:hAnsi="宋体" w:cs="宋体" w:hint="eastAsia"/>
                <w:sz w:val="22"/>
              </w:rPr>
              <w:t>号海峡银行大厦</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42CD3">
              <w:rPr>
                <w:rFonts w:ascii="宋体" w:hAnsi="宋体" w:cs="宋体"/>
                <w:sz w:val="22"/>
              </w:rPr>
              <w:t>400-893-9999</w:t>
            </w:r>
          </w:p>
        </w:tc>
      </w:tr>
      <w:tr w:rsidR="009B5573" w:rsidTr="00241507">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兴业银行股份有限公司</w:t>
            </w: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sidRPr="00C543DA">
              <w:rPr>
                <w:rFonts w:ascii="宋体" w:hAnsi="宋体" w:cs="Arial"/>
                <w:sz w:val="22"/>
              </w:rPr>
              <w:t>福州市台江区江滨中大道398号兴业银行大厦</w:t>
            </w:r>
          </w:p>
        </w:tc>
      </w:tr>
      <w:tr w:rsidR="009B5573" w:rsidTr="00241507">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w:t>
            </w:r>
            <w:r>
              <w:rPr>
                <w:rFonts w:ascii="宋体" w:hAnsi="宋体" w:cs="Arial"/>
                <w:sz w:val="22"/>
              </w:rPr>
              <w:t>服务热线</w:t>
            </w:r>
          </w:p>
        </w:tc>
        <w:tc>
          <w:tcPr>
            <w:tcW w:w="4649" w:type="dxa"/>
            <w:tcBorders>
              <w:top w:val="single" w:sz="4" w:space="0" w:color="000000"/>
              <w:left w:val="single" w:sz="4" w:space="0" w:color="000000"/>
              <w:bottom w:val="single" w:sz="4" w:space="0" w:color="000000"/>
              <w:right w:val="single" w:sz="4" w:space="0" w:color="000000"/>
            </w:tcBorders>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5561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D461E">
              <w:rPr>
                <w:rFonts w:ascii="宋体" w:hAnsi="宋体" w:cs="宋体"/>
                <w:sz w:val="22"/>
              </w:rPr>
              <w:t>日照银行股份有限公司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日照市烟台路197号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D461E">
              <w:rPr>
                <w:rFonts w:ascii="宋体" w:hAnsi="宋体" w:cs="宋体"/>
                <w:sz w:val="22"/>
              </w:rPr>
              <w:t>400-68-96588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6B3992">
              <w:rPr>
                <w:rFonts w:ascii="宋体" w:hAnsi="宋体" w:cs="宋体"/>
                <w:sz w:val="22"/>
              </w:rPr>
              <w:t>江苏高邮农村商业银行股份有限公司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江苏省高邮市文游中路28号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6B3992">
              <w:rPr>
                <w:rFonts w:ascii="宋体" w:hAnsi="宋体" w:cs="宋体"/>
                <w:sz w:val="22"/>
              </w:rPr>
              <w:t>96008</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台州银行股份有限公司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浙江省台州市椒江区市府大道699号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235592">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95371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Arial" w:hint="eastAsia"/>
                <w:sz w:val="22"/>
              </w:rPr>
              <w:t>平安银行股份有限公司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557825">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sz w:val="22"/>
              </w:rPr>
              <w:t>广东省深圳市深南东路5047号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Arial" w:hint="eastAsia"/>
                <w:sz w:val="22"/>
              </w:rPr>
              <w:t>9</w:t>
            </w:r>
            <w:r>
              <w:rPr>
                <w:rFonts w:ascii="宋体" w:hAnsi="宋体" w:cs="Arial"/>
                <w:sz w:val="22"/>
              </w:rPr>
              <w:t>5511</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Pr>
                <w:rFonts w:ascii="宋体" w:hAnsi="宋体" w:cs="宋体" w:hint="eastAsia"/>
                <w:sz w:val="22"/>
              </w:rPr>
              <w:t>盛京银行股份有限公司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沈阳市沈河区北站路109号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Pr>
                <w:rFonts w:ascii="宋体" w:hAnsi="宋体" w:cs="宋体" w:hint="eastAsia"/>
                <w:sz w:val="22"/>
              </w:rPr>
              <w:t>95337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235592">
              <w:rPr>
                <w:rFonts w:ascii="宋体" w:hAnsi="宋体" w:cs="Arial" w:hint="eastAsia"/>
                <w:sz w:val="22"/>
              </w:rPr>
              <w:t>浙江泰隆商业银行股份有限公司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浙江省台州市路桥区南官大道188号</w:t>
            </w:r>
          </w:p>
        </w:tc>
      </w:tr>
      <w:tr w:rsidR="009B5573" w:rsidTr="00E22615">
        <w:trPr>
          <w:jc w:val="center"/>
        </w:trPr>
        <w:tc>
          <w:tcPr>
            <w:tcW w:w="2509" w:type="dxa"/>
            <w:vMerge/>
            <w:tcBorders>
              <w:left w:val="single" w:sz="4" w:space="0" w:color="000000"/>
              <w:bottom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387EBC">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387EBC">
              <w:rPr>
                <w:rFonts w:ascii="宋体" w:hAnsi="宋体" w:cs="Arial" w:hint="eastAsia"/>
                <w:sz w:val="22"/>
              </w:rPr>
              <w:t>95347</w:t>
            </w:r>
          </w:p>
        </w:tc>
      </w:tr>
      <w:tr w:rsidR="009B5573" w:rsidTr="00E22615">
        <w:trPr>
          <w:jc w:val="center"/>
        </w:trPr>
        <w:tc>
          <w:tcPr>
            <w:tcW w:w="2509" w:type="dxa"/>
            <w:vMerge w:val="restart"/>
            <w:tcBorders>
              <w:top w:val="single" w:sz="4" w:space="0" w:color="000000"/>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r w:rsidRPr="009723B7">
              <w:rPr>
                <w:rFonts w:ascii="宋体" w:hAnsi="宋体" w:cs="Arial"/>
                <w:sz w:val="22"/>
              </w:rPr>
              <w:lastRenderedPageBreak/>
              <w:t>浙江温岭农村商业银行股份有限公司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浙江省台州市温岭市城东街道下保路100号</w:t>
            </w:r>
          </w:p>
        </w:tc>
      </w:tr>
      <w:tr w:rsidR="009B5573" w:rsidTr="00C01C39">
        <w:trPr>
          <w:jc w:val="center"/>
        </w:trPr>
        <w:tc>
          <w:tcPr>
            <w:tcW w:w="2509" w:type="dxa"/>
            <w:vMerge/>
            <w:tcBorders>
              <w:left w:val="single" w:sz="4" w:space="0" w:color="000000"/>
              <w:right w:val="single" w:sz="4" w:space="0" w:color="000000"/>
            </w:tcBorders>
            <w:vAlign w:val="center"/>
          </w:tcPr>
          <w:p w:rsidR="009B5573" w:rsidRDefault="009B5573" w:rsidP="009B5573">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utoSpaceDE w:val="0"/>
              <w:autoSpaceDN w:val="0"/>
              <w:adjustRightInd w:val="0"/>
              <w:snapToGrid w:val="0"/>
              <w:spacing w:line="300" w:lineRule="auto"/>
              <w:jc w:val="left"/>
              <w:rPr>
                <w:rFonts w:ascii="宋体" w:hAnsi="宋体" w:cs="Arial"/>
                <w:sz w:val="22"/>
                <w:szCs w:val="22"/>
              </w:rPr>
            </w:pPr>
            <w:r w:rsidRPr="009723B7">
              <w:rPr>
                <w:rFonts w:ascii="宋体" w:hAnsi="宋体" w:cs="Arial"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9B5573" w:rsidRDefault="009B5573" w:rsidP="009B5573">
            <w:pPr>
              <w:adjustRightInd w:val="0"/>
              <w:snapToGrid w:val="0"/>
              <w:spacing w:line="300" w:lineRule="auto"/>
              <w:rPr>
                <w:rFonts w:ascii="宋体" w:hAnsi="宋体" w:cs="Arial"/>
                <w:sz w:val="22"/>
                <w:szCs w:val="22"/>
              </w:rPr>
            </w:pPr>
            <w:r w:rsidRPr="009723B7">
              <w:rPr>
                <w:rFonts w:ascii="宋体" w:hAnsi="宋体" w:cs="Arial"/>
                <w:sz w:val="22"/>
              </w:rPr>
              <w:t>4008896596</w:t>
            </w:r>
          </w:p>
        </w:tc>
      </w:tr>
      <w:tr w:rsidR="00376698" w:rsidTr="0029708B">
        <w:trPr>
          <w:jc w:val="center"/>
        </w:trPr>
        <w:tc>
          <w:tcPr>
            <w:tcW w:w="2509" w:type="dxa"/>
            <w:vMerge w:val="restart"/>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r w:rsidRPr="00C1241C">
              <w:rPr>
                <w:rFonts w:ascii="宋体" w:hAnsi="宋体" w:cs="宋体"/>
                <w:sz w:val="22"/>
                <w:szCs w:val="22"/>
              </w:rPr>
              <w:t>温州银行股份有限公司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浙江省温州市鹿城区会展路1316号</w:t>
            </w:r>
          </w:p>
        </w:tc>
      </w:tr>
      <w:tr w:rsidR="00376698" w:rsidTr="003719F9">
        <w:trPr>
          <w:jc w:val="center"/>
        </w:trPr>
        <w:tc>
          <w:tcPr>
            <w:tcW w:w="2509" w:type="dxa"/>
            <w:vMerge/>
            <w:tcBorders>
              <w:left w:val="single" w:sz="4" w:space="0" w:color="000000"/>
              <w:right w:val="single" w:sz="4" w:space="0" w:color="000000"/>
            </w:tcBorders>
            <w:vAlign w:val="center"/>
          </w:tcPr>
          <w:p w:rsidR="00376698" w:rsidRDefault="00376698" w:rsidP="00376698">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utoSpaceDE w:val="0"/>
              <w:autoSpaceDN w:val="0"/>
              <w:adjustRightInd w:val="0"/>
              <w:snapToGrid w:val="0"/>
              <w:spacing w:line="300" w:lineRule="auto"/>
              <w:jc w:val="left"/>
              <w:rPr>
                <w:rFonts w:ascii="宋体" w:hAnsi="宋体" w:cs="Arial"/>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376698" w:rsidRPr="009723B7" w:rsidRDefault="00376698" w:rsidP="00376698">
            <w:pPr>
              <w:adjustRightInd w:val="0"/>
              <w:snapToGrid w:val="0"/>
              <w:spacing w:line="300" w:lineRule="auto"/>
              <w:rPr>
                <w:rFonts w:ascii="宋体" w:hAnsi="宋体" w:cs="Arial"/>
                <w:sz w:val="22"/>
              </w:rPr>
            </w:pPr>
            <w:r w:rsidRPr="00C1241C">
              <w:rPr>
                <w:rFonts w:ascii="宋体" w:hAnsi="宋体" w:cs="宋体"/>
                <w:sz w:val="22"/>
                <w:szCs w:val="22"/>
              </w:rPr>
              <w:t>0577-96699</w:t>
            </w:r>
          </w:p>
        </w:tc>
      </w:tr>
      <w:tr w:rsidR="00FA3400" w:rsidTr="007436B1">
        <w:trPr>
          <w:jc w:val="center"/>
        </w:trPr>
        <w:tc>
          <w:tcPr>
            <w:tcW w:w="2509" w:type="dxa"/>
            <w:vMerge w:val="restart"/>
            <w:tcBorders>
              <w:left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r w:rsidRPr="00C83B75">
              <w:rPr>
                <w:rFonts w:ascii="宋体" w:hAnsi="宋体" w:cs="宋体"/>
                <w:sz w:val="22"/>
                <w:szCs w:val="22"/>
              </w:rPr>
              <w:t>青海银行股份有限公司</w:t>
            </w: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住所</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青海省西宁市城西区西关大街130号2号楼</w:t>
            </w:r>
          </w:p>
        </w:tc>
      </w:tr>
      <w:tr w:rsidR="00FA3400" w:rsidTr="00E22615">
        <w:trPr>
          <w:jc w:val="center"/>
        </w:trPr>
        <w:tc>
          <w:tcPr>
            <w:tcW w:w="2509" w:type="dxa"/>
            <w:vMerge/>
            <w:tcBorders>
              <w:left w:val="single" w:sz="4" w:space="0" w:color="000000"/>
              <w:bottom w:val="single" w:sz="4" w:space="0" w:color="000000"/>
              <w:right w:val="single" w:sz="4" w:space="0" w:color="000000"/>
            </w:tcBorders>
            <w:vAlign w:val="center"/>
          </w:tcPr>
          <w:p w:rsidR="00FA3400" w:rsidRDefault="00FA3400" w:rsidP="00FA3400">
            <w:pPr>
              <w:widowControl/>
              <w:jc w:val="left"/>
              <w:rPr>
                <w:rFonts w:ascii="宋体" w:hAnsi="宋体"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FA3400" w:rsidRPr="006D461E" w:rsidRDefault="00FA3400" w:rsidP="00FA3400">
            <w:pPr>
              <w:autoSpaceDE w:val="0"/>
              <w:autoSpaceDN w:val="0"/>
              <w:adjustRightInd w:val="0"/>
              <w:snapToGrid w:val="0"/>
              <w:spacing w:line="300" w:lineRule="auto"/>
              <w:jc w:val="left"/>
              <w:rPr>
                <w:rFonts w:ascii="宋体" w:hAnsi="宋体" w:cs="宋体"/>
                <w:sz w:val="22"/>
              </w:rPr>
            </w:pPr>
            <w:r w:rsidRPr="006D461E">
              <w:rPr>
                <w:rFonts w:ascii="宋体" w:hAnsi="宋体" w:cs="宋体" w:hint="eastAsia"/>
                <w:sz w:val="22"/>
              </w:rPr>
              <w:t>客户服务热线</w:t>
            </w:r>
          </w:p>
        </w:tc>
        <w:tc>
          <w:tcPr>
            <w:tcW w:w="4649" w:type="dxa"/>
            <w:tcBorders>
              <w:top w:val="single" w:sz="4" w:space="0" w:color="000000"/>
              <w:left w:val="single" w:sz="4" w:space="0" w:color="000000"/>
              <w:bottom w:val="single" w:sz="4" w:space="0" w:color="000000"/>
              <w:right w:val="single" w:sz="4" w:space="0" w:color="000000"/>
            </w:tcBorders>
            <w:vAlign w:val="center"/>
          </w:tcPr>
          <w:p w:rsidR="00FA3400" w:rsidRPr="00C1241C" w:rsidRDefault="00FA3400" w:rsidP="00FA3400">
            <w:pPr>
              <w:adjustRightInd w:val="0"/>
              <w:snapToGrid w:val="0"/>
              <w:spacing w:line="300" w:lineRule="auto"/>
              <w:rPr>
                <w:rFonts w:ascii="宋体" w:hAnsi="宋体" w:cs="宋体"/>
                <w:sz w:val="22"/>
                <w:szCs w:val="22"/>
              </w:rPr>
            </w:pPr>
            <w:r w:rsidRPr="00C83B75">
              <w:rPr>
                <w:rFonts w:ascii="宋体" w:hAnsi="宋体" w:cs="宋体"/>
                <w:sz w:val="22"/>
                <w:szCs w:val="22"/>
              </w:rPr>
              <w:t>400-888888-3</w:t>
            </w:r>
          </w:p>
        </w:tc>
      </w:tr>
    </w:tbl>
    <w:p w:rsidR="003252C2" w:rsidRDefault="003252C2">
      <w:pPr>
        <w:adjustRightInd w:val="0"/>
        <w:snapToGrid w:val="0"/>
        <w:spacing w:line="300" w:lineRule="auto"/>
        <w:jc w:val="left"/>
        <w:rPr>
          <w:rFonts w:ascii="Arial" w:hAnsi="Arial"/>
          <w:b/>
          <w:sz w:val="22"/>
          <w:szCs w:val="22"/>
        </w:rPr>
      </w:pPr>
    </w:p>
    <w:p w:rsidR="003252C2" w:rsidRDefault="00F10458">
      <w:pPr>
        <w:adjustRightInd w:val="0"/>
        <w:snapToGrid w:val="0"/>
        <w:spacing w:line="300" w:lineRule="auto"/>
        <w:jc w:val="left"/>
        <w:rPr>
          <w:rFonts w:ascii="Arial" w:hAnsi="Arial"/>
          <w:b/>
          <w:sz w:val="22"/>
          <w:szCs w:val="22"/>
        </w:rPr>
      </w:pPr>
      <w:r>
        <w:rPr>
          <w:rFonts w:ascii="Arial" w:hAnsi="Arial" w:hint="eastAsia"/>
          <w:b/>
          <w:sz w:val="22"/>
          <w:szCs w:val="22"/>
        </w:rPr>
        <w:t>投资者账户</w:t>
      </w:r>
    </w:p>
    <w:p w:rsidR="003252C2" w:rsidRDefault="00F10458">
      <w:pPr>
        <w:adjustRightInd w:val="0"/>
        <w:snapToGrid w:val="0"/>
        <w:spacing w:line="300" w:lineRule="auto"/>
        <w:ind w:firstLineChars="200" w:firstLine="440"/>
        <w:rPr>
          <w:rFonts w:ascii="宋体" w:hAnsi="宋体"/>
          <w:sz w:val="22"/>
          <w:szCs w:val="22"/>
        </w:rPr>
      </w:pPr>
      <w:r>
        <w:rPr>
          <w:rFonts w:ascii="Arial" w:hAnsi="Arial" w:hint="eastAsia"/>
          <w:sz w:val="22"/>
          <w:szCs w:val="22"/>
        </w:rPr>
        <w:t>投资者认购或申购（如有）本理财计划的资金划出账户应与本理财计划到期或期间赎回（如有）接收资金的账户相同。在本理财产品存续期间，除非经管理人同意，该账户不得变更、注销。如发生投资者账户被有权机关采取司法强制措施的，投资者不得申请对投资者账户予以变更或注销。</w:t>
      </w:r>
    </w:p>
    <w:p w:rsidR="003252C2" w:rsidRDefault="003252C2">
      <w:pPr>
        <w:rPr>
          <w:rFonts w:ascii="宋体" w:hAnsi="宋体" w:cs="Arial"/>
          <w:b/>
          <w:sz w:val="24"/>
        </w:rPr>
      </w:pPr>
    </w:p>
    <w:p w:rsidR="003252C2" w:rsidRDefault="00F10458">
      <w:pPr>
        <w:spacing w:line="276" w:lineRule="auto"/>
        <w:rPr>
          <w:rFonts w:ascii="宋体" w:hAnsi="宋体" w:cs="Arial"/>
          <w:b/>
          <w:sz w:val="24"/>
        </w:rPr>
      </w:pPr>
      <w:r>
        <w:rPr>
          <w:rFonts w:ascii="宋体" w:hAnsi="宋体" w:cs="Arial"/>
          <w:b/>
          <w:sz w:val="24"/>
        </w:rPr>
        <w:t>理财计划认购</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hint="eastAsia"/>
          <w:b/>
          <w:bCs/>
          <w:sz w:val="22"/>
          <w:szCs w:val="22"/>
        </w:rPr>
        <w:t>1.</w:t>
      </w:r>
      <w:r>
        <w:rPr>
          <w:rFonts w:asciiTheme="minorEastAsia" w:eastAsiaTheme="minorEastAsia" w:hAnsiTheme="minorEastAsia" w:hint="eastAsia"/>
          <w:b/>
          <w:sz w:val="22"/>
          <w:szCs w:val="22"/>
        </w:rPr>
        <w:t>认购份额：</w:t>
      </w:r>
      <w:r>
        <w:rPr>
          <w:rFonts w:asciiTheme="minorEastAsia" w:eastAsiaTheme="minorEastAsia" w:hAnsiTheme="minorEastAsia" w:cs="Arial"/>
          <w:sz w:val="22"/>
          <w:szCs w:val="22"/>
        </w:rPr>
        <w:t>本理财产品份额以“份”为单位，每理财计划份额面值为人民币1元。</w:t>
      </w:r>
    </w:p>
    <w:p w:rsidR="003252C2" w:rsidRDefault="00F10458">
      <w:pPr>
        <w:spacing w:line="276" w:lineRule="auto"/>
        <w:rPr>
          <w:rFonts w:ascii="宋体" w:hAnsi="宋体"/>
          <w:sz w:val="22"/>
          <w:szCs w:val="22"/>
        </w:rPr>
      </w:pPr>
      <w:r>
        <w:rPr>
          <w:rFonts w:ascii="宋体" w:hAnsi="宋体"/>
          <w:b/>
          <w:bCs/>
          <w:sz w:val="22"/>
          <w:szCs w:val="22"/>
        </w:rPr>
        <w:t>2.发行规模：</w:t>
      </w:r>
      <w:r>
        <w:rPr>
          <w:rFonts w:ascii="宋体" w:hAnsi="宋体"/>
          <w:sz w:val="22"/>
          <w:szCs w:val="22"/>
        </w:rPr>
        <w:t>发行规模不设下限，</w:t>
      </w:r>
      <w:r>
        <w:rPr>
          <w:rFonts w:ascii="宋体" w:hAnsi="宋体" w:hint="eastAsia"/>
          <w:sz w:val="22"/>
          <w:szCs w:val="22"/>
        </w:rPr>
        <w:t>A份额发行规模上限100亿元</w:t>
      </w:r>
      <w:r w:rsidR="00287771">
        <w:rPr>
          <w:rFonts w:ascii="宋体" w:hAnsi="宋体" w:hint="eastAsia"/>
          <w:sz w:val="22"/>
          <w:szCs w:val="22"/>
        </w:rPr>
        <w:t>，</w:t>
      </w:r>
      <w:r w:rsidR="00287771">
        <w:rPr>
          <w:rFonts w:ascii="宋体" w:hAnsi="宋体"/>
          <w:sz w:val="22"/>
          <w:szCs w:val="22"/>
        </w:rPr>
        <w:t>C</w:t>
      </w:r>
      <w:r w:rsidR="00287771">
        <w:rPr>
          <w:rFonts w:ascii="宋体" w:hAnsi="宋体" w:hint="eastAsia"/>
          <w:sz w:val="22"/>
          <w:szCs w:val="22"/>
        </w:rPr>
        <w:t>份额发行规模上限</w:t>
      </w:r>
      <w:r w:rsidR="00287771">
        <w:rPr>
          <w:rFonts w:ascii="宋体" w:hAnsi="宋体"/>
          <w:sz w:val="22"/>
          <w:szCs w:val="22"/>
        </w:rPr>
        <w:t>200</w:t>
      </w:r>
      <w:r w:rsidR="00287771">
        <w:rPr>
          <w:rFonts w:ascii="宋体" w:hAnsi="宋体" w:hint="eastAsia"/>
          <w:sz w:val="22"/>
          <w:szCs w:val="22"/>
        </w:rPr>
        <w:t>亿元</w:t>
      </w:r>
      <w:r w:rsidR="00DE0A7C">
        <w:rPr>
          <w:rFonts w:ascii="宋体" w:hAnsi="宋体"/>
          <w:sz w:val="22"/>
          <w:szCs w:val="22"/>
        </w:rPr>
        <w:t>，K</w:t>
      </w:r>
      <w:r w:rsidR="00DE0A7C">
        <w:rPr>
          <w:rFonts w:ascii="宋体" w:hAnsi="宋体" w:hint="eastAsia"/>
          <w:sz w:val="22"/>
          <w:szCs w:val="22"/>
        </w:rPr>
        <w:t>份额发行规模上限100亿元</w:t>
      </w:r>
      <w:r w:rsidR="00DE0A7C">
        <w:rPr>
          <w:rFonts w:ascii="宋体" w:hAnsi="宋体"/>
          <w:sz w:val="22"/>
          <w:szCs w:val="22"/>
        </w:rPr>
        <w:t>，P</w:t>
      </w:r>
      <w:r w:rsidR="00DE0A7C">
        <w:rPr>
          <w:rFonts w:ascii="宋体" w:hAnsi="宋体" w:hint="eastAsia"/>
          <w:sz w:val="22"/>
          <w:szCs w:val="22"/>
        </w:rPr>
        <w:t>份额发行规模上限100亿元</w:t>
      </w:r>
      <w:r w:rsidR="00DE0A7C">
        <w:rPr>
          <w:rFonts w:ascii="宋体" w:hAnsi="宋体"/>
          <w:sz w:val="22"/>
          <w:szCs w:val="22"/>
        </w:rPr>
        <w:t>，TZ</w:t>
      </w:r>
      <w:r w:rsidR="00DE0A7C">
        <w:rPr>
          <w:rFonts w:ascii="宋体" w:hAnsi="宋体" w:hint="eastAsia"/>
          <w:sz w:val="22"/>
          <w:szCs w:val="22"/>
        </w:rPr>
        <w:t>份额发行规模上限100亿元</w:t>
      </w:r>
      <w:r w:rsidR="00DE0A7C">
        <w:rPr>
          <w:rFonts w:ascii="宋体" w:hAnsi="宋体"/>
          <w:sz w:val="22"/>
          <w:szCs w:val="22"/>
        </w:rPr>
        <w:t>，TL</w:t>
      </w:r>
      <w:r w:rsidR="00DE0A7C">
        <w:rPr>
          <w:rFonts w:ascii="宋体" w:hAnsi="宋体" w:hint="eastAsia"/>
          <w:sz w:val="22"/>
          <w:szCs w:val="22"/>
        </w:rPr>
        <w:t>份额发行规模上限100亿元</w:t>
      </w:r>
      <w:r>
        <w:rPr>
          <w:rFonts w:ascii="宋体" w:hAnsi="宋体" w:hint="eastAsia"/>
          <w:sz w:val="22"/>
          <w:szCs w:val="22"/>
        </w:rPr>
        <w:t>。认购期内如产品份额超过理财计划发行规模上限，管理人有权停止接受认购申请。</w:t>
      </w:r>
    </w:p>
    <w:p w:rsidR="003252C2" w:rsidRDefault="00F10458">
      <w:pPr>
        <w:spacing w:line="276" w:lineRule="auto"/>
        <w:rPr>
          <w:rFonts w:ascii="宋体" w:hAnsi="宋体"/>
          <w:sz w:val="22"/>
          <w:szCs w:val="22"/>
        </w:rPr>
      </w:pPr>
      <w:r>
        <w:rPr>
          <w:rFonts w:ascii="宋体" w:hAnsi="宋体"/>
          <w:b/>
          <w:bCs/>
          <w:sz w:val="22"/>
          <w:szCs w:val="22"/>
        </w:rPr>
        <w:t>3.认购期：</w:t>
      </w:r>
      <w:r w:rsidR="00CF4C46">
        <w:rPr>
          <w:rFonts w:ascii="宋体" w:hAnsi="宋体" w:hint="eastAsia"/>
          <w:sz w:val="22"/>
          <w:szCs w:val="22"/>
        </w:rPr>
        <w:t>2025年6月</w:t>
      </w:r>
      <w:r w:rsidR="00581DFF">
        <w:rPr>
          <w:rFonts w:ascii="宋体" w:hAnsi="宋体" w:hint="eastAsia"/>
          <w:sz w:val="22"/>
          <w:szCs w:val="22"/>
        </w:rPr>
        <w:t>16</w:t>
      </w:r>
      <w:r w:rsidR="00CF4C46">
        <w:rPr>
          <w:rFonts w:ascii="宋体" w:hAnsi="宋体" w:hint="eastAsia"/>
          <w:sz w:val="22"/>
          <w:szCs w:val="22"/>
        </w:rPr>
        <w:t>日</w:t>
      </w:r>
      <w:r>
        <w:rPr>
          <w:rFonts w:ascii="宋体" w:hAnsi="宋体" w:hint="eastAsia"/>
          <w:sz w:val="22"/>
          <w:szCs w:val="22"/>
        </w:rPr>
        <w:t>9</w:t>
      </w:r>
      <w:r>
        <w:rPr>
          <w:rFonts w:ascii="宋体" w:hAnsi="宋体"/>
          <w:sz w:val="22"/>
          <w:szCs w:val="22"/>
        </w:rPr>
        <w:t>:00到</w:t>
      </w:r>
      <w:r w:rsidR="00CF4C46">
        <w:rPr>
          <w:rFonts w:ascii="宋体" w:hAnsi="宋体" w:hint="eastAsia"/>
          <w:sz w:val="22"/>
          <w:szCs w:val="22"/>
        </w:rPr>
        <w:t>2025年6月</w:t>
      </w:r>
      <w:r w:rsidR="00581DFF">
        <w:rPr>
          <w:rFonts w:ascii="宋体" w:hAnsi="宋体" w:hint="eastAsia"/>
          <w:sz w:val="22"/>
          <w:szCs w:val="22"/>
        </w:rPr>
        <w:t>17</w:t>
      </w:r>
      <w:r w:rsidR="00CF4C46">
        <w:rPr>
          <w:rFonts w:ascii="宋体" w:hAnsi="宋体" w:hint="eastAsia"/>
          <w:sz w:val="22"/>
          <w:szCs w:val="22"/>
        </w:rPr>
        <w:t>日</w:t>
      </w:r>
      <w:r>
        <w:rPr>
          <w:rFonts w:ascii="宋体" w:hAnsi="宋体" w:hint="eastAsia"/>
          <w:sz w:val="22"/>
          <w:szCs w:val="22"/>
        </w:rPr>
        <w:t>17</w:t>
      </w:r>
      <w:r>
        <w:rPr>
          <w:rFonts w:ascii="宋体" w:hAnsi="宋体"/>
          <w:sz w:val="22"/>
          <w:szCs w:val="22"/>
        </w:rPr>
        <w:t>:00，</w:t>
      </w:r>
      <w:r>
        <w:rPr>
          <w:rFonts w:ascii="宋体" w:hAnsi="宋体" w:hint="eastAsia"/>
          <w:sz w:val="22"/>
          <w:szCs w:val="22"/>
        </w:rPr>
        <w:t>认购期内认购资金，自认购之日（含）起，至认购登记日（不含）止，认购资金是否计付利息以销售服务机构为准。销售服务机构实际受理时间可能与说明书不一致，具体以销售服务机构通知为准。</w:t>
      </w:r>
    </w:p>
    <w:p w:rsidR="003252C2" w:rsidRDefault="00F10458">
      <w:pPr>
        <w:spacing w:line="276" w:lineRule="auto"/>
        <w:rPr>
          <w:rFonts w:ascii="宋体" w:hAnsi="宋体"/>
          <w:sz w:val="22"/>
          <w:szCs w:val="22"/>
        </w:rPr>
      </w:pPr>
      <w:r>
        <w:rPr>
          <w:rFonts w:ascii="宋体" w:hAnsi="宋体"/>
          <w:b/>
          <w:bCs/>
          <w:sz w:val="22"/>
          <w:szCs w:val="22"/>
        </w:rPr>
        <w:t>4.认购登记日：</w:t>
      </w:r>
      <w:r>
        <w:rPr>
          <w:rFonts w:ascii="宋体" w:hAnsi="宋体"/>
          <w:sz w:val="22"/>
          <w:szCs w:val="22"/>
        </w:rPr>
        <w:t>本理财计划于</w:t>
      </w:r>
      <w:r w:rsidR="00CF4C46">
        <w:rPr>
          <w:rFonts w:ascii="宋体" w:hAnsi="宋体" w:hint="eastAsia"/>
          <w:sz w:val="22"/>
          <w:szCs w:val="22"/>
        </w:rPr>
        <w:t>2025年6月</w:t>
      </w:r>
      <w:r w:rsidR="00581DFF">
        <w:rPr>
          <w:rFonts w:ascii="宋体" w:hAnsi="宋体" w:hint="eastAsia"/>
          <w:sz w:val="22"/>
          <w:szCs w:val="22"/>
        </w:rPr>
        <w:t>18</w:t>
      </w:r>
      <w:r w:rsidR="00CF4C46">
        <w:rPr>
          <w:rFonts w:ascii="宋体" w:hAnsi="宋体" w:hint="eastAsia"/>
          <w:sz w:val="22"/>
          <w:szCs w:val="22"/>
        </w:rPr>
        <w:t>日</w:t>
      </w:r>
      <w:r>
        <w:rPr>
          <w:rFonts w:ascii="宋体" w:hAnsi="宋体"/>
          <w:sz w:val="22"/>
          <w:szCs w:val="22"/>
        </w:rPr>
        <w:t>进行认购登记。</w:t>
      </w:r>
    </w:p>
    <w:p w:rsidR="003252C2" w:rsidRDefault="00F10458">
      <w:pPr>
        <w:spacing w:line="276" w:lineRule="auto"/>
        <w:rPr>
          <w:rFonts w:ascii="宋体" w:hAnsi="宋体"/>
          <w:sz w:val="22"/>
          <w:szCs w:val="22"/>
        </w:rPr>
      </w:pPr>
      <w:r>
        <w:rPr>
          <w:rFonts w:ascii="宋体" w:hAnsi="宋体"/>
          <w:b/>
          <w:bCs/>
          <w:sz w:val="22"/>
          <w:szCs w:val="22"/>
        </w:rPr>
        <w:t>5.认购/</w:t>
      </w:r>
      <w:r>
        <w:rPr>
          <w:rFonts w:ascii="宋体" w:hAnsi="宋体" w:hint="eastAsia"/>
          <w:b/>
          <w:bCs/>
          <w:sz w:val="22"/>
          <w:szCs w:val="22"/>
        </w:rPr>
        <w:t>撤单</w:t>
      </w:r>
      <w:r>
        <w:rPr>
          <w:rFonts w:ascii="宋体" w:hAnsi="宋体"/>
          <w:b/>
          <w:bCs/>
          <w:sz w:val="22"/>
          <w:szCs w:val="22"/>
        </w:rPr>
        <w:t>手续：</w:t>
      </w:r>
      <w:r>
        <w:rPr>
          <w:rFonts w:ascii="宋体" w:hAnsi="宋体" w:hint="eastAsia"/>
          <w:sz w:val="22"/>
          <w:szCs w:val="22"/>
        </w:rPr>
        <w:t>认购期内，投资者可通过销售服务机构的手机银行或者管理人认可的其他方式办理认购或撤销本理财计划份额。</w:t>
      </w:r>
    </w:p>
    <w:p w:rsidR="003252C2" w:rsidRDefault="00F10458">
      <w:pPr>
        <w:spacing w:line="276" w:lineRule="auto"/>
        <w:rPr>
          <w:rFonts w:ascii="宋体" w:hAnsi="宋体"/>
          <w:sz w:val="22"/>
          <w:szCs w:val="22"/>
        </w:rPr>
      </w:pPr>
      <w:r>
        <w:rPr>
          <w:rFonts w:ascii="宋体" w:hAnsi="宋体"/>
          <w:b/>
          <w:bCs/>
          <w:sz w:val="22"/>
          <w:szCs w:val="22"/>
        </w:rPr>
        <w:t>6.认购</w:t>
      </w:r>
      <w:r>
        <w:rPr>
          <w:rFonts w:ascii="宋体" w:hAnsi="宋体" w:hint="eastAsia"/>
          <w:b/>
          <w:bCs/>
          <w:sz w:val="22"/>
          <w:szCs w:val="22"/>
        </w:rPr>
        <w:t>金额</w:t>
      </w:r>
      <w:r>
        <w:rPr>
          <w:rFonts w:ascii="宋体" w:hAnsi="宋体"/>
          <w:b/>
          <w:bCs/>
          <w:sz w:val="22"/>
          <w:szCs w:val="22"/>
        </w:rPr>
        <w:t>：</w:t>
      </w:r>
      <w:r>
        <w:rPr>
          <w:rFonts w:ascii="宋体" w:hAnsi="宋体"/>
          <w:sz w:val="22"/>
          <w:szCs w:val="22"/>
        </w:rPr>
        <w:t>在理财计划认购期内，</w:t>
      </w:r>
      <w:r>
        <w:rPr>
          <w:rFonts w:ascii="宋体" w:hAnsi="宋体" w:hint="eastAsia"/>
          <w:sz w:val="22"/>
          <w:szCs w:val="22"/>
        </w:rPr>
        <w:t>A份额</w:t>
      </w:r>
      <w:r>
        <w:rPr>
          <w:rFonts w:ascii="宋体" w:hAnsi="宋体"/>
          <w:sz w:val="22"/>
          <w:szCs w:val="22"/>
        </w:rPr>
        <w:t>投资者首次认购单笔最低限额为</w:t>
      </w:r>
      <w:r>
        <w:rPr>
          <w:rFonts w:ascii="宋体" w:hAnsi="宋体" w:hint="eastAsia"/>
          <w:sz w:val="22"/>
          <w:szCs w:val="22"/>
        </w:rPr>
        <w:t>0.01元</w:t>
      </w:r>
      <w:r>
        <w:rPr>
          <w:rFonts w:ascii="宋体" w:hAnsi="宋体"/>
          <w:sz w:val="22"/>
          <w:szCs w:val="22"/>
        </w:rPr>
        <w:t>，高于认购单笔最低限额的份额须为</w:t>
      </w:r>
      <w:r>
        <w:rPr>
          <w:rFonts w:ascii="宋体" w:hAnsi="宋体" w:hint="eastAsia"/>
          <w:sz w:val="22"/>
          <w:szCs w:val="22"/>
        </w:rPr>
        <w:t>0.0</w:t>
      </w:r>
      <w:r>
        <w:rPr>
          <w:rFonts w:ascii="宋体" w:hAnsi="宋体"/>
          <w:sz w:val="22"/>
          <w:szCs w:val="22"/>
        </w:rPr>
        <w:t>1</w:t>
      </w:r>
      <w:r>
        <w:rPr>
          <w:rFonts w:ascii="宋体" w:hAnsi="宋体" w:hint="eastAsia"/>
          <w:sz w:val="22"/>
          <w:szCs w:val="22"/>
        </w:rPr>
        <w:t>元</w:t>
      </w:r>
      <w:r>
        <w:rPr>
          <w:rFonts w:ascii="宋体" w:hAnsi="宋体"/>
          <w:sz w:val="22"/>
          <w:szCs w:val="22"/>
        </w:rPr>
        <w:t>的整数倍。</w:t>
      </w:r>
      <w:r w:rsidR="00287771">
        <w:rPr>
          <w:rFonts w:ascii="宋体" w:hAnsi="宋体"/>
          <w:sz w:val="22"/>
          <w:szCs w:val="22"/>
        </w:rPr>
        <w:t>C</w:t>
      </w:r>
      <w:r w:rsidR="00287771">
        <w:rPr>
          <w:rFonts w:ascii="宋体" w:hAnsi="宋体" w:hint="eastAsia"/>
          <w:sz w:val="22"/>
          <w:szCs w:val="22"/>
        </w:rPr>
        <w:t>份额</w:t>
      </w:r>
      <w:r w:rsidR="00287771">
        <w:rPr>
          <w:rFonts w:ascii="宋体" w:hAnsi="宋体"/>
          <w:sz w:val="22"/>
          <w:szCs w:val="22"/>
        </w:rPr>
        <w:t>投资者首次认购单笔最低限额为</w:t>
      </w:r>
      <w:r w:rsidR="00287771">
        <w:rPr>
          <w:rFonts w:ascii="宋体" w:hAnsi="宋体" w:hint="eastAsia"/>
          <w:sz w:val="22"/>
          <w:szCs w:val="22"/>
        </w:rPr>
        <w:t>0.01元</w:t>
      </w:r>
      <w:r w:rsidR="00287771">
        <w:rPr>
          <w:rFonts w:ascii="宋体" w:hAnsi="宋体"/>
          <w:sz w:val="22"/>
          <w:szCs w:val="22"/>
        </w:rPr>
        <w:t>，高于认购单笔最低限额的份额须为</w:t>
      </w:r>
      <w:r w:rsidR="00287771">
        <w:rPr>
          <w:rFonts w:ascii="宋体" w:hAnsi="宋体" w:hint="eastAsia"/>
          <w:sz w:val="22"/>
          <w:szCs w:val="22"/>
        </w:rPr>
        <w:t>0.0</w:t>
      </w:r>
      <w:r w:rsidR="00287771">
        <w:rPr>
          <w:rFonts w:ascii="宋体" w:hAnsi="宋体"/>
          <w:sz w:val="22"/>
          <w:szCs w:val="22"/>
        </w:rPr>
        <w:t>1</w:t>
      </w:r>
      <w:r w:rsidR="00287771">
        <w:rPr>
          <w:rFonts w:ascii="宋体" w:hAnsi="宋体" w:hint="eastAsia"/>
          <w:sz w:val="22"/>
          <w:szCs w:val="22"/>
        </w:rPr>
        <w:t>元</w:t>
      </w:r>
      <w:r w:rsidR="00287771">
        <w:rPr>
          <w:rFonts w:ascii="宋体" w:hAnsi="宋体"/>
          <w:sz w:val="22"/>
          <w:szCs w:val="22"/>
        </w:rPr>
        <w:t>的整数倍</w:t>
      </w:r>
      <w:r w:rsidR="00287771">
        <w:rPr>
          <w:rFonts w:ascii="宋体" w:hAnsi="宋体" w:hint="eastAsia"/>
          <w:sz w:val="22"/>
          <w:szCs w:val="22"/>
        </w:rPr>
        <w:t>。</w:t>
      </w:r>
      <w:r w:rsidR="00DE0A7C">
        <w:rPr>
          <w:rFonts w:ascii="宋体" w:hAnsi="宋体"/>
          <w:sz w:val="22"/>
          <w:szCs w:val="22"/>
        </w:rPr>
        <w:t>K</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P</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TZ</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DE0A7C">
        <w:rPr>
          <w:rFonts w:ascii="宋体" w:hAnsi="宋体"/>
          <w:sz w:val="22"/>
          <w:szCs w:val="22"/>
        </w:rPr>
        <w:t>TL</w:t>
      </w:r>
      <w:r w:rsidR="00DE0A7C">
        <w:rPr>
          <w:rFonts w:ascii="宋体" w:hAnsi="宋体" w:hint="eastAsia"/>
          <w:sz w:val="22"/>
          <w:szCs w:val="22"/>
        </w:rPr>
        <w:t>份额</w:t>
      </w:r>
      <w:r w:rsidR="00DE0A7C">
        <w:rPr>
          <w:rFonts w:ascii="宋体" w:hAnsi="宋体"/>
          <w:sz w:val="22"/>
          <w:szCs w:val="22"/>
        </w:rPr>
        <w:t>投资者首次认购单笔最低限额为</w:t>
      </w:r>
      <w:r w:rsidR="00DE0A7C">
        <w:rPr>
          <w:rFonts w:ascii="宋体" w:hAnsi="宋体" w:hint="eastAsia"/>
          <w:sz w:val="22"/>
          <w:szCs w:val="22"/>
        </w:rPr>
        <w:t>0.01元</w:t>
      </w:r>
      <w:r w:rsidR="00DE0A7C">
        <w:rPr>
          <w:rFonts w:ascii="宋体" w:hAnsi="宋体"/>
          <w:sz w:val="22"/>
          <w:szCs w:val="22"/>
        </w:rPr>
        <w:t>，高于认购单笔最低限额的份额须为</w:t>
      </w:r>
      <w:r w:rsidR="00DE0A7C">
        <w:rPr>
          <w:rFonts w:ascii="宋体" w:hAnsi="宋体" w:hint="eastAsia"/>
          <w:sz w:val="22"/>
          <w:szCs w:val="22"/>
        </w:rPr>
        <w:t>0.0</w:t>
      </w:r>
      <w:r w:rsidR="00DE0A7C">
        <w:rPr>
          <w:rFonts w:ascii="宋体" w:hAnsi="宋体"/>
          <w:sz w:val="22"/>
          <w:szCs w:val="22"/>
        </w:rPr>
        <w:t>1</w:t>
      </w:r>
      <w:r w:rsidR="00DE0A7C">
        <w:rPr>
          <w:rFonts w:ascii="宋体" w:hAnsi="宋体" w:hint="eastAsia"/>
          <w:sz w:val="22"/>
          <w:szCs w:val="22"/>
        </w:rPr>
        <w:t>元</w:t>
      </w:r>
      <w:r w:rsidR="00DE0A7C">
        <w:rPr>
          <w:rFonts w:ascii="宋体" w:hAnsi="宋体"/>
          <w:sz w:val="22"/>
          <w:szCs w:val="22"/>
        </w:rPr>
        <w:t>的整数倍</w:t>
      </w:r>
      <w:r w:rsidR="00DE0A7C">
        <w:rPr>
          <w:rFonts w:ascii="宋体" w:hAnsi="宋体" w:hint="eastAsia"/>
          <w:sz w:val="22"/>
          <w:szCs w:val="22"/>
        </w:rPr>
        <w:t>。</w:t>
      </w:r>
      <w:r w:rsidR="00287771" w:rsidRPr="0070716E">
        <w:rPr>
          <w:rFonts w:ascii="宋体" w:hAnsi="宋体" w:cs="宋体"/>
          <w:b/>
          <w:bCs/>
          <w:sz w:val="22"/>
        </w:rPr>
        <w:t>销售服务机构的实际认购起点可能与说明书不一致，具体以销售服务机构</w:t>
      </w:r>
      <w:r w:rsidR="00287771">
        <w:rPr>
          <w:rFonts w:ascii="宋体" w:hAnsi="宋体" w:cs="宋体" w:hint="eastAsia"/>
          <w:b/>
          <w:bCs/>
          <w:sz w:val="22"/>
        </w:rPr>
        <w:t>通知</w:t>
      </w:r>
      <w:r w:rsidR="00287771" w:rsidRPr="0070716E">
        <w:rPr>
          <w:rFonts w:ascii="宋体" w:hAnsi="宋体" w:cs="宋体"/>
          <w:b/>
          <w:bCs/>
          <w:sz w:val="22"/>
        </w:rPr>
        <w:t>为准。</w:t>
      </w:r>
    </w:p>
    <w:p w:rsidR="003252C2" w:rsidRDefault="00F10458">
      <w:pPr>
        <w:tabs>
          <w:tab w:val="left" w:pos="0"/>
          <w:tab w:val="left" w:pos="360"/>
        </w:tabs>
        <w:adjustRightInd w:val="0"/>
        <w:snapToGrid w:val="0"/>
        <w:spacing w:line="276" w:lineRule="auto"/>
        <w:rPr>
          <w:rFonts w:asciiTheme="minorEastAsia" w:eastAsiaTheme="minorEastAsia" w:hAnsiTheme="minorEastAsia"/>
          <w:sz w:val="22"/>
          <w:szCs w:val="22"/>
        </w:rPr>
      </w:pPr>
      <w:r>
        <w:rPr>
          <w:rFonts w:ascii="宋体" w:hAnsi="宋体"/>
          <w:sz w:val="22"/>
          <w:szCs w:val="22"/>
        </w:rPr>
        <w:t>7.</w:t>
      </w:r>
      <w:r>
        <w:rPr>
          <w:rFonts w:asciiTheme="minorEastAsia" w:eastAsiaTheme="minorEastAsia" w:hAnsiTheme="minorEastAsia" w:hint="eastAsia"/>
          <w:sz w:val="22"/>
          <w:szCs w:val="22"/>
        </w:rPr>
        <w:t xml:space="preserve"> 在认购期内，投资者可多次认购，本理财计划累计认购金额达到发行规模上限时，招银理财有权停止接受认购申请。</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b/>
          <w:sz w:val="22"/>
          <w:szCs w:val="22"/>
        </w:rPr>
        <w:t>8.</w:t>
      </w:r>
      <w:r>
        <w:rPr>
          <w:rFonts w:asciiTheme="minorEastAsia" w:eastAsiaTheme="minorEastAsia" w:hAnsiTheme="minorEastAsia" w:hint="eastAsia"/>
          <w:b/>
          <w:sz w:val="22"/>
          <w:szCs w:val="22"/>
        </w:rPr>
        <w:t xml:space="preserve"> 认购费</w:t>
      </w:r>
      <w:r>
        <w:rPr>
          <w:rFonts w:asciiTheme="minorEastAsia" w:eastAsiaTheme="minorEastAsia" w:hAnsiTheme="minorEastAsia"/>
          <w:b/>
          <w:sz w:val="22"/>
          <w:szCs w:val="22"/>
        </w:rPr>
        <w:t>：</w:t>
      </w:r>
      <w:r>
        <w:rPr>
          <w:rFonts w:asciiTheme="minorEastAsia" w:eastAsiaTheme="minorEastAsia" w:hAnsiTheme="minorEastAsia" w:hint="eastAsia"/>
          <w:sz w:val="22"/>
          <w:szCs w:val="22"/>
        </w:rPr>
        <w:t>本</w:t>
      </w:r>
      <w:r>
        <w:rPr>
          <w:rFonts w:asciiTheme="minorEastAsia" w:eastAsiaTheme="minorEastAsia" w:hAnsiTheme="minorEastAsia"/>
          <w:sz w:val="22"/>
          <w:szCs w:val="22"/>
        </w:rPr>
        <w:t>理财计划不收取认购费。</w:t>
      </w:r>
    </w:p>
    <w:p w:rsidR="003252C2" w:rsidRDefault="00F10458">
      <w:pPr>
        <w:tabs>
          <w:tab w:val="left" w:pos="0"/>
          <w:tab w:val="left" w:pos="360"/>
        </w:tabs>
        <w:adjustRightInd w:val="0"/>
        <w:snapToGrid w:val="0"/>
        <w:spacing w:line="276"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9.单笔认购上限：</w:t>
      </w:r>
      <w:r>
        <w:rPr>
          <w:rFonts w:asciiTheme="minorEastAsia" w:eastAsiaTheme="minorEastAsia" w:hAnsiTheme="minorEastAsia"/>
          <w:b/>
          <w:sz w:val="22"/>
          <w:szCs w:val="22"/>
        </w:rPr>
        <w:t>A</w:t>
      </w:r>
      <w:r>
        <w:rPr>
          <w:rFonts w:asciiTheme="minorEastAsia" w:eastAsiaTheme="minorEastAsia" w:hAnsiTheme="minorEastAsia" w:hint="eastAsia"/>
          <w:b/>
          <w:sz w:val="22"/>
          <w:szCs w:val="22"/>
        </w:rPr>
        <w:t>份额投资者单笔认购上限为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万元和本理财计划A份额规模上限中二者的较小值。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份额投资者单笔认购上限为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w:t>
      </w:r>
      <w:r w:rsidR="00287771">
        <w:rPr>
          <w:rFonts w:asciiTheme="minorEastAsia" w:eastAsiaTheme="minorEastAsia" w:hAnsiTheme="minorEastAsia" w:hint="eastAsia"/>
          <w:b/>
          <w:sz w:val="22"/>
          <w:szCs w:val="22"/>
        </w:rPr>
        <w:lastRenderedPageBreak/>
        <w:t>二者的较小值。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份额规模上限中二者的较小值。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份额投资者单笔认购上限为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份额规模上限中二者的较小值。</w:t>
      </w:r>
      <w:r>
        <w:rPr>
          <w:rFonts w:asciiTheme="minorEastAsia" w:eastAsiaTheme="minorEastAsia" w:hAnsiTheme="minorEastAsia" w:hint="eastAsia"/>
          <w:b/>
          <w:sz w:val="22"/>
          <w:szCs w:val="22"/>
        </w:rPr>
        <w:t>销售服务机构有权拒绝超过单笔认购上限部分的申请。对于管理人决定拒绝的认购申请，视为认购不成功。</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1</w:t>
      </w:r>
      <w:r>
        <w:rPr>
          <w:rFonts w:asciiTheme="minorEastAsia" w:eastAsiaTheme="minorEastAsia" w:hAnsiTheme="minorEastAsia"/>
          <w:b/>
          <w:sz w:val="22"/>
          <w:szCs w:val="22"/>
        </w:rPr>
        <w:t>0.</w:t>
      </w:r>
      <w:r>
        <w:rPr>
          <w:rFonts w:asciiTheme="minorEastAsia" w:eastAsiaTheme="minorEastAsia" w:hAnsiTheme="minorEastAsia" w:hint="eastAsia"/>
          <w:b/>
          <w:sz w:val="22"/>
          <w:szCs w:val="22"/>
        </w:rPr>
        <w:t>单一投资者持有上限：单一投资者认购</w:t>
      </w:r>
      <w:r>
        <w:rPr>
          <w:rFonts w:asciiTheme="minorEastAsia" w:eastAsiaTheme="minorEastAsia" w:hAnsiTheme="minorEastAsia"/>
          <w:b/>
          <w:sz w:val="22"/>
          <w:szCs w:val="22"/>
        </w:rPr>
        <w:t>/申购本理财计划，</w:t>
      </w:r>
      <w:r>
        <w:rPr>
          <w:rFonts w:asciiTheme="minorEastAsia" w:eastAsiaTheme="minorEastAsia" w:hAnsiTheme="minorEastAsia" w:hint="eastAsia"/>
          <w:b/>
          <w:sz w:val="22"/>
          <w:szCs w:val="22"/>
        </w:rPr>
        <w:t>A份额</w:t>
      </w:r>
      <w:r>
        <w:rPr>
          <w:rFonts w:asciiTheme="minorEastAsia" w:eastAsiaTheme="minorEastAsia" w:hAnsiTheme="minorEastAsia"/>
          <w:b/>
          <w:sz w:val="22"/>
          <w:szCs w:val="22"/>
        </w:rPr>
        <w:t>投资者</w:t>
      </w:r>
      <w:r>
        <w:rPr>
          <w:rFonts w:asciiTheme="minorEastAsia" w:eastAsiaTheme="minorEastAsia" w:hAnsiTheme="minorEastAsia" w:hint="eastAsia"/>
          <w:b/>
          <w:sz w:val="22"/>
          <w:szCs w:val="22"/>
        </w:rPr>
        <w:t>持仓上限为</w:t>
      </w:r>
      <w:r w:rsidR="00627D14">
        <w:rPr>
          <w:rFonts w:asciiTheme="minorEastAsia" w:eastAsiaTheme="minorEastAsia" w:hAnsiTheme="minorEastAsia" w:hint="eastAsia"/>
          <w:b/>
          <w:sz w:val="22"/>
          <w:szCs w:val="22"/>
        </w:rPr>
        <w:t>100</w:t>
      </w:r>
      <w:r>
        <w:rPr>
          <w:rFonts w:asciiTheme="minorEastAsia" w:eastAsiaTheme="minorEastAsia" w:hAnsiTheme="minorEastAsia" w:hint="eastAsia"/>
          <w:b/>
          <w:sz w:val="22"/>
          <w:szCs w:val="22"/>
        </w:rPr>
        <w:t>万元和本理财计划A份额规模上限中的较小值。</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份额投资者持仓上限为</w:t>
      </w:r>
      <w:r w:rsidR="00287771">
        <w:rPr>
          <w:rFonts w:asciiTheme="minorEastAsia" w:eastAsiaTheme="minorEastAsia" w:hAnsiTheme="minorEastAsia"/>
          <w:b/>
          <w:sz w:val="22"/>
          <w:szCs w:val="22"/>
        </w:rPr>
        <w:t>1</w:t>
      </w:r>
      <w:r w:rsidR="00287771">
        <w:rPr>
          <w:rFonts w:asciiTheme="minorEastAsia" w:eastAsiaTheme="minorEastAsia" w:hAnsiTheme="minorEastAsia" w:hint="eastAsia"/>
          <w:b/>
          <w:sz w:val="22"/>
          <w:szCs w:val="22"/>
        </w:rPr>
        <w:t>亿元和本理财计划</w:t>
      </w:r>
      <w:r w:rsidR="00287771">
        <w:rPr>
          <w:rFonts w:asciiTheme="minorEastAsia" w:eastAsiaTheme="minorEastAsia" w:hAnsiTheme="minorEastAsia"/>
          <w:b/>
          <w:sz w:val="22"/>
          <w:szCs w:val="22"/>
        </w:rPr>
        <w:t>C</w:t>
      </w:r>
      <w:r w:rsidR="00287771">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K</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P</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TZ</w:t>
      </w:r>
      <w:r w:rsidR="00DE0A7C">
        <w:rPr>
          <w:rFonts w:asciiTheme="minorEastAsia" w:eastAsiaTheme="minorEastAsia" w:hAnsiTheme="minorEastAsia" w:hint="eastAsia"/>
          <w:b/>
          <w:sz w:val="22"/>
          <w:szCs w:val="22"/>
        </w:rPr>
        <w:t>份额规模上限中的较小值。</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份额投资者持仓上限为</w:t>
      </w:r>
      <w:r w:rsidR="00DE0A7C">
        <w:rPr>
          <w:rFonts w:asciiTheme="minorEastAsia" w:eastAsiaTheme="minorEastAsia" w:hAnsiTheme="minorEastAsia"/>
          <w:b/>
          <w:sz w:val="22"/>
          <w:szCs w:val="22"/>
        </w:rPr>
        <w:t>1000</w:t>
      </w:r>
      <w:r w:rsidR="00DE0A7C">
        <w:rPr>
          <w:rFonts w:asciiTheme="minorEastAsia" w:eastAsiaTheme="minorEastAsia" w:hAnsiTheme="minorEastAsia" w:hint="eastAsia"/>
          <w:b/>
          <w:sz w:val="22"/>
          <w:szCs w:val="22"/>
        </w:rPr>
        <w:t>万元和本理财计划</w:t>
      </w:r>
      <w:r w:rsidR="00DE0A7C">
        <w:rPr>
          <w:rFonts w:asciiTheme="minorEastAsia" w:eastAsiaTheme="minorEastAsia" w:hAnsiTheme="minorEastAsia"/>
          <w:b/>
          <w:sz w:val="22"/>
          <w:szCs w:val="22"/>
        </w:rPr>
        <w:t>TL</w:t>
      </w:r>
      <w:r w:rsidR="00DE0A7C">
        <w:rPr>
          <w:rFonts w:asciiTheme="minorEastAsia" w:eastAsiaTheme="minorEastAsia" w:hAnsiTheme="minorEastAsia" w:hint="eastAsia"/>
          <w:b/>
          <w:sz w:val="22"/>
          <w:szCs w:val="22"/>
        </w:rPr>
        <w:t>份额规模上限中的较小值。</w:t>
      </w:r>
      <w:r>
        <w:rPr>
          <w:rFonts w:asciiTheme="minorEastAsia" w:eastAsiaTheme="minorEastAsia" w:hAnsiTheme="minorEastAsia" w:hint="eastAsia"/>
          <w:b/>
          <w:sz w:val="22"/>
          <w:szCs w:val="22"/>
        </w:rPr>
        <w:t>招银理财有权拒绝超过单一投资者持有上限部分的申请。对于招银理财决定拒绝的认购</w:t>
      </w:r>
      <w:r>
        <w:rPr>
          <w:rFonts w:asciiTheme="minorEastAsia" w:eastAsiaTheme="minorEastAsia" w:hAnsiTheme="minorEastAsia"/>
          <w:b/>
          <w:sz w:val="22"/>
          <w:szCs w:val="22"/>
        </w:rPr>
        <w:t>/申购申请，视为认购/申购不成功。</w:t>
      </w:r>
    </w:p>
    <w:p w:rsidR="003252C2" w:rsidRDefault="00F10458">
      <w:pPr>
        <w:adjustRightInd w:val="0"/>
        <w:snapToGrid w:val="0"/>
        <w:spacing w:line="276" w:lineRule="auto"/>
        <w:rPr>
          <w:rFonts w:asciiTheme="minorEastAsia" w:eastAsiaTheme="minorEastAsia" w:hAnsiTheme="minorEastAsia"/>
          <w:b/>
          <w:sz w:val="22"/>
          <w:szCs w:val="22"/>
        </w:rPr>
      </w:pPr>
      <w:r>
        <w:rPr>
          <w:rFonts w:ascii="宋体" w:hAnsi="宋体" w:hint="eastAsia"/>
          <w:sz w:val="22"/>
          <w:szCs w:val="22"/>
        </w:rPr>
        <w:t>1</w:t>
      </w:r>
      <w:r>
        <w:rPr>
          <w:rFonts w:ascii="宋体" w:hAnsi="宋体"/>
          <w:sz w:val="22"/>
          <w:szCs w:val="22"/>
        </w:rPr>
        <w:t>1.</w:t>
      </w:r>
      <w:r>
        <w:rPr>
          <w:rFonts w:ascii="宋体" w:hAnsi="宋体" w:hint="eastAsia"/>
          <w:sz w:val="22"/>
          <w:szCs w:val="22"/>
        </w:rPr>
        <w:t>本理财计划不允许单一投资者持有份额超过本理财计划总份额的50%，对于因理财产品销售募集情况、理财产品规模变化等非因管理人主观因素导致单一投资者持有理财计划份额的比例达到或超过</w:t>
      </w:r>
      <w:r>
        <w:rPr>
          <w:rFonts w:ascii="宋体" w:hAnsi="宋体"/>
          <w:sz w:val="22"/>
          <w:szCs w:val="22"/>
        </w:rPr>
        <w:t>50%</w:t>
      </w:r>
      <w:r>
        <w:rPr>
          <w:rFonts w:ascii="宋体" w:hAnsi="宋体" w:hint="eastAsia"/>
          <w:sz w:val="22"/>
          <w:szCs w:val="22"/>
        </w:rPr>
        <w:t>的，管理人有权采取控制措施，包括但不限于暂停接受该投资者的认</w:t>
      </w:r>
      <w:r>
        <w:rPr>
          <w:rFonts w:ascii="宋体" w:hAnsi="宋体"/>
          <w:sz w:val="22"/>
          <w:szCs w:val="22"/>
        </w:rPr>
        <w:t>/申购</w:t>
      </w:r>
      <w:r>
        <w:rPr>
          <w:rFonts w:ascii="宋体" w:hAnsi="宋体" w:hint="eastAsia"/>
          <w:sz w:val="22"/>
          <w:szCs w:val="22"/>
        </w:rPr>
        <w:t>申请、对持有理财计划份额的比例达到或超过</w:t>
      </w:r>
      <w:r>
        <w:rPr>
          <w:rFonts w:ascii="宋体" w:hAnsi="宋体"/>
          <w:sz w:val="22"/>
          <w:szCs w:val="22"/>
        </w:rPr>
        <w:t>50%</w:t>
      </w:r>
      <w:r>
        <w:rPr>
          <w:rFonts w:ascii="宋体" w:hAnsi="宋体" w:hint="eastAsia"/>
          <w:sz w:val="22"/>
          <w:szCs w:val="22"/>
        </w:rPr>
        <w:t>的单一投资者采取比例确认等方式进行认</w:t>
      </w:r>
      <w:r>
        <w:rPr>
          <w:rFonts w:ascii="宋体" w:hAnsi="宋体"/>
          <w:sz w:val="22"/>
          <w:szCs w:val="22"/>
        </w:rPr>
        <w:t>/</w:t>
      </w:r>
      <w:r>
        <w:rPr>
          <w:rFonts w:ascii="宋体" w:hAnsi="宋体" w:hint="eastAsia"/>
          <w:sz w:val="22"/>
          <w:szCs w:val="22"/>
        </w:rPr>
        <w:t>申购申请限制等。</w:t>
      </w:r>
    </w:p>
    <w:p w:rsidR="003252C2" w:rsidRDefault="00F10458">
      <w:pPr>
        <w:rPr>
          <w:rFonts w:ascii="宋体" w:hAnsi="宋体"/>
          <w:b/>
          <w:bCs/>
          <w:sz w:val="22"/>
          <w:szCs w:val="22"/>
        </w:rPr>
      </w:pPr>
      <w:r>
        <w:rPr>
          <w:rFonts w:ascii="宋体" w:hAnsi="宋体"/>
          <w:b/>
          <w:bCs/>
          <w:sz w:val="22"/>
          <w:szCs w:val="22"/>
        </w:rPr>
        <w:t>12.认购方式及确认：</w:t>
      </w:r>
    </w:p>
    <w:p w:rsidR="003252C2" w:rsidRDefault="00F10458">
      <w:pPr>
        <w:spacing w:line="276" w:lineRule="auto"/>
        <w:rPr>
          <w:rFonts w:ascii="宋体" w:hAnsi="宋体"/>
          <w:sz w:val="22"/>
          <w:szCs w:val="22"/>
        </w:rPr>
      </w:pPr>
      <w:r>
        <w:rPr>
          <w:rFonts w:ascii="宋体" w:hAnsi="宋体"/>
          <w:sz w:val="22"/>
          <w:szCs w:val="22"/>
        </w:rPr>
        <w:t>（1）本理财计划采取金额认购的方式；</w:t>
      </w:r>
      <w:r>
        <w:rPr>
          <w:rFonts w:ascii="宋体" w:hAnsi="宋体" w:hint="eastAsia"/>
          <w:sz w:val="22"/>
          <w:szCs w:val="22"/>
        </w:rPr>
        <w:t xml:space="preserve"> </w:t>
      </w:r>
    </w:p>
    <w:p w:rsidR="003252C2" w:rsidRDefault="00F10458">
      <w:pPr>
        <w:spacing w:line="276" w:lineRule="auto"/>
        <w:rPr>
          <w:rFonts w:ascii="宋体" w:hAnsi="宋体"/>
          <w:b/>
          <w:sz w:val="22"/>
          <w:szCs w:val="22"/>
        </w:rPr>
      </w:pPr>
      <w:r>
        <w:rPr>
          <w:rFonts w:ascii="宋体" w:hAnsi="宋体"/>
          <w:b/>
          <w:sz w:val="22"/>
          <w:szCs w:val="22"/>
        </w:rPr>
        <w:t>（2）</w:t>
      </w:r>
      <w:r>
        <w:rPr>
          <w:rFonts w:ascii="宋体" w:hAnsi="宋体" w:hint="eastAsia"/>
          <w:b/>
          <w:sz w:val="22"/>
          <w:szCs w:val="22"/>
        </w:rPr>
        <w:t>销售服务机构</w:t>
      </w:r>
      <w:r>
        <w:rPr>
          <w:rFonts w:ascii="宋体" w:hAnsi="宋体"/>
          <w:b/>
          <w:sz w:val="22"/>
          <w:szCs w:val="22"/>
        </w:rPr>
        <w:t>受理认购申请并不表示对该申请成功的确认，而仅代表</w:t>
      </w:r>
      <w:r>
        <w:rPr>
          <w:rFonts w:ascii="宋体" w:hAnsi="宋体" w:hint="eastAsia"/>
          <w:b/>
          <w:sz w:val="22"/>
          <w:szCs w:val="22"/>
        </w:rPr>
        <w:t>其</w:t>
      </w:r>
      <w:r>
        <w:rPr>
          <w:rFonts w:ascii="宋体" w:hAnsi="宋体"/>
          <w:b/>
          <w:sz w:val="22"/>
          <w:szCs w:val="22"/>
        </w:rPr>
        <w:t>收到了认购申请，申请是否</w:t>
      </w:r>
      <w:r>
        <w:rPr>
          <w:rFonts w:ascii="宋体" w:hAnsi="宋体" w:hint="eastAsia"/>
          <w:b/>
          <w:sz w:val="22"/>
          <w:szCs w:val="22"/>
        </w:rPr>
        <w:t>成功</w:t>
      </w:r>
      <w:r>
        <w:rPr>
          <w:rFonts w:ascii="宋体" w:hAnsi="宋体"/>
          <w:b/>
          <w:sz w:val="22"/>
          <w:szCs w:val="22"/>
        </w:rPr>
        <w:t>应以</w:t>
      </w:r>
      <w:r>
        <w:rPr>
          <w:rFonts w:ascii="宋体" w:hAnsi="宋体" w:hint="eastAsia"/>
          <w:b/>
          <w:sz w:val="22"/>
          <w:szCs w:val="22"/>
        </w:rPr>
        <w:t>管理人</w:t>
      </w:r>
      <w:r>
        <w:rPr>
          <w:rFonts w:ascii="宋体" w:hAnsi="宋体"/>
          <w:b/>
          <w:sz w:val="22"/>
          <w:szCs w:val="22"/>
        </w:rPr>
        <w:t>的</w:t>
      </w:r>
      <w:r>
        <w:rPr>
          <w:rFonts w:ascii="宋体" w:hAnsi="宋体" w:hint="eastAsia"/>
          <w:b/>
          <w:sz w:val="22"/>
          <w:szCs w:val="22"/>
        </w:rPr>
        <w:t>最终另行</w:t>
      </w:r>
      <w:r>
        <w:rPr>
          <w:rFonts w:ascii="宋体" w:hAnsi="宋体"/>
          <w:b/>
          <w:sz w:val="22"/>
          <w:szCs w:val="22"/>
        </w:rPr>
        <w:t>确认为准。</w:t>
      </w:r>
      <w:r>
        <w:rPr>
          <w:rFonts w:asciiTheme="minorEastAsia" w:eastAsiaTheme="minorEastAsia" w:hAnsiTheme="minorEastAsia" w:cs="Arial" w:hint="eastAsia"/>
          <w:b/>
          <w:sz w:val="22"/>
          <w:szCs w:val="22"/>
        </w:rPr>
        <w:t>具体而言，</w:t>
      </w:r>
      <w:r>
        <w:rPr>
          <w:rFonts w:ascii="宋体" w:hAnsi="宋体" w:hint="eastAsia"/>
          <w:sz w:val="22"/>
          <w:szCs w:val="22"/>
        </w:rPr>
        <w:t>投资者按规定提交认购申请、全额交付款项并经销售服务机构成功冻结或预扣的，认购申请成立；</w:t>
      </w:r>
      <w:r>
        <w:rPr>
          <w:rFonts w:asciiTheme="minorEastAsia" w:eastAsiaTheme="minorEastAsia" w:hAnsiTheme="minorEastAsia" w:cs="Arial" w:hint="eastAsia"/>
          <w:b/>
          <w:sz w:val="22"/>
          <w:szCs w:val="22"/>
        </w:rPr>
        <w:t>如管理人在认购登记日根据投资者的认购申请为投资者成功登记认购份额，则视为投资者的认购申请</w:t>
      </w:r>
      <w:r>
        <w:rPr>
          <w:rFonts w:ascii="宋体" w:hAnsi="宋体" w:hint="eastAsia"/>
          <w:sz w:val="22"/>
          <w:szCs w:val="22"/>
        </w:rPr>
        <w:t>生效</w:t>
      </w:r>
      <w:r>
        <w:rPr>
          <w:rFonts w:asciiTheme="minorEastAsia" w:eastAsiaTheme="minorEastAsia" w:hAnsiTheme="minorEastAsia" w:cs="Arial" w:hint="eastAsia"/>
          <w:b/>
          <w:sz w:val="22"/>
          <w:szCs w:val="22"/>
        </w:rPr>
        <w:t>，并以管理人的登记结果为准。</w:t>
      </w:r>
      <w:r>
        <w:rPr>
          <w:rFonts w:asciiTheme="minorEastAsia" w:eastAsiaTheme="minorEastAsia" w:hAnsiTheme="minorEastAsia"/>
          <w:b/>
          <w:sz w:val="22"/>
          <w:szCs w:val="22"/>
        </w:rPr>
        <w:t>投资者应在本理财计划成立后及时查询最终成交确认情况及认购的份额；</w:t>
      </w:r>
    </w:p>
    <w:p w:rsidR="003252C2" w:rsidRDefault="00F10458">
      <w:pPr>
        <w:spacing w:line="276" w:lineRule="auto"/>
        <w:rPr>
          <w:rFonts w:ascii="宋体" w:hAnsi="宋体"/>
          <w:sz w:val="22"/>
          <w:szCs w:val="22"/>
        </w:rPr>
      </w:pPr>
      <w:r>
        <w:rPr>
          <w:rFonts w:ascii="宋体" w:hAnsi="宋体"/>
          <w:b/>
          <w:bCs/>
          <w:sz w:val="22"/>
          <w:szCs w:val="22"/>
        </w:rPr>
        <w:t>（3）认购撤单：</w:t>
      </w:r>
      <w:r>
        <w:rPr>
          <w:rFonts w:asciiTheme="minorEastAsia" w:eastAsiaTheme="minorEastAsia" w:hAnsiTheme="minorEastAsia" w:cs="Arial" w:hint="eastAsia"/>
          <w:sz w:val="22"/>
          <w:szCs w:val="22"/>
        </w:rPr>
        <w:t>认购期内，投资者有权撤销其已向销售服务机构递交的全部或者部分认购申请，除非投资者在认购期内多次认购，否则投资者只能选择全部撤单。如投资者在认购期内多次认购，则投资者有权撤销其初次认购申请或任一追加认购申请，但必须就对应该笔认购的申请全单撤销；撤销某一认购申请的，A份额投资者剩余的各笔认购申请的认购金额合计不得低于0.01</w:t>
      </w:r>
      <w:r w:rsidR="001C08B1">
        <w:rPr>
          <w:rFonts w:asciiTheme="minorEastAsia" w:eastAsiaTheme="minorEastAsia" w:hAnsiTheme="minorEastAsia" w:cs="Arial" w:hint="eastAsia"/>
          <w:sz w:val="22"/>
          <w:szCs w:val="22"/>
        </w:rPr>
        <w:t>元</w:t>
      </w:r>
      <w:r>
        <w:rPr>
          <w:rFonts w:asciiTheme="minorEastAsia" w:eastAsiaTheme="minorEastAsia" w:hAnsiTheme="minorEastAsia" w:cs="Arial" w:hint="eastAsia"/>
          <w:sz w:val="22"/>
          <w:szCs w:val="22"/>
        </w:rPr>
        <w:t>，</w:t>
      </w:r>
      <w:r w:rsidR="00287771">
        <w:rPr>
          <w:rFonts w:asciiTheme="minorEastAsia" w:eastAsiaTheme="minorEastAsia" w:hAnsiTheme="minorEastAsia" w:cs="Arial"/>
          <w:sz w:val="22"/>
          <w:szCs w:val="22"/>
        </w:rPr>
        <w:t>C</w:t>
      </w:r>
      <w:r w:rsidR="00287771">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K</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P</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TZ</w:t>
      </w:r>
      <w:r w:rsidR="00DE0A7C">
        <w:rPr>
          <w:rFonts w:asciiTheme="minorEastAsia" w:eastAsiaTheme="minorEastAsia" w:hAnsiTheme="minorEastAsia" w:cs="Arial" w:hint="eastAsia"/>
          <w:sz w:val="22"/>
          <w:szCs w:val="22"/>
        </w:rPr>
        <w:t>份额投资者剩余的各笔认购申请的认购金额合计不得低于0.01元，</w:t>
      </w:r>
      <w:r w:rsidR="00DE0A7C">
        <w:rPr>
          <w:rFonts w:asciiTheme="minorEastAsia" w:eastAsiaTheme="minorEastAsia" w:hAnsiTheme="minorEastAsia" w:cs="Arial"/>
          <w:sz w:val="22"/>
          <w:szCs w:val="22"/>
        </w:rPr>
        <w:t>TL</w:t>
      </w:r>
      <w:r w:rsidR="00DE0A7C">
        <w:rPr>
          <w:rFonts w:asciiTheme="minorEastAsia" w:eastAsiaTheme="minorEastAsia" w:hAnsiTheme="minorEastAsia" w:cs="Arial" w:hint="eastAsia"/>
          <w:sz w:val="22"/>
          <w:szCs w:val="22"/>
        </w:rPr>
        <w:t>份额投资者剩余的各笔认购申请的认购金额合计不得低于0.01元，</w:t>
      </w:r>
      <w:r>
        <w:rPr>
          <w:rFonts w:asciiTheme="minorEastAsia" w:eastAsiaTheme="minorEastAsia" w:hAnsiTheme="minorEastAsia" w:cs="Arial" w:hint="eastAsia"/>
          <w:sz w:val="22"/>
          <w:szCs w:val="22"/>
        </w:rPr>
        <w:t>否则，投资者应将剩余各笔认购申请一次性全单撤销。</w:t>
      </w:r>
    </w:p>
    <w:p w:rsidR="003252C2" w:rsidRDefault="00F10458">
      <w:pPr>
        <w:adjustRightInd w:val="0"/>
        <w:snapToGrid w:val="0"/>
        <w:spacing w:line="276" w:lineRule="auto"/>
        <w:rPr>
          <w:rFonts w:asciiTheme="minorEastAsia" w:eastAsiaTheme="minorEastAsia" w:hAnsiTheme="minorEastAsia" w:cs="Arial"/>
          <w:b/>
          <w:sz w:val="22"/>
          <w:szCs w:val="22"/>
        </w:rPr>
      </w:pPr>
      <w:r>
        <w:rPr>
          <w:rFonts w:ascii="宋体" w:hAnsi="宋体" w:hint="eastAsia"/>
          <w:sz w:val="22"/>
          <w:szCs w:val="22"/>
        </w:rPr>
        <w:t>（4）投资者在认购期内认购申请被受理后，</w:t>
      </w:r>
      <w:r>
        <w:rPr>
          <w:rFonts w:asciiTheme="minorEastAsia" w:eastAsiaTheme="minorEastAsia" w:hAnsiTheme="minorEastAsia" w:cs="Arial" w:hint="eastAsia"/>
          <w:sz w:val="22"/>
          <w:szCs w:val="22"/>
        </w:rPr>
        <w:t>销售服务机构有权冻结人民币资金形式的</w:t>
      </w:r>
      <w:r>
        <w:rPr>
          <w:rFonts w:asciiTheme="minorEastAsia" w:eastAsiaTheme="minorEastAsia" w:hAnsiTheme="minorEastAsia" w:cs="Arial" w:hint="eastAsia"/>
          <w:sz w:val="22"/>
        </w:rPr>
        <w:t>认购款项。</w:t>
      </w:r>
      <w:r>
        <w:rPr>
          <w:rFonts w:asciiTheme="minorEastAsia" w:eastAsiaTheme="minorEastAsia" w:hAnsiTheme="minorEastAsia" w:cs="Arial" w:hint="eastAsia"/>
          <w:b/>
          <w:sz w:val="22"/>
        </w:rPr>
        <w:t xml:space="preserve"> </w:t>
      </w:r>
    </w:p>
    <w:p w:rsidR="003252C2" w:rsidRDefault="003252C2">
      <w:pPr>
        <w:rPr>
          <w:rFonts w:ascii="宋体" w:hAnsi="宋体" w:cs="Arial"/>
          <w:b/>
          <w:sz w:val="24"/>
        </w:rPr>
      </w:pPr>
    </w:p>
    <w:p w:rsidR="003252C2" w:rsidRDefault="00F10458">
      <w:pPr>
        <w:adjustRightInd w:val="0"/>
        <w:snapToGrid w:val="0"/>
        <w:spacing w:line="300" w:lineRule="auto"/>
        <w:jc w:val="left"/>
        <w:rPr>
          <w:rFonts w:ascii="宋体" w:hAnsi="宋体"/>
          <w:b/>
          <w:sz w:val="22"/>
          <w:szCs w:val="22"/>
        </w:rPr>
      </w:pPr>
      <w:r>
        <w:rPr>
          <w:rFonts w:ascii="宋体" w:hAnsi="宋体" w:hint="eastAsia"/>
          <w:b/>
          <w:sz w:val="22"/>
          <w:szCs w:val="22"/>
        </w:rPr>
        <w:lastRenderedPageBreak/>
        <w:t>理财计划申购、赎回</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宋体" w:hAnsi="宋体"/>
          <w:b/>
          <w:bCs/>
          <w:sz w:val="22"/>
          <w:szCs w:val="22"/>
        </w:rPr>
        <w:t>1.</w:t>
      </w:r>
      <w:r>
        <w:rPr>
          <w:rFonts w:asciiTheme="minorEastAsia" w:eastAsiaTheme="minorEastAsia" w:hAnsiTheme="minorEastAsia" w:hint="eastAsia"/>
          <w:b/>
          <w:bCs/>
          <w:sz w:val="22"/>
          <w:szCs w:val="22"/>
        </w:rPr>
        <w:t>开放日：</w:t>
      </w:r>
      <w:r>
        <w:rPr>
          <w:rFonts w:asciiTheme="minorEastAsia" w:eastAsiaTheme="minorEastAsia" w:hAnsiTheme="minorEastAsia"/>
          <w:sz w:val="22"/>
          <w:szCs w:val="22"/>
        </w:rPr>
        <w:t>本</w:t>
      </w:r>
      <w:r>
        <w:rPr>
          <w:rFonts w:asciiTheme="minorEastAsia" w:eastAsiaTheme="minorEastAsia" w:hAnsiTheme="minorEastAsia" w:hint="eastAsia"/>
          <w:sz w:val="22"/>
          <w:szCs w:val="22"/>
        </w:rPr>
        <w:t>理财计划存续期间，每个工作日为开放日，管理人在开放日对投资者的申购、赎回申请进行确认。</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b/>
          <w:bCs/>
          <w:sz w:val="22"/>
          <w:szCs w:val="22"/>
        </w:rPr>
        <w:t>2.</w:t>
      </w:r>
      <w:r>
        <w:rPr>
          <w:rFonts w:ascii="宋体" w:hAnsi="宋体" w:hint="eastAsia"/>
          <w:b/>
          <w:bCs/>
          <w:sz w:val="22"/>
          <w:szCs w:val="22"/>
        </w:rPr>
        <w:t>申购、赎回期</w:t>
      </w:r>
      <w:r>
        <w:rPr>
          <w:rFonts w:ascii="宋体" w:hAnsi="宋体"/>
          <w:b/>
          <w:bCs/>
          <w:sz w:val="22"/>
          <w:szCs w:val="22"/>
        </w:rPr>
        <w:t>/</w:t>
      </w:r>
      <w:r>
        <w:rPr>
          <w:rFonts w:ascii="宋体" w:hAnsi="宋体" w:hint="eastAsia"/>
          <w:b/>
          <w:bCs/>
          <w:sz w:val="22"/>
          <w:szCs w:val="22"/>
        </w:rPr>
        <w:t>开放期：</w:t>
      </w:r>
      <w:r>
        <w:rPr>
          <w:rFonts w:ascii="宋体" w:hAnsi="宋体"/>
          <w:sz w:val="22"/>
          <w:szCs w:val="22"/>
        </w:rPr>
        <w:t>本理财计划存续期内</w:t>
      </w:r>
      <w:r>
        <w:rPr>
          <w:rFonts w:ascii="宋体" w:hAnsi="宋体" w:hint="eastAsia"/>
          <w:sz w:val="22"/>
          <w:szCs w:val="22"/>
        </w:rPr>
        <w:t>，</w:t>
      </w:r>
      <w:r>
        <w:rPr>
          <w:rFonts w:asciiTheme="minorEastAsia" w:eastAsiaTheme="minorEastAsia" w:hAnsiTheme="minorEastAsia"/>
          <w:sz w:val="22"/>
          <w:szCs w:val="22"/>
        </w:rPr>
        <w:t>每</w:t>
      </w:r>
      <w:r>
        <w:rPr>
          <w:rFonts w:asciiTheme="minorEastAsia" w:eastAsiaTheme="minorEastAsia" w:hAnsiTheme="minorEastAsia" w:hint="eastAsia"/>
          <w:sz w:val="22"/>
          <w:szCs w:val="22"/>
        </w:rPr>
        <w: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w:t>
      </w:r>
      <w:r>
        <w:rPr>
          <w:rFonts w:asciiTheme="minorEastAsia" w:eastAsiaTheme="minorEastAsia" w:hAnsiTheme="minorEastAsia"/>
          <w:sz w:val="22"/>
          <w:szCs w:val="22"/>
        </w:rPr>
        <w:t>00至24:00</w:t>
      </w:r>
      <w:r>
        <w:rPr>
          <w:rFonts w:asciiTheme="minorEastAsia" w:eastAsiaTheme="minorEastAsia" w:hAnsiTheme="minorEastAsia" w:hint="eastAsia"/>
          <w:sz w:val="22"/>
          <w:szCs w:val="22"/>
        </w:rPr>
        <w:t>为理财计划开放期，投资者可在开放期提交申购/赎回申请，管理人仅在开放日对申购/赎回申请进行确认，具体确认日期以申购/赎回确认日规则为准</w:t>
      </w:r>
      <w:r>
        <w:rPr>
          <w:rFonts w:asciiTheme="minorEastAsia" w:eastAsiaTheme="minorEastAsia" w:hAnsiTheme="minorEastAsia"/>
          <w:sz w:val="22"/>
          <w:szCs w:val="22"/>
        </w:rPr>
        <w:t>。</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b/>
          <w:bCs/>
          <w:sz w:val="22"/>
          <w:szCs w:val="22"/>
        </w:rPr>
        <w:t>3.单笔</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上限：</w:t>
      </w:r>
      <w:r>
        <w:rPr>
          <w:rFonts w:asciiTheme="minorEastAsia" w:eastAsiaTheme="minorEastAsia" w:hAnsiTheme="minorEastAsia" w:hint="eastAsia"/>
          <w:b/>
          <w:bCs/>
          <w:sz w:val="22"/>
          <w:szCs w:val="22"/>
        </w:rPr>
        <w:t>A份额</w:t>
      </w:r>
      <w:r>
        <w:rPr>
          <w:rFonts w:asciiTheme="minorEastAsia" w:eastAsiaTheme="minorEastAsia" w:hAnsiTheme="minorEastAsia"/>
          <w:sz w:val="22"/>
          <w:szCs w:val="22"/>
        </w:rPr>
        <w:t>投资者单笔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上限为</w:t>
      </w:r>
      <w:r w:rsidR="00627D14">
        <w:rPr>
          <w:rFonts w:asciiTheme="minorEastAsia" w:eastAsiaTheme="minorEastAsia" w:hAnsiTheme="minorEastAsia" w:hint="eastAsia"/>
          <w:sz w:val="22"/>
          <w:szCs w:val="22"/>
        </w:rPr>
        <w:t>100</w:t>
      </w:r>
      <w:r>
        <w:rPr>
          <w:rFonts w:asciiTheme="minorEastAsia" w:eastAsiaTheme="minorEastAsia" w:hAnsiTheme="minorEastAsia" w:hint="eastAsia"/>
          <w:sz w:val="22"/>
          <w:szCs w:val="22"/>
        </w:rPr>
        <w:t>万元和本理财计划A份额规模上限中二者的较小值，</w:t>
      </w:r>
      <w:r w:rsidR="00287771">
        <w:rPr>
          <w:rFonts w:asciiTheme="minorEastAsia" w:eastAsiaTheme="minorEastAsia" w:hAnsiTheme="minorEastAsia"/>
          <w:b/>
          <w:bCs/>
          <w:sz w:val="22"/>
          <w:szCs w:val="22"/>
        </w:rPr>
        <w:t>C</w:t>
      </w:r>
      <w:r w:rsidR="00287771">
        <w:rPr>
          <w:rFonts w:asciiTheme="minorEastAsia" w:eastAsiaTheme="minorEastAsia" w:hAnsiTheme="minorEastAsia" w:hint="eastAsia"/>
          <w:b/>
          <w:bCs/>
          <w:sz w:val="22"/>
          <w:szCs w:val="22"/>
        </w:rPr>
        <w:t>份额</w:t>
      </w:r>
      <w:r w:rsidR="00287771">
        <w:rPr>
          <w:rFonts w:asciiTheme="minorEastAsia" w:eastAsiaTheme="minorEastAsia" w:hAnsiTheme="minorEastAsia" w:hint="eastAsia"/>
          <w:sz w:val="22"/>
          <w:szCs w:val="22"/>
        </w:rPr>
        <w:t>投资者单笔申购上限为1亿</w:t>
      </w:r>
      <w:r w:rsidR="00287771">
        <w:rPr>
          <w:rFonts w:asciiTheme="minorEastAsia" w:eastAsiaTheme="minorEastAsia" w:hAnsiTheme="minorEastAsia"/>
          <w:sz w:val="22"/>
          <w:szCs w:val="22"/>
        </w:rPr>
        <w:t>元和本理财计划C</w:t>
      </w:r>
      <w:r w:rsidR="00287771">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K</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元和本理财计划K</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P</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元和本理财计划P</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TZ</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元和本理财计划TZ</w:t>
      </w:r>
      <w:r w:rsidR="00DE0A7C">
        <w:rPr>
          <w:rFonts w:asciiTheme="minorEastAsia" w:eastAsiaTheme="minorEastAsia" w:hAnsiTheme="minorEastAsia" w:hint="eastAsia"/>
          <w:sz w:val="22"/>
          <w:szCs w:val="22"/>
        </w:rPr>
        <w:t>份额规模上限中二者的较小值，</w:t>
      </w:r>
      <w:r w:rsidR="00DE0A7C">
        <w:rPr>
          <w:rFonts w:asciiTheme="minorEastAsia" w:eastAsiaTheme="minorEastAsia" w:hAnsiTheme="minorEastAsia"/>
          <w:b/>
          <w:bCs/>
          <w:sz w:val="22"/>
          <w:szCs w:val="22"/>
        </w:rPr>
        <w:t>TL</w:t>
      </w:r>
      <w:r w:rsidR="00DE0A7C">
        <w:rPr>
          <w:rFonts w:asciiTheme="minorEastAsia" w:eastAsiaTheme="minorEastAsia" w:hAnsiTheme="minorEastAsia" w:hint="eastAsia"/>
          <w:b/>
          <w:bCs/>
          <w:sz w:val="22"/>
          <w:szCs w:val="22"/>
        </w:rPr>
        <w:t>份额</w:t>
      </w:r>
      <w:r w:rsidR="00DE0A7C">
        <w:rPr>
          <w:rFonts w:asciiTheme="minorEastAsia" w:eastAsiaTheme="minorEastAsia" w:hAnsiTheme="minorEastAsia" w:hint="eastAsia"/>
          <w:sz w:val="22"/>
          <w:szCs w:val="22"/>
        </w:rPr>
        <w:t>投资者单笔申购上限为10</w:t>
      </w:r>
      <w:r w:rsidR="00DE0A7C">
        <w:rPr>
          <w:rFonts w:asciiTheme="minorEastAsia" w:eastAsiaTheme="minorEastAsia" w:hAnsiTheme="minorEastAsia"/>
          <w:sz w:val="22"/>
          <w:szCs w:val="22"/>
        </w:rPr>
        <w:t>00</w:t>
      </w:r>
      <w:r w:rsidR="00DE0A7C">
        <w:rPr>
          <w:rFonts w:asciiTheme="minorEastAsia" w:eastAsiaTheme="minorEastAsia" w:hAnsiTheme="minorEastAsia" w:hint="eastAsia"/>
          <w:sz w:val="22"/>
          <w:szCs w:val="22"/>
        </w:rPr>
        <w:t>万</w:t>
      </w:r>
      <w:r w:rsidR="00DE0A7C">
        <w:rPr>
          <w:rFonts w:asciiTheme="minorEastAsia" w:eastAsiaTheme="minorEastAsia" w:hAnsiTheme="minorEastAsia"/>
          <w:sz w:val="22"/>
          <w:szCs w:val="22"/>
        </w:rPr>
        <w:t>元和本理财计划TL</w:t>
      </w:r>
      <w:r w:rsidR="00DE0A7C">
        <w:rPr>
          <w:rFonts w:asciiTheme="minorEastAsia" w:eastAsiaTheme="minorEastAsia" w:hAnsiTheme="minorEastAsia" w:hint="eastAsia"/>
          <w:sz w:val="22"/>
          <w:szCs w:val="22"/>
        </w:rPr>
        <w:t>份额规模上限中二者的较小值，</w:t>
      </w:r>
      <w:r>
        <w:rPr>
          <w:rFonts w:asciiTheme="minorEastAsia" w:eastAsiaTheme="minorEastAsia" w:hAnsiTheme="minorEastAsia" w:hint="eastAsia"/>
          <w:sz w:val="22"/>
          <w:szCs w:val="22"/>
        </w:rPr>
        <w:t>销售服务机构有权拒绝超过</w:t>
      </w:r>
      <w:r>
        <w:rPr>
          <w:rFonts w:asciiTheme="minorEastAsia" w:eastAsiaTheme="minorEastAsia" w:hAnsiTheme="minorEastAsia"/>
          <w:sz w:val="22"/>
          <w:szCs w:val="22"/>
        </w:rPr>
        <w:t>单笔</w:t>
      </w:r>
      <w:r>
        <w:rPr>
          <w:rFonts w:asciiTheme="minorEastAsia" w:eastAsiaTheme="minorEastAsia" w:hAnsiTheme="minorEastAsia" w:hint="eastAsia"/>
          <w:sz w:val="22"/>
          <w:szCs w:val="22"/>
        </w:rPr>
        <w:t>申购</w:t>
      </w:r>
      <w:r>
        <w:rPr>
          <w:rFonts w:asciiTheme="minorEastAsia" w:eastAsiaTheme="minorEastAsia" w:hAnsiTheme="minorEastAsia"/>
          <w:sz w:val="22"/>
          <w:szCs w:val="22"/>
        </w:rPr>
        <w:t>上</w:t>
      </w:r>
      <w:r>
        <w:rPr>
          <w:rFonts w:asciiTheme="minorEastAsia" w:eastAsiaTheme="minorEastAsia" w:hAnsiTheme="minorEastAsia" w:hint="eastAsia"/>
          <w:sz w:val="22"/>
          <w:szCs w:val="22"/>
        </w:rPr>
        <w:t>限部分的申请。对于销售服务机构决定拒绝的申购申请，视为申购不成功。</w:t>
      </w:r>
      <w:r>
        <w:rPr>
          <w:rFonts w:asciiTheme="minorEastAsia" w:eastAsiaTheme="minorEastAsia" w:hAnsiTheme="minorEastAsia" w:cs="Arial"/>
          <w:color w:val="000000"/>
          <w:kern w:val="0"/>
          <w:sz w:val="22"/>
          <w:szCs w:val="22"/>
          <w:lang w:val="zh-CN"/>
        </w:rPr>
        <w:t xml:space="preserve"> </w:t>
      </w:r>
    </w:p>
    <w:p w:rsidR="003252C2" w:rsidRDefault="00F10458">
      <w:pPr>
        <w:adjustRightInd w:val="0"/>
        <w:snapToGrid w:val="0"/>
        <w:spacing w:line="300" w:lineRule="auto"/>
        <w:rPr>
          <w:rFonts w:ascii="宋体" w:hAnsi="宋体"/>
          <w:b/>
          <w:bCs/>
          <w:sz w:val="22"/>
          <w:szCs w:val="22"/>
        </w:rPr>
      </w:pPr>
      <w:r>
        <w:rPr>
          <w:rFonts w:ascii="宋体" w:hAnsi="宋体"/>
          <w:b/>
          <w:bCs/>
          <w:sz w:val="22"/>
          <w:szCs w:val="22"/>
        </w:rPr>
        <w:t>4.</w:t>
      </w:r>
      <w:r>
        <w:rPr>
          <w:rFonts w:ascii="宋体" w:hAnsi="宋体" w:hint="eastAsia"/>
          <w:b/>
          <w:bCs/>
          <w:sz w:val="22"/>
          <w:szCs w:val="22"/>
        </w:rPr>
        <w:t>申购、赎回原则</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（1）</w:t>
      </w:r>
      <w:r>
        <w:rPr>
          <w:rFonts w:asciiTheme="minorEastAsia" w:eastAsiaTheme="minorEastAsia" w:hAnsiTheme="minorEastAsia"/>
          <w:sz w:val="22"/>
          <w:szCs w:val="22"/>
        </w:rPr>
        <w:t>投资者赎回本理财计划时，</w:t>
      </w:r>
      <w:r>
        <w:rPr>
          <w:rFonts w:asciiTheme="minorEastAsia" w:eastAsiaTheme="minorEastAsia" w:hAnsiTheme="minorEastAsia" w:hint="eastAsia"/>
          <w:sz w:val="22"/>
          <w:szCs w:val="22"/>
        </w:rPr>
        <w:t>管理人不承诺保证本金，也不承诺任何收益。</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（2）</w:t>
      </w:r>
      <w:r>
        <w:rPr>
          <w:rFonts w:asciiTheme="minorEastAsia" w:eastAsiaTheme="minorEastAsia" w:hAnsiTheme="minorEastAsia"/>
          <w:sz w:val="22"/>
          <w:szCs w:val="22"/>
        </w:rPr>
        <w:t>投资者申购、赎回本理财计划时，采用“确定价”原则，即本理财计划申购和赎回价格为1.00元人民币1份。</w:t>
      </w:r>
    </w:p>
    <w:p w:rsidR="003252C2" w:rsidRDefault="00F10458">
      <w:pPr>
        <w:adjustRightInd w:val="0"/>
        <w:snapToGrid w:val="0"/>
        <w:spacing w:line="300" w:lineRule="auto"/>
        <w:rPr>
          <w:rFonts w:asciiTheme="minorEastAsia" w:eastAsiaTheme="minorEastAsia" w:hAnsiTheme="minorEastAsia"/>
          <w:sz w:val="22"/>
          <w:szCs w:val="22"/>
        </w:rPr>
      </w:pPr>
      <w:r>
        <w:rPr>
          <w:rFonts w:ascii="宋体" w:hAnsi="宋体" w:hint="eastAsia"/>
          <w:sz w:val="22"/>
          <w:szCs w:val="22"/>
        </w:rPr>
        <w:t>（3）</w:t>
      </w:r>
      <w:r>
        <w:rPr>
          <w:rFonts w:asciiTheme="minorEastAsia" w:eastAsiaTheme="minorEastAsia" w:hAnsiTheme="minorEastAsia"/>
          <w:sz w:val="22"/>
          <w:szCs w:val="22"/>
        </w:rPr>
        <w:t>本理财计划采用金额申购、份额赎回的原则，即申购以金额申请，赎回以份额赎回。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）赎回遵循“先进先出”原则，即按照理财计划份额持有人认购、申购的先后次序进行顺序赎回。</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（5）因不可抗力导致理财计划无法继续申购或赎回时，销售服务机构有权拒绝或暂停接受投资者的申购或赎回的申请。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6）投资者可于申购期内向</w:t>
      </w:r>
      <w:r>
        <w:rPr>
          <w:rFonts w:asciiTheme="minorEastAsia" w:eastAsiaTheme="minorEastAsia" w:hAnsiTheme="minorEastAsia" w:hint="eastAsia"/>
          <w:sz w:val="22"/>
          <w:szCs w:val="22"/>
        </w:rPr>
        <w:t>销售服务机构提出申购申请，</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按照先申请、先申购原则确认申购申请，如单笔申购超过单笔申购上限，或累计认购及申购金额与本次申购金额之和超过单一投资者持有上限，则销售服务机构有权拒绝确认超出上限部分。</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7）申购、赎回金额</w:t>
      </w:r>
      <w:r>
        <w:rPr>
          <w:rFonts w:asciiTheme="minorEastAsia" w:eastAsiaTheme="minorEastAsia" w:hAnsiTheme="minorEastAsia" w:hint="eastAsia"/>
          <w:sz w:val="22"/>
          <w:szCs w:val="22"/>
        </w:rPr>
        <w:t>要求</w:t>
      </w:r>
      <w:r>
        <w:rPr>
          <w:rFonts w:asciiTheme="minorEastAsia" w:eastAsiaTheme="minorEastAsia" w:hAnsiTheme="minorEastAsia"/>
          <w:sz w:val="22"/>
          <w:szCs w:val="22"/>
        </w:rPr>
        <w:t>：</w:t>
      </w:r>
      <w:r>
        <w:rPr>
          <w:rFonts w:asciiTheme="minorEastAsia" w:eastAsiaTheme="minorEastAsia" w:hAnsiTheme="minorEastAsia" w:cs="Arial" w:hint="eastAsia"/>
          <w:color w:val="000000"/>
          <w:kern w:val="0"/>
          <w:sz w:val="22"/>
          <w:szCs w:val="22"/>
          <w:lang w:val="zh-CN"/>
        </w:rPr>
        <w:t>本理财计划</w:t>
      </w:r>
      <w:r>
        <w:rPr>
          <w:rFonts w:asciiTheme="minorEastAsia" w:eastAsiaTheme="minorEastAsia" w:hAnsiTheme="minorEastAsia" w:hint="eastAsia"/>
          <w:sz w:val="22"/>
          <w:szCs w:val="22"/>
        </w:rPr>
        <w:t>的</w:t>
      </w:r>
      <w:r>
        <w:rPr>
          <w:rFonts w:asciiTheme="minorEastAsia" w:eastAsiaTheme="minorEastAsia" w:hAnsiTheme="minorEastAsia" w:cs="Arial" w:hint="eastAsia"/>
          <w:color w:val="000000"/>
          <w:kern w:val="0"/>
          <w:sz w:val="22"/>
          <w:szCs w:val="22"/>
          <w:lang w:val="zh-CN"/>
        </w:rPr>
        <w:t>申购、</w:t>
      </w:r>
      <w:r>
        <w:rPr>
          <w:rFonts w:asciiTheme="minorEastAsia" w:eastAsiaTheme="minorEastAsia" w:hAnsiTheme="minorEastAsia" w:cs="Arial"/>
          <w:color w:val="000000"/>
          <w:kern w:val="0"/>
          <w:sz w:val="22"/>
          <w:szCs w:val="22"/>
          <w:lang w:val="zh-CN"/>
        </w:rPr>
        <w:t>赎回</w:t>
      </w:r>
      <w:r>
        <w:rPr>
          <w:rFonts w:asciiTheme="minorEastAsia" w:eastAsiaTheme="minorEastAsia" w:hAnsiTheme="minorEastAsia"/>
          <w:sz w:val="22"/>
          <w:szCs w:val="22"/>
        </w:rPr>
        <w:t>要求如下</w:t>
      </w:r>
      <w:r>
        <w:rPr>
          <w:rFonts w:asciiTheme="minorEastAsia" w:eastAsiaTheme="minorEastAsia" w:hAnsiTheme="minorEastAsia" w:hint="eastAsia"/>
          <w:sz w:val="22"/>
          <w:szCs w:val="22"/>
        </w:rPr>
        <w:t>表</w:t>
      </w:r>
      <w:r>
        <w:rPr>
          <w:rFonts w:asciiTheme="minorEastAsia" w:eastAsiaTheme="minorEastAsia" w:hAnsiTheme="minorEastAsia"/>
          <w:sz w:val="22"/>
          <w:szCs w:val="22"/>
        </w:rPr>
        <w:t>所示</w:t>
      </w:r>
      <w:r>
        <w:rPr>
          <w:rFonts w:asciiTheme="minorEastAsia" w:eastAsiaTheme="minorEastAsia" w:hAnsiTheme="minorEastAsia" w:cs="Arial" w:hint="eastAsia"/>
          <w:color w:val="000000"/>
          <w:kern w:val="0"/>
          <w:sz w:val="22"/>
          <w:szCs w:val="22"/>
          <w:lang w:val="zh-CN"/>
        </w:rPr>
        <w:t>：</w:t>
      </w:r>
    </w:p>
    <w:tbl>
      <w:tblPr>
        <w:tblStyle w:val="af1"/>
        <w:tblW w:w="7903" w:type="dxa"/>
        <w:tblLayout w:type="fixed"/>
        <w:tblLook w:val="04A0" w:firstRow="1" w:lastRow="0" w:firstColumn="1" w:lastColumn="0" w:noHBand="0" w:noVBand="1"/>
      </w:tblPr>
      <w:tblGrid>
        <w:gridCol w:w="1134"/>
        <w:gridCol w:w="1134"/>
        <w:gridCol w:w="1843"/>
        <w:gridCol w:w="2126"/>
        <w:gridCol w:w="1666"/>
      </w:tblGrid>
      <w:tr w:rsidR="003252C2">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销售</w:t>
            </w:r>
            <w:r>
              <w:rPr>
                <w:rFonts w:asciiTheme="minorEastAsia" w:eastAsiaTheme="minorEastAsia" w:hAnsiTheme="minorEastAsia"/>
                <w:b/>
                <w:sz w:val="22"/>
                <w:szCs w:val="22"/>
              </w:rPr>
              <w:t>代码</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起点</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申购</w:t>
            </w:r>
            <w:r>
              <w:rPr>
                <w:rFonts w:asciiTheme="minorEastAsia" w:eastAsiaTheme="minorEastAsia" w:hAnsiTheme="minorEastAsia"/>
                <w:b/>
                <w:sz w:val="22"/>
                <w:szCs w:val="22"/>
              </w:rPr>
              <w:t>金额要求</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赎回额</w:t>
            </w:r>
            <w:r>
              <w:rPr>
                <w:rFonts w:asciiTheme="minorEastAsia" w:eastAsiaTheme="minorEastAsia" w:hAnsiTheme="minorEastAsia"/>
                <w:b/>
                <w:sz w:val="22"/>
                <w:szCs w:val="22"/>
              </w:rPr>
              <w:t>要求</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b/>
                <w:sz w:val="22"/>
                <w:szCs w:val="22"/>
              </w:rPr>
            </w:pPr>
            <w:r>
              <w:rPr>
                <w:rFonts w:asciiTheme="minorEastAsia" w:eastAsiaTheme="minorEastAsia" w:hAnsiTheme="minorEastAsia" w:hint="eastAsia"/>
                <w:b/>
                <w:sz w:val="22"/>
                <w:szCs w:val="22"/>
              </w:rPr>
              <w:t>最低</w:t>
            </w:r>
            <w:r>
              <w:rPr>
                <w:rFonts w:asciiTheme="minorEastAsia" w:eastAsiaTheme="minorEastAsia" w:hAnsiTheme="minorEastAsia"/>
                <w:b/>
                <w:sz w:val="22"/>
                <w:szCs w:val="22"/>
              </w:rPr>
              <w:t>持有</w:t>
            </w:r>
            <w:r>
              <w:rPr>
                <w:rFonts w:asciiTheme="minorEastAsia" w:eastAsiaTheme="minorEastAsia" w:hAnsiTheme="minorEastAsia" w:hint="eastAsia"/>
                <w:b/>
                <w:sz w:val="22"/>
                <w:szCs w:val="22"/>
              </w:rPr>
              <w:t>份额</w:t>
            </w:r>
          </w:p>
        </w:tc>
      </w:tr>
      <w:tr w:rsidR="003252C2">
        <w:tc>
          <w:tcPr>
            <w:tcW w:w="1134" w:type="dxa"/>
            <w:vAlign w:val="center"/>
          </w:tcPr>
          <w:p w:rsidR="003252C2" w:rsidRDefault="003E43A3">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sidR="00F10458">
              <w:rPr>
                <w:rFonts w:asciiTheme="minorEastAsia" w:eastAsiaTheme="minorEastAsia" w:hAnsiTheme="minorEastAsia"/>
                <w:sz w:val="22"/>
                <w:szCs w:val="22"/>
              </w:rPr>
              <w:t>A</w:t>
            </w:r>
          </w:p>
        </w:tc>
        <w:tc>
          <w:tcPr>
            <w:tcW w:w="1134"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3252C2" w:rsidRDefault="00F10458">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287771">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C</w:t>
            </w:r>
          </w:p>
        </w:tc>
        <w:tc>
          <w:tcPr>
            <w:tcW w:w="1134"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287771" w:rsidRDefault="00287771" w:rsidP="00287771">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K</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P</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8109</w:t>
            </w:r>
            <w:r>
              <w:rPr>
                <w:rFonts w:asciiTheme="minorEastAsia" w:eastAsiaTheme="minorEastAsia" w:hAnsiTheme="minorEastAsia"/>
                <w:sz w:val="22"/>
                <w:szCs w:val="22"/>
              </w:rPr>
              <w:t>TZ</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r w:rsidR="00DE0A7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8109</w:t>
            </w:r>
            <w:r>
              <w:rPr>
                <w:rFonts w:asciiTheme="minorEastAsia" w:eastAsiaTheme="minorEastAsia" w:hAnsiTheme="minorEastAsia"/>
                <w:sz w:val="22"/>
                <w:szCs w:val="22"/>
              </w:rPr>
              <w:t>TL</w:t>
            </w:r>
          </w:p>
        </w:tc>
        <w:tc>
          <w:tcPr>
            <w:tcW w:w="1134"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w:t>
            </w:r>
          </w:p>
        </w:tc>
        <w:tc>
          <w:tcPr>
            <w:tcW w:w="1843"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0.01元的</w:t>
            </w:r>
            <w:r>
              <w:rPr>
                <w:rFonts w:asciiTheme="minorEastAsia" w:eastAsiaTheme="minorEastAsia" w:hAnsiTheme="minorEastAsia"/>
                <w:sz w:val="22"/>
                <w:szCs w:val="22"/>
              </w:rPr>
              <w:t>整数倍</w:t>
            </w:r>
          </w:p>
        </w:tc>
        <w:tc>
          <w:tcPr>
            <w:tcW w:w="212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0.01份或</w:t>
            </w:r>
            <w:r>
              <w:rPr>
                <w:rFonts w:asciiTheme="minorEastAsia" w:eastAsiaTheme="minorEastAsia" w:hAnsiTheme="minorEastAsia"/>
                <w:sz w:val="22"/>
                <w:szCs w:val="22"/>
              </w:rPr>
              <w:t>0.01</w:t>
            </w:r>
            <w:r>
              <w:rPr>
                <w:rFonts w:asciiTheme="minorEastAsia" w:eastAsiaTheme="minorEastAsia" w:hAnsiTheme="minorEastAsia" w:hint="eastAsia"/>
                <w:sz w:val="22"/>
                <w:szCs w:val="22"/>
              </w:rPr>
              <w:t>份</w:t>
            </w:r>
            <w:r>
              <w:rPr>
                <w:rFonts w:asciiTheme="minorEastAsia" w:eastAsiaTheme="minorEastAsia" w:hAnsiTheme="minorEastAsia"/>
                <w:sz w:val="22"/>
                <w:szCs w:val="22"/>
              </w:rPr>
              <w:t>的整数倍</w:t>
            </w:r>
          </w:p>
        </w:tc>
        <w:tc>
          <w:tcPr>
            <w:tcW w:w="1666" w:type="dxa"/>
            <w:vAlign w:val="center"/>
          </w:tcPr>
          <w:p w:rsidR="00DE0A7C" w:rsidRDefault="00DE0A7C" w:rsidP="00DE0A7C">
            <w:pPr>
              <w:adjustRightInd w:val="0"/>
              <w:snapToGrid w:val="0"/>
              <w:spacing w:line="30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0</w:t>
            </w:r>
            <w:r>
              <w:rPr>
                <w:rFonts w:asciiTheme="minorEastAsia" w:eastAsiaTheme="minorEastAsia" w:hAnsiTheme="minorEastAsia"/>
                <w:sz w:val="22"/>
                <w:szCs w:val="22"/>
              </w:rPr>
              <w:t>.01</w:t>
            </w:r>
            <w:r>
              <w:rPr>
                <w:rFonts w:asciiTheme="minorEastAsia" w:eastAsiaTheme="minorEastAsia" w:hAnsiTheme="minorEastAsia" w:hint="eastAsia"/>
                <w:sz w:val="22"/>
                <w:szCs w:val="22"/>
              </w:rPr>
              <w:t>份</w:t>
            </w:r>
          </w:p>
        </w:tc>
      </w:tr>
    </w:tbl>
    <w:p w:rsidR="00287771" w:rsidRPr="00287771" w:rsidRDefault="00287771" w:rsidP="00287771">
      <w:pPr>
        <w:adjustRightInd w:val="0"/>
        <w:snapToGrid w:val="0"/>
        <w:spacing w:line="300" w:lineRule="auto"/>
        <w:ind w:firstLine="420"/>
        <w:rPr>
          <w:rFonts w:asciiTheme="minorEastAsia" w:eastAsiaTheme="minorEastAsia" w:hAnsiTheme="minorEastAsia"/>
          <w:sz w:val="22"/>
          <w:szCs w:val="22"/>
        </w:rPr>
      </w:pPr>
      <w:r w:rsidRPr="0070716E">
        <w:rPr>
          <w:rFonts w:asciiTheme="minorEastAsia" w:eastAsiaTheme="minorEastAsia" w:hAnsiTheme="minorEastAsia"/>
          <w:b/>
          <w:sz w:val="22"/>
          <w:szCs w:val="22"/>
        </w:rPr>
        <w:t>销售服务机构的实际申购起点可能与说明书不一致，具体以销售服务机构通知为准。</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投资者可选择全额或部分赎回，部分赎回后投资者持有本理财计划的实时余额不得低于</w:t>
      </w:r>
      <w:r>
        <w:rPr>
          <w:rFonts w:asciiTheme="minorEastAsia" w:eastAsiaTheme="minorEastAsia" w:hAnsiTheme="minorEastAsia" w:hint="eastAsia"/>
          <w:sz w:val="22"/>
          <w:szCs w:val="22"/>
        </w:rPr>
        <w:t>相应</w:t>
      </w:r>
      <w:r>
        <w:rPr>
          <w:rFonts w:asciiTheme="minorEastAsia" w:eastAsiaTheme="minorEastAsia" w:hAnsiTheme="minorEastAsia"/>
          <w:sz w:val="22"/>
          <w:szCs w:val="22"/>
        </w:rPr>
        <w:t>最低持有份额，实时余额低于</w:t>
      </w:r>
      <w:r>
        <w:rPr>
          <w:rFonts w:asciiTheme="minorEastAsia" w:eastAsiaTheme="minorEastAsia" w:hAnsiTheme="minorEastAsia" w:hint="eastAsia"/>
          <w:sz w:val="22"/>
          <w:szCs w:val="22"/>
        </w:rPr>
        <w:t>最低持有</w:t>
      </w:r>
      <w:r>
        <w:rPr>
          <w:rFonts w:asciiTheme="minorEastAsia" w:eastAsiaTheme="minorEastAsia" w:hAnsiTheme="minorEastAsia"/>
          <w:sz w:val="22"/>
          <w:szCs w:val="22"/>
        </w:rPr>
        <w:t>份额的赎回申请，系统将自动予以全部赎回。</w:t>
      </w:r>
    </w:p>
    <w:p w:rsidR="003252C2" w:rsidRDefault="00F10458">
      <w:pPr>
        <w:adjustRightInd w:val="0"/>
        <w:snapToGrid w:val="0"/>
        <w:spacing w:line="300" w:lineRule="auto"/>
        <w:rPr>
          <w:sz w:val="22"/>
          <w:szCs w:val="22"/>
        </w:rPr>
      </w:pPr>
      <w:r>
        <w:rPr>
          <w:rFonts w:hint="eastAsia"/>
          <w:sz w:val="22"/>
          <w:szCs w:val="22"/>
        </w:rPr>
        <w:t>（</w:t>
      </w:r>
      <w:r>
        <w:rPr>
          <w:sz w:val="22"/>
          <w:szCs w:val="22"/>
        </w:rPr>
        <w:t>8</w:t>
      </w:r>
      <w:r>
        <w:rPr>
          <w:rFonts w:hint="eastAsia"/>
          <w:sz w:val="22"/>
          <w:szCs w:val="22"/>
        </w:rPr>
        <w:t>）</w:t>
      </w:r>
      <w:bookmarkStart w:id="4" w:name="_Hlk98856319"/>
      <w:r>
        <w:rPr>
          <w:rFonts w:hint="eastAsia"/>
          <w:sz w:val="22"/>
          <w:szCs w:val="22"/>
        </w:rPr>
        <w:t>当接受申购申请对存量理财计划份额持有人利益构成潜在重大不利影响时，管理人可调整单笔申购上限或单一客户持有上限、设定单日净申购比例上限、拒绝大额申购、暂停理财产品申购等措施，切实保护存量理财计划份额持有人的合法权益。管理人基于投资运作与风险控制的需要，可采取上述措施对理财计划产品规模予以控制，并将根据本理财计划产品说明书约定的信息披露方式向投资者进行信息披露。</w:t>
      </w:r>
      <w:bookmarkEnd w:id="4"/>
    </w:p>
    <w:p w:rsidR="003252C2" w:rsidRDefault="00F10458">
      <w:pPr>
        <w:adjustRightInd w:val="0"/>
        <w:snapToGrid w:val="0"/>
        <w:spacing w:line="300" w:lineRule="auto"/>
        <w:rPr>
          <w:sz w:val="22"/>
          <w:szCs w:val="22"/>
        </w:rPr>
      </w:pPr>
      <w:r>
        <w:rPr>
          <w:rFonts w:hint="eastAsia"/>
          <w:sz w:val="22"/>
          <w:szCs w:val="22"/>
        </w:rPr>
        <w:t>（</w:t>
      </w:r>
      <w:r>
        <w:rPr>
          <w:sz w:val="22"/>
          <w:szCs w:val="22"/>
        </w:rPr>
        <w:t>9</w:t>
      </w:r>
      <w:r>
        <w:rPr>
          <w:rFonts w:hint="eastAsia"/>
          <w:sz w:val="22"/>
          <w:szCs w:val="22"/>
        </w:rPr>
        <w:t>）对于单个投资者单个开放日申请赎回理财计划份额超过上一工作日日终理财产品总份额的</w:t>
      </w:r>
      <w:r>
        <w:rPr>
          <w:rFonts w:hint="eastAsia"/>
          <w:sz w:val="22"/>
          <w:szCs w:val="22"/>
        </w:rPr>
        <w:t>10%</w:t>
      </w:r>
      <w:r>
        <w:rPr>
          <w:rFonts w:hint="eastAsia"/>
          <w:sz w:val="22"/>
          <w:szCs w:val="22"/>
        </w:rPr>
        <w:t>的部分，管理人有权暂停接受其赎回申请、延期办理其部分赎回申请；若管理人接受该赎回申请，管理人亦有权选择延缓支付赎回款项，但延缓期限不得超过</w:t>
      </w:r>
      <w:r>
        <w:rPr>
          <w:rFonts w:hint="eastAsia"/>
          <w:sz w:val="22"/>
          <w:szCs w:val="22"/>
        </w:rPr>
        <w:t>20</w:t>
      </w:r>
      <w:r>
        <w:rPr>
          <w:rFonts w:hint="eastAsia"/>
          <w:sz w:val="22"/>
          <w:szCs w:val="22"/>
        </w:rPr>
        <w:t>个工作日。</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）当接受赎回申请将损害现有投资者利益的情形时，理财产品管理人有权设置赎回上限。具体请参见相关公告。</w:t>
      </w:r>
    </w:p>
    <w:p w:rsidR="003252C2" w:rsidRDefault="00F10458">
      <w:pPr>
        <w:adjustRightInd w:val="0"/>
        <w:snapToGrid w:val="0"/>
        <w:spacing w:line="300" w:lineRule="auto"/>
        <w:jc w:val="left"/>
        <w:rPr>
          <w:rFonts w:ascii="宋体" w:hAnsi="宋体"/>
          <w:b/>
          <w:bCs/>
          <w:sz w:val="22"/>
          <w:szCs w:val="22"/>
        </w:rPr>
      </w:pPr>
      <w:r>
        <w:rPr>
          <w:rFonts w:ascii="宋体" w:hAnsi="宋体"/>
          <w:b/>
          <w:bCs/>
          <w:sz w:val="22"/>
          <w:szCs w:val="22"/>
        </w:rPr>
        <w:t xml:space="preserve">5. </w:t>
      </w:r>
      <w:r>
        <w:rPr>
          <w:rFonts w:ascii="宋体" w:hAnsi="宋体" w:hint="eastAsia"/>
          <w:b/>
          <w:bCs/>
          <w:sz w:val="22"/>
          <w:szCs w:val="22"/>
        </w:rPr>
        <w:t>申购</w:t>
      </w:r>
      <w:r>
        <w:rPr>
          <w:rFonts w:ascii="宋体" w:hAnsi="宋体"/>
          <w:b/>
          <w:bCs/>
          <w:sz w:val="22"/>
          <w:szCs w:val="22"/>
        </w:rPr>
        <w:t>方式及</w:t>
      </w:r>
      <w:r>
        <w:rPr>
          <w:rFonts w:ascii="宋体" w:hAnsi="宋体" w:hint="eastAsia"/>
          <w:b/>
          <w:bCs/>
          <w:sz w:val="22"/>
          <w:szCs w:val="22"/>
        </w:rPr>
        <w:t>申购</w:t>
      </w:r>
      <w:r>
        <w:rPr>
          <w:rFonts w:ascii="宋体" w:hAnsi="宋体"/>
          <w:b/>
          <w:bCs/>
          <w:sz w:val="22"/>
          <w:szCs w:val="22"/>
        </w:rPr>
        <w:t>确认</w:t>
      </w:r>
      <w:r>
        <w:rPr>
          <w:rFonts w:ascii="宋体" w:hAnsi="宋体" w:hint="eastAsia"/>
          <w:b/>
          <w:bCs/>
          <w:sz w:val="22"/>
          <w:szCs w:val="22"/>
        </w:rPr>
        <w:t>日规则</w:t>
      </w:r>
    </w:p>
    <w:p w:rsidR="003252C2" w:rsidRDefault="00F10458">
      <w:pPr>
        <w:adjustRightInd w:val="0"/>
        <w:snapToGrid w:val="0"/>
        <w:spacing w:line="300" w:lineRule="auto"/>
        <w:jc w:val="left"/>
        <w:rPr>
          <w:rFonts w:ascii="宋体" w:hAnsi="宋体"/>
          <w:b/>
          <w:sz w:val="22"/>
          <w:szCs w:val="22"/>
        </w:rPr>
      </w:pPr>
      <w:r>
        <w:rPr>
          <w:rFonts w:ascii="宋体" w:hAnsi="宋体" w:hint="eastAsia"/>
          <w:sz w:val="22"/>
          <w:szCs w:val="22"/>
        </w:rPr>
        <w:t>（1）对于投资者提出的申购申请，管理人将按照如下方式确认</w:t>
      </w:r>
      <w:r>
        <w:rPr>
          <w:rFonts w:ascii="宋体" w:hAnsi="宋体"/>
          <w:sz w:val="22"/>
          <w:szCs w:val="22"/>
        </w:rPr>
        <w:t>申购申请的有效性</w:t>
      </w:r>
      <w:r>
        <w:rPr>
          <w:rFonts w:ascii="宋体" w:hAnsi="宋体" w:hint="eastAsia"/>
          <w:sz w:val="22"/>
          <w:szCs w:val="22"/>
        </w:rPr>
        <w:t>。</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jc w:val="left"/>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w:t>
            </w:r>
            <w:r>
              <w:rPr>
                <w:rFonts w:asciiTheme="minorEastAsia" w:eastAsiaTheme="minorEastAsia" w:hAnsiTheme="minorEastAsia" w:hint="eastAsia"/>
                <w:sz w:val="22"/>
                <w:szCs w:val="22"/>
              </w:rPr>
              <w:t>24:00</w:t>
            </w:r>
            <w:r>
              <w:rPr>
                <w:rFonts w:ascii="宋体" w:hAnsi="宋体" w:hint="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jc w:val="left"/>
        <w:rPr>
          <w:rFonts w:ascii="宋体" w:hAnsi="宋体"/>
          <w:sz w:val="22"/>
          <w:szCs w:val="22"/>
        </w:rPr>
      </w:pPr>
    </w:p>
    <w:p w:rsidR="00287771" w:rsidRDefault="00287771" w:rsidP="00287771">
      <w:pPr>
        <w:adjustRightInd w:val="0"/>
        <w:snapToGrid w:val="0"/>
        <w:spacing w:line="300" w:lineRule="auto"/>
        <w:jc w:val="left"/>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申购确认日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T日00:00-17:00（不含）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管理人将视为于T日申购，管理人将在T日后第1个工作日对投资者的申购申请的有效性进行确认，</w:t>
            </w:r>
            <w:r>
              <w:rPr>
                <w:rFonts w:ascii="宋体" w:hAnsi="宋体" w:hint="eastAsia"/>
                <w:sz w:val="22"/>
                <w:szCs w:val="22"/>
              </w:rPr>
              <w:lastRenderedPageBreak/>
              <w:t>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17</w:t>
            </w:r>
            <w:r>
              <w:rPr>
                <w:rFonts w:asciiTheme="minorEastAsia" w:eastAsiaTheme="minorEastAsia" w:hAnsiTheme="minorEastAsia"/>
                <w:sz w:val="22"/>
                <w:szCs w:val="22"/>
              </w:rPr>
              <w:t>:</w:t>
            </w:r>
            <w:r>
              <w:rPr>
                <w:rFonts w:asciiTheme="minorEastAsia" w:eastAsiaTheme="minorEastAsia" w:hAnsiTheme="minorEastAsia" w:hint="eastAsia"/>
                <w:sz w:val="22"/>
                <w:szCs w:val="22"/>
              </w:rPr>
              <w:t>00</w:t>
            </w:r>
            <w:r>
              <w:rPr>
                <w:rFonts w:asciiTheme="minorEastAsia" w:eastAsiaTheme="minorEastAsia" w:hAnsiTheme="minorEastAsia"/>
                <w:sz w:val="22"/>
                <w:szCs w:val="22"/>
              </w:rPr>
              <w:t>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lastRenderedPageBreak/>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lastRenderedPageBreak/>
              <w:t>T日17:00-24:00（不含）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w:t>
            </w:r>
            <w:r>
              <w:rPr>
                <w:rFonts w:asciiTheme="minorEastAsia" w:eastAsiaTheme="minorEastAsia" w:hAnsiTheme="minorEastAsia" w:hint="eastAsia"/>
                <w:sz w:val="22"/>
                <w:szCs w:val="22"/>
              </w:rPr>
              <w:t>该申购</w:t>
            </w:r>
            <w:r>
              <w:rPr>
                <w:rFonts w:asciiTheme="minorEastAsia" w:eastAsiaTheme="minorEastAsia" w:hAnsiTheme="minorEastAsia"/>
                <w:sz w:val="22"/>
                <w:szCs w:val="22"/>
              </w:rPr>
              <w:t>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w:t>
            </w:r>
            <w:r>
              <w:rPr>
                <w:rFonts w:asciiTheme="minorEastAsia" w:eastAsiaTheme="minorEastAsia" w:hAnsiTheme="minorEastAsia" w:hint="eastAsia"/>
                <w:sz w:val="22"/>
                <w:szCs w:val="22"/>
              </w:rPr>
              <w:t>1</w:t>
            </w:r>
            <w:r>
              <w:rPr>
                <w:rFonts w:asciiTheme="minorEastAsia" w:eastAsiaTheme="minorEastAsia" w:hAnsiTheme="minorEastAsia"/>
                <w:sz w:val="22"/>
                <w:szCs w:val="22"/>
              </w:rPr>
              <w:t>个工作日1</w:t>
            </w:r>
            <w:r>
              <w:rPr>
                <w:rFonts w:asciiTheme="minorEastAsia" w:eastAsiaTheme="minorEastAsia" w:hAnsiTheme="minorEastAsia" w:hint="eastAsia"/>
                <w:sz w:val="22"/>
                <w:szCs w:val="22"/>
              </w:rPr>
              <w:t>7</w:t>
            </w:r>
            <w:r>
              <w:rPr>
                <w:rFonts w:asciiTheme="minorEastAsia" w:eastAsiaTheme="minorEastAsia" w:hAnsiTheme="minorEastAsia"/>
                <w:sz w:val="22"/>
                <w:szCs w:val="22"/>
              </w:rPr>
              <w:t>:</w:t>
            </w:r>
            <w:r>
              <w:rPr>
                <w:rFonts w:asciiTheme="minorEastAsia" w:eastAsiaTheme="minorEastAsia" w:hAnsiTheme="minorEastAsia" w:hint="eastAsia"/>
                <w:sz w:val="22"/>
                <w:szCs w:val="22"/>
              </w:rPr>
              <w:t>0</w:t>
            </w:r>
            <w:r>
              <w:rPr>
                <w:rFonts w:asciiTheme="minorEastAsia" w:eastAsiaTheme="minorEastAsia" w:hAnsiTheme="minorEastAsia"/>
                <w:sz w:val="22"/>
                <w:szCs w:val="22"/>
              </w:rPr>
              <w:t>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管理人将视为于T日后第1个工作日申购，管理人将在T日后第2个工作日对投资者的申购申请的有效性进行确认，确认份额并由销售服务机构扣减投资者账户资金，扣划款项成功后投资者申购成功。该申购申请于T日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jc w:val="left"/>
        <w:rPr>
          <w:rFonts w:ascii="宋体" w:hAnsi="宋体"/>
          <w:sz w:val="22"/>
          <w:szCs w:val="22"/>
        </w:rPr>
      </w:pP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6.</w:t>
      </w:r>
      <w:r>
        <w:rPr>
          <w:rFonts w:asciiTheme="minorEastAsia" w:eastAsiaTheme="minorEastAsia" w:hAnsiTheme="minorEastAsia" w:hint="eastAsia"/>
          <w:b/>
          <w:bCs/>
          <w:sz w:val="22"/>
          <w:szCs w:val="22"/>
        </w:rPr>
        <w:t>赎回方式及赎回确认日规则</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（1）全额赎回</w:t>
      </w:r>
    </w:p>
    <w:p w:rsidR="003252C2" w:rsidRDefault="00F10458">
      <w:pPr>
        <w:adjustRightInd w:val="0"/>
        <w:snapToGrid w:val="0"/>
        <w:spacing w:line="300" w:lineRule="auto"/>
        <w:ind w:firstLineChars="200" w:firstLine="440"/>
        <w:rPr>
          <w:rFonts w:ascii="宋体" w:hAnsi="宋体"/>
          <w:b/>
          <w:sz w:val="22"/>
          <w:szCs w:val="22"/>
        </w:rPr>
      </w:pPr>
      <w:r>
        <w:rPr>
          <w:rFonts w:ascii="宋体" w:hAnsi="宋体" w:hint="eastAsia"/>
          <w:sz w:val="22"/>
          <w:szCs w:val="22"/>
        </w:rPr>
        <w:t>投资者全额赎回本理财计划时，管理人将按照如下方式确认赎回</w:t>
      </w:r>
      <w:r>
        <w:rPr>
          <w:rFonts w:ascii="宋体" w:hAnsi="宋体"/>
          <w:sz w:val="22"/>
          <w:szCs w:val="22"/>
        </w:rPr>
        <w:t>申请的有效性</w:t>
      </w:r>
      <w:r>
        <w:rPr>
          <w:rFonts w:ascii="宋体" w:hAnsi="宋体" w:hint="eastAsia"/>
          <w:sz w:val="22"/>
          <w:szCs w:val="22"/>
        </w:rPr>
        <w:t>，为投资者扣减份额并支付本金及收益。</w:t>
      </w:r>
      <w:r>
        <w:rPr>
          <w:rFonts w:ascii="宋体" w:hAnsi="宋体" w:hint="eastAsia"/>
          <w:b/>
          <w:sz w:val="22"/>
          <w:szCs w:val="22"/>
        </w:rPr>
        <w:t>销售服务机构实际受理时间可能与说明书不一致，具体以销售服务机构通知为准。</w:t>
      </w:r>
    </w:p>
    <w:p w:rsidR="00287771" w:rsidRDefault="00287771">
      <w:pPr>
        <w:adjustRightInd w:val="0"/>
        <w:snapToGrid w:val="0"/>
        <w:spacing w:line="300" w:lineRule="auto"/>
        <w:ind w:firstLineChars="200" w:firstLine="442"/>
        <w:rPr>
          <w:rFonts w:ascii="宋体" w:hAnsi="宋体"/>
          <w:b/>
          <w:sz w:val="22"/>
          <w:szCs w:val="22"/>
        </w:rPr>
      </w:pPr>
      <w:r>
        <w:rPr>
          <w:rFonts w:ascii="宋体" w:hAnsi="宋体" w:hint="eastAsia"/>
          <w:b/>
          <w:sz w:val="22"/>
          <w:szCs w:val="22"/>
        </w:rPr>
        <w:t>适用于A份额</w:t>
      </w:r>
      <w:r w:rsidR="00DE0A7C">
        <w:rPr>
          <w:rFonts w:ascii="宋体" w:hAnsi="宋体" w:hint="eastAsia"/>
          <w:b/>
          <w:sz w:val="22"/>
          <w:szCs w:val="22"/>
        </w:rPr>
        <w:t>、K份额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3252C2">
        <w:tc>
          <w:tcPr>
            <w:tcW w:w="255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3252C2">
        <w:tc>
          <w:tcPr>
            <w:tcW w:w="255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T日00:00-</w:t>
            </w:r>
            <w:r>
              <w:rPr>
                <w:rFonts w:asciiTheme="minorEastAsia" w:eastAsiaTheme="minorEastAsia" w:hAnsiTheme="minorEastAsia" w:hint="eastAsia"/>
                <w:sz w:val="22"/>
                <w:szCs w:val="22"/>
              </w:rPr>
              <w:t>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T+1日</w:t>
            </w:r>
          </w:p>
        </w:tc>
      </w:tr>
      <w:tr w:rsidR="003252C2">
        <w:tc>
          <w:tcPr>
            <w:tcW w:w="2552" w:type="dxa"/>
            <w:vAlign w:val="center"/>
          </w:tcPr>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3252C2" w:rsidRDefault="00F10458">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w:t>
            </w:r>
            <w:r>
              <w:rPr>
                <w:rFonts w:asciiTheme="minorEastAsia" w:eastAsiaTheme="minorEastAsia" w:hAnsiTheme="minorEastAsia" w:hint="eastAsia"/>
                <w:sz w:val="22"/>
                <w:szCs w:val="22"/>
              </w:rPr>
              <w:t>24:00</w:t>
            </w:r>
            <w:r>
              <w:rPr>
                <w:rFonts w:asciiTheme="minorEastAsia" w:eastAsiaTheme="minorEastAsia" w:hAnsiTheme="minorEastAsia"/>
                <w:sz w:val="22"/>
                <w:szCs w:val="22"/>
              </w:rPr>
              <w:t>前可以撤销。</w:t>
            </w:r>
          </w:p>
        </w:tc>
        <w:tc>
          <w:tcPr>
            <w:tcW w:w="1417" w:type="dxa"/>
            <w:vAlign w:val="center"/>
          </w:tcPr>
          <w:p w:rsidR="003252C2" w:rsidRDefault="00F10458">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3252C2" w:rsidRDefault="003252C2">
      <w:pPr>
        <w:adjustRightInd w:val="0"/>
        <w:snapToGrid w:val="0"/>
        <w:spacing w:line="300" w:lineRule="auto"/>
        <w:rPr>
          <w:rFonts w:ascii="宋体" w:hAnsi="宋体"/>
          <w:sz w:val="22"/>
          <w:szCs w:val="22"/>
        </w:rPr>
      </w:pPr>
    </w:p>
    <w:p w:rsidR="00287771" w:rsidRDefault="00287771" w:rsidP="00287771">
      <w:pPr>
        <w:adjustRightInd w:val="0"/>
        <w:snapToGrid w:val="0"/>
        <w:spacing w:line="300" w:lineRule="auto"/>
        <w:rPr>
          <w:rFonts w:ascii="宋体" w:hAnsi="宋体"/>
          <w:b/>
          <w:sz w:val="22"/>
          <w:szCs w:val="22"/>
        </w:rPr>
      </w:pPr>
      <w:r>
        <w:rPr>
          <w:rFonts w:ascii="宋体" w:hAnsi="宋体" w:hint="eastAsia"/>
          <w:b/>
          <w:sz w:val="22"/>
          <w:szCs w:val="22"/>
        </w:rPr>
        <w:t>适用于</w:t>
      </w:r>
      <w:r>
        <w:rPr>
          <w:rFonts w:ascii="宋体" w:hAnsi="宋体" w:hint="eastAsia"/>
          <w:b/>
          <w:bCs/>
          <w:sz w:val="22"/>
          <w:szCs w:val="22"/>
        </w:rPr>
        <w:t>C份额</w:t>
      </w:r>
      <w:r w:rsidR="00DE0A7C">
        <w:rPr>
          <w:rFonts w:ascii="宋体" w:hAnsi="宋体" w:hint="eastAsia"/>
          <w:b/>
          <w:bCs/>
          <w:sz w:val="22"/>
          <w:szCs w:val="22"/>
        </w:rPr>
        <w:t>、P份额、T</w:t>
      </w:r>
      <w:r w:rsidR="00DE0A7C">
        <w:rPr>
          <w:rFonts w:ascii="宋体" w:hAnsi="宋体"/>
          <w:b/>
          <w:bCs/>
          <w:sz w:val="22"/>
          <w:szCs w:val="22"/>
        </w:rPr>
        <w:t>Z</w:t>
      </w:r>
      <w:r w:rsidR="00DE0A7C">
        <w:rPr>
          <w:rFonts w:ascii="宋体" w:hAnsi="宋体" w:hint="eastAsia"/>
          <w:b/>
          <w:bCs/>
          <w:sz w:val="22"/>
          <w:szCs w:val="22"/>
        </w:rPr>
        <w:t>份额、</w:t>
      </w:r>
      <w:r w:rsidR="00DE0A7C">
        <w:rPr>
          <w:rFonts w:ascii="宋体" w:hAnsi="宋体"/>
          <w:b/>
          <w:bCs/>
          <w:sz w:val="22"/>
          <w:szCs w:val="22"/>
        </w:rPr>
        <w:t>TL</w:t>
      </w:r>
      <w:r w:rsidR="00DE0A7C">
        <w:rPr>
          <w:rFonts w:ascii="宋体" w:hAnsi="宋体" w:hint="eastAsia"/>
          <w:b/>
          <w:bCs/>
          <w:sz w:val="22"/>
          <w:szCs w:val="22"/>
        </w:rPr>
        <w:t>份额</w:t>
      </w:r>
      <w:r>
        <w:rPr>
          <w:rFonts w:ascii="宋体" w:hAnsi="宋体" w:hint="eastAsia"/>
          <w:b/>
          <w:sz w:val="22"/>
          <w:szCs w:val="22"/>
        </w:rPr>
        <w:t>：</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962"/>
        <w:gridCol w:w="1417"/>
      </w:tblGrid>
      <w:tr w:rsidR="00287771" w:rsidTr="00241507">
        <w:tc>
          <w:tcPr>
            <w:tcW w:w="255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赎回申请时间</w:t>
            </w:r>
          </w:p>
        </w:tc>
        <w:tc>
          <w:tcPr>
            <w:tcW w:w="4962"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赎回确认方式</w:t>
            </w:r>
          </w:p>
        </w:tc>
        <w:tc>
          <w:tcPr>
            <w:tcW w:w="1417" w:type="dxa"/>
            <w:vAlign w:val="center"/>
          </w:tcPr>
          <w:p w:rsidR="00287771" w:rsidRDefault="00287771" w:rsidP="00241507">
            <w:pPr>
              <w:adjustRightInd w:val="0"/>
              <w:snapToGrid w:val="0"/>
              <w:spacing w:line="300" w:lineRule="auto"/>
              <w:rPr>
                <w:rFonts w:ascii="宋体" w:hAnsi="宋体"/>
                <w:b/>
                <w:sz w:val="22"/>
                <w:szCs w:val="22"/>
              </w:rPr>
            </w:pPr>
            <w:r>
              <w:rPr>
                <w:rFonts w:ascii="宋体" w:hAnsi="宋体" w:hint="eastAsia"/>
                <w:b/>
                <w:sz w:val="22"/>
                <w:szCs w:val="22"/>
              </w:rPr>
              <w:t>赎回确认日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T日00:00-1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lastRenderedPageBreak/>
              <w:t>（T日为工作日）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lastRenderedPageBreak/>
              <w:t>将视为于T日赎回，</w:t>
            </w:r>
            <w:r>
              <w:rPr>
                <w:rFonts w:asciiTheme="minorEastAsia" w:eastAsiaTheme="minorEastAsia" w:hAnsiTheme="minorEastAsia" w:hint="eastAsia"/>
                <w:sz w:val="22"/>
                <w:szCs w:val="22"/>
              </w:rPr>
              <w:t>投资者赎回申请成功后，招银</w:t>
            </w:r>
            <w:r>
              <w:rPr>
                <w:rFonts w:asciiTheme="minorEastAsia" w:eastAsiaTheme="minorEastAsia" w:hAnsiTheme="minorEastAsia"/>
                <w:sz w:val="22"/>
                <w:szCs w:val="22"/>
              </w:rPr>
              <w:lastRenderedPageBreak/>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T日持有的理财计划余额对应的本金及理财收益将于T日后第1个工作日日终划转至投资者指定账户。该赎回申请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lastRenderedPageBreak/>
              <w:t>T+1日</w:t>
            </w:r>
          </w:p>
        </w:tc>
      </w:tr>
      <w:tr w:rsidR="00287771" w:rsidTr="00241507">
        <w:tc>
          <w:tcPr>
            <w:tcW w:w="2552"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lastRenderedPageBreak/>
              <w:t>T日1</w:t>
            </w:r>
            <w:r>
              <w:rPr>
                <w:rFonts w:ascii="宋体" w:hAnsi="宋体"/>
                <w:sz w:val="22"/>
                <w:szCs w:val="22"/>
              </w:rPr>
              <w:t>7</w:t>
            </w:r>
            <w:r>
              <w:rPr>
                <w:rFonts w:ascii="宋体" w:hAnsi="宋体" w:hint="eastAsia"/>
                <w:sz w:val="22"/>
                <w:szCs w:val="22"/>
              </w:rPr>
              <w:t>:</w:t>
            </w:r>
            <w:r>
              <w:rPr>
                <w:rFonts w:ascii="宋体" w:hAnsi="宋体"/>
                <w:sz w:val="22"/>
                <w:szCs w:val="22"/>
              </w:rPr>
              <w:t>0</w:t>
            </w:r>
            <w:r>
              <w:rPr>
                <w:rFonts w:ascii="宋体" w:hAnsi="宋体" w:hint="eastAsia"/>
                <w:sz w:val="22"/>
                <w:szCs w:val="22"/>
              </w:rPr>
              <w:t>0-24:00（不含）</w:t>
            </w:r>
          </w:p>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（T日为工作日）</w:t>
            </w:r>
          </w:p>
        </w:tc>
        <w:tc>
          <w:tcPr>
            <w:tcW w:w="4962" w:type="dxa"/>
            <w:vAlign w:val="center"/>
          </w:tcPr>
          <w:p w:rsidR="00287771" w:rsidRDefault="00287771" w:rsidP="00241507">
            <w:pPr>
              <w:adjustRightInd w:val="0"/>
              <w:snapToGrid w:val="0"/>
              <w:spacing w:line="300" w:lineRule="auto"/>
              <w:rPr>
                <w:rFonts w:ascii="宋体" w:hAnsi="宋体"/>
                <w:b/>
                <w:bCs/>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r w:rsidR="00287771" w:rsidTr="00241507">
        <w:tc>
          <w:tcPr>
            <w:tcW w:w="2552" w:type="dxa"/>
            <w:vAlign w:val="center"/>
          </w:tcPr>
          <w:p w:rsidR="00287771" w:rsidRDefault="00287771" w:rsidP="00241507">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T日</w:t>
            </w:r>
            <w:r>
              <w:rPr>
                <w:rFonts w:asciiTheme="minorEastAsia" w:eastAsiaTheme="minorEastAsia" w:hAnsiTheme="minorEastAsia"/>
                <w:sz w:val="22"/>
                <w:szCs w:val="22"/>
              </w:rPr>
              <w:t>00</w:t>
            </w:r>
            <w:r>
              <w:rPr>
                <w:rFonts w:asciiTheme="minorEastAsia" w:eastAsiaTheme="minorEastAsia" w:hAnsiTheme="minorEastAsia" w:hint="eastAsia"/>
                <w:sz w:val="22"/>
                <w:szCs w:val="22"/>
              </w:rPr>
              <w:t>:00-24:00</w:t>
            </w:r>
            <w:r>
              <w:rPr>
                <w:rFonts w:ascii="宋体" w:hAnsi="宋体" w:hint="eastAsia"/>
                <w:sz w:val="22"/>
                <w:szCs w:val="22"/>
              </w:rPr>
              <w:t>（不含）</w:t>
            </w:r>
          </w:p>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 xml:space="preserve"> (T日为非工作日)</w:t>
            </w:r>
          </w:p>
        </w:tc>
        <w:tc>
          <w:tcPr>
            <w:tcW w:w="4962" w:type="dxa"/>
            <w:vAlign w:val="center"/>
          </w:tcPr>
          <w:p w:rsidR="00287771" w:rsidRDefault="00287771" w:rsidP="00241507">
            <w:pPr>
              <w:adjustRightInd w:val="0"/>
              <w:snapToGrid w:val="0"/>
              <w:spacing w:line="300" w:lineRule="auto"/>
              <w:rPr>
                <w:rFonts w:ascii="宋体" w:hAnsi="宋体"/>
                <w:sz w:val="22"/>
                <w:szCs w:val="22"/>
              </w:rPr>
            </w:pPr>
            <w:r>
              <w:rPr>
                <w:rFonts w:asciiTheme="minorEastAsia" w:eastAsiaTheme="minorEastAsia" w:hAnsiTheme="minorEastAsia" w:hint="eastAsia"/>
                <w:sz w:val="22"/>
                <w:szCs w:val="22"/>
              </w:rPr>
              <w:t>将视为于T日后第1个工作日赎回，投资者赎回申请成功后，招银</w:t>
            </w:r>
            <w:r>
              <w:rPr>
                <w:rFonts w:asciiTheme="minorEastAsia" w:eastAsiaTheme="minorEastAsia" w:hAnsiTheme="minorEastAsia"/>
                <w:sz w:val="22"/>
                <w:szCs w:val="22"/>
              </w:rPr>
              <w:t>理财</w:t>
            </w:r>
            <w:r>
              <w:rPr>
                <w:rFonts w:asciiTheme="minorEastAsia" w:eastAsiaTheme="minorEastAsia" w:hAnsiTheme="minorEastAsia" w:hint="eastAsia"/>
                <w:sz w:val="22"/>
                <w:szCs w:val="22"/>
              </w:rPr>
              <w:t>将为投资者扣减份额，投资者</w:t>
            </w:r>
            <w:r>
              <w:rPr>
                <w:rFonts w:asciiTheme="minorEastAsia" w:eastAsiaTheme="minorEastAsia" w:hAnsiTheme="minorEastAsia"/>
                <w:sz w:val="22"/>
                <w:szCs w:val="22"/>
              </w:rPr>
              <w:t>T日</w:t>
            </w:r>
            <w:r>
              <w:rPr>
                <w:rFonts w:asciiTheme="minorEastAsia" w:eastAsiaTheme="minorEastAsia" w:hAnsiTheme="minorEastAsia" w:hint="eastAsia"/>
                <w:sz w:val="22"/>
                <w:szCs w:val="22"/>
              </w:rPr>
              <w:t>持有的理财计划余额对应的本金及理财收益将于</w:t>
            </w:r>
            <w:r>
              <w:rPr>
                <w:rFonts w:asciiTheme="minorEastAsia" w:eastAsiaTheme="minorEastAsia" w:hAnsiTheme="minorEastAsia"/>
                <w:sz w:val="22"/>
                <w:szCs w:val="22"/>
              </w:rPr>
              <w:t>T日后第2个工作日日终划转至投资者指定账户。该赎回申请</w:t>
            </w:r>
            <w:r>
              <w:rPr>
                <w:rFonts w:asciiTheme="minorEastAsia" w:eastAsiaTheme="minorEastAsia" w:hAnsiTheme="minorEastAsia" w:hint="eastAsia"/>
                <w:sz w:val="22"/>
                <w:szCs w:val="22"/>
              </w:rPr>
              <w:t>于</w:t>
            </w:r>
            <w:r>
              <w:rPr>
                <w:rFonts w:asciiTheme="minorEastAsia" w:eastAsiaTheme="minorEastAsia" w:hAnsiTheme="minorEastAsia"/>
                <w:sz w:val="22"/>
                <w:szCs w:val="22"/>
              </w:rPr>
              <w:t>T</w:t>
            </w:r>
            <w:r>
              <w:rPr>
                <w:rFonts w:asciiTheme="minorEastAsia" w:eastAsiaTheme="minorEastAsia" w:hAnsiTheme="minorEastAsia" w:hint="eastAsia"/>
                <w:sz w:val="22"/>
                <w:szCs w:val="22"/>
              </w:rPr>
              <w:t>日</w:t>
            </w:r>
            <w:r>
              <w:rPr>
                <w:rFonts w:asciiTheme="minorEastAsia" w:eastAsiaTheme="minorEastAsia" w:hAnsiTheme="minorEastAsia"/>
                <w:sz w:val="22"/>
                <w:szCs w:val="22"/>
              </w:rPr>
              <w:t>后第1个工作日17:00前可以撤销。</w:t>
            </w:r>
          </w:p>
        </w:tc>
        <w:tc>
          <w:tcPr>
            <w:tcW w:w="1417" w:type="dxa"/>
            <w:vAlign w:val="center"/>
          </w:tcPr>
          <w:p w:rsidR="00287771" w:rsidRDefault="00287771" w:rsidP="00241507">
            <w:pPr>
              <w:adjustRightInd w:val="0"/>
              <w:snapToGrid w:val="0"/>
              <w:spacing w:line="300" w:lineRule="auto"/>
              <w:rPr>
                <w:rFonts w:ascii="宋体" w:hAnsi="宋体"/>
                <w:sz w:val="22"/>
                <w:szCs w:val="22"/>
              </w:rPr>
            </w:pPr>
            <w:r>
              <w:rPr>
                <w:rFonts w:ascii="宋体" w:hAnsi="宋体" w:hint="eastAsia"/>
                <w:sz w:val="22"/>
                <w:szCs w:val="22"/>
              </w:rPr>
              <w:t>T</w:t>
            </w:r>
            <w:r>
              <w:rPr>
                <w:rFonts w:ascii="宋体" w:hAnsi="宋体"/>
                <w:sz w:val="22"/>
                <w:szCs w:val="22"/>
              </w:rPr>
              <w:t>+</w:t>
            </w:r>
            <w:r>
              <w:rPr>
                <w:rFonts w:ascii="宋体" w:hAnsi="宋体" w:hint="eastAsia"/>
                <w:sz w:val="22"/>
                <w:szCs w:val="22"/>
              </w:rPr>
              <w:t>2日</w:t>
            </w:r>
          </w:p>
        </w:tc>
      </w:tr>
    </w:tbl>
    <w:p w:rsidR="00287771" w:rsidRDefault="00287771">
      <w:pPr>
        <w:adjustRightInd w:val="0"/>
        <w:snapToGrid w:val="0"/>
        <w:spacing w:line="300" w:lineRule="auto"/>
        <w:rPr>
          <w:rFonts w:ascii="宋体" w:hAnsi="宋体"/>
          <w:sz w:val="22"/>
          <w:szCs w:val="22"/>
        </w:rPr>
      </w:pPr>
    </w:p>
    <w:p w:rsidR="003252C2" w:rsidRDefault="00F10458">
      <w:pPr>
        <w:adjustRightInd w:val="0"/>
        <w:snapToGrid w:val="0"/>
        <w:spacing w:line="300" w:lineRule="auto"/>
        <w:rPr>
          <w:rFonts w:ascii="宋体" w:hAnsi="宋体"/>
          <w:sz w:val="22"/>
          <w:szCs w:val="22"/>
        </w:rPr>
      </w:pPr>
      <w:r>
        <w:rPr>
          <w:rFonts w:ascii="宋体" w:hAnsi="宋体" w:hint="eastAsia"/>
          <w:sz w:val="22"/>
          <w:szCs w:val="22"/>
        </w:rPr>
        <w:t>（2）部分赎回</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hint="eastAsia"/>
          <w:sz w:val="22"/>
          <w:szCs w:val="22"/>
        </w:rPr>
        <w:t>投资者部分赎回本理财计划时，对于投资者当日部分赎回的理财本金，招银理财将按照以上第（1）点的方式确认赎回</w:t>
      </w:r>
      <w:r>
        <w:rPr>
          <w:rFonts w:ascii="宋体" w:hAnsi="宋体"/>
          <w:sz w:val="22"/>
          <w:szCs w:val="22"/>
        </w:rPr>
        <w:t>申请的有效性</w:t>
      </w:r>
      <w:r>
        <w:rPr>
          <w:rFonts w:ascii="宋体" w:hAnsi="宋体" w:hint="eastAsia"/>
          <w:sz w:val="22"/>
          <w:szCs w:val="22"/>
        </w:rPr>
        <w:t>，为投资者扣减份额并支付本金。</w:t>
      </w:r>
    </w:p>
    <w:p w:rsidR="003252C2" w:rsidRDefault="00F10458">
      <w:pPr>
        <w:adjustRightInd w:val="0"/>
        <w:snapToGrid w:val="0"/>
        <w:spacing w:line="300" w:lineRule="auto"/>
        <w:ind w:firstLineChars="200" w:firstLine="440"/>
        <w:rPr>
          <w:rFonts w:ascii="宋体" w:hAnsi="宋体"/>
          <w:sz w:val="22"/>
          <w:szCs w:val="22"/>
        </w:rPr>
      </w:pPr>
      <w:r>
        <w:rPr>
          <w:rFonts w:ascii="宋体" w:hAnsi="宋体" w:cs="宋体" w:hint="eastAsia"/>
          <w:sz w:val="22"/>
          <w:szCs w:val="22"/>
        </w:rPr>
        <w:t>部分赎回后投资者持有理财产品份额的实时余额不得低于本理财计划的最低持有份额，否则，管理人和销售服务机构有权强制要求投资者予以全部赎回或不予受理投资者该笔赎回申请。</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hAnsiTheme="minorEastAsia" w:hint="eastAsia"/>
          <w:sz w:val="22"/>
          <w:szCs w:val="22"/>
        </w:rPr>
        <w:t>（3）在发生巨额赎回、连续巨额赎回或产品说明书约定的其他暂停赎回或延缓支付赎回款项的情形时，赎回资金的支付参考《产品说明书》相关条款处理。</w:t>
      </w:r>
    </w:p>
    <w:p w:rsidR="003252C2" w:rsidRDefault="00F10458">
      <w:pPr>
        <w:tabs>
          <w:tab w:val="left" w:pos="0"/>
          <w:tab w:val="left" w:pos="360"/>
        </w:tabs>
        <w:adjustRightInd w:val="0"/>
        <w:snapToGrid w:val="0"/>
        <w:spacing w:line="300" w:lineRule="auto"/>
        <w:rPr>
          <w:rFonts w:asciiTheme="minorEastAsia" w:eastAsiaTheme="minorEastAsia" w:hAnsiTheme="minorEastAsia"/>
          <w:b/>
          <w:bCs/>
          <w:sz w:val="22"/>
          <w:szCs w:val="22"/>
        </w:rPr>
      </w:pPr>
      <w:r>
        <w:rPr>
          <w:rFonts w:ascii="宋体" w:hAnsi="宋体"/>
          <w:b/>
          <w:bCs/>
          <w:sz w:val="22"/>
          <w:szCs w:val="22"/>
        </w:rPr>
        <w:t>7</w:t>
      </w:r>
      <w:r>
        <w:rPr>
          <w:rFonts w:asciiTheme="minorEastAsia" w:eastAsiaTheme="minorEastAsia" w:hAnsiTheme="minorEastAsia"/>
          <w:b/>
          <w:bCs/>
          <w:sz w:val="22"/>
          <w:szCs w:val="22"/>
        </w:rPr>
        <w:t>.</w:t>
      </w:r>
      <w:r>
        <w:rPr>
          <w:rFonts w:asciiTheme="minorEastAsia" w:eastAsiaTheme="minorEastAsia" w:hAnsiTheme="minorEastAsia" w:hint="eastAsia"/>
          <w:b/>
          <w:bCs/>
          <w:sz w:val="22"/>
          <w:szCs w:val="22"/>
        </w:rPr>
        <w:t>申购</w:t>
      </w:r>
      <w:r>
        <w:rPr>
          <w:rFonts w:asciiTheme="minorEastAsia" w:eastAsiaTheme="minorEastAsia" w:hAnsiTheme="minorEastAsia"/>
          <w:b/>
          <w:bCs/>
          <w:sz w:val="22"/>
          <w:szCs w:val="22"/>
        </w:rPr>
        <w:t>份额和赎回金额的计算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1）申购份额的计算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本理财计划申购份额的具体计算方法如下：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申购份额＝本</w:t>
      </w:r>
      <w:r>
        <w:rPr>
          <w:rFonts w:asciiTheme="minorEastAsia" w:eastAsiaTheme="minorEastAsia" w:hAnsiTheme="minorEastAsia"/>
          <w:sz w:val="22"/>
          <w:szCs w:val="22"/>
        </w:rPr>
        <w:t>次</w:t>
      </w:r>
      <w:r>
        <w:rPr>
          <w:rFonts w:asciiTheme="minorEastAsia" w:eastAsiaTheme="minorEastAsia" w:hAnsiTheme="minorEastAsia" w:hint="eastAsia"/>
          <w:sz w:val="22"/>
          <w:szCs w:val="22"/>
        </w:rPr>
        <w:t>申购金额÷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申购费：本理财计划不收取申购费。</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申购份额保留至小数点后</w:t>
      </w:r>
      <w:r>
        <w:rPr>
          <w:rFonts w:asciiTheme="minorEastAsia" w:eastAsiaTheme="minorEastAsia" w:hAnsiTheme="minorEastAsia"/>
          <w:sz w:val="22"/>
          <w:szCs w:val="22"/>
        </w:rPr>
        <w:t>2位（保留2位小数，2位小数点后四舍五入</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示例：假定某投资者投资</w:t>
      </w:r>
      <w:r>
        <w:rPr>
          <w:rFonts w:asciiTheme="minorEastAsia" w:eastAsiaTheme="minorEastAsia" w:hAnsiTheme="minorEastAsia"/>
          <w:sz w:val="22"/>
          <w:szCs w:val="22"/>
        </w:rPr>
        <w:t>100万元人民币申购本理财计划，则其可得到的申购份额和应支付的申购费计算如下：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申购份数＝</w:t>
      </w:r>
      <w:r>
        <w:rPr>
          <w:rFonts w:asciiTheme="minorEastAsia" w:eastAsiaTheme="minorEastAsia" w:hAnsiTheme="minorEastAsia"/>
          <w:sz w:val="22"/>
          <w:szCs w:val="22"/>
        </w:rPr>
        <w:t>100万元人民币÷1.00</w:t>
      </w:r>
      <w:r>
        <w:rPr>
          <w:rFonts w:asciiTheme="minorEastAsia" w:eastAsiaTheme="minorEastAsia" w:hAnsiTheme="minorEastAsia" w:hint="eastAsia"/>
          <w:sz w:val="22"/>
          <w:szCs w:val="22"/>
        </w:rPr>
        <w:t>＝</w:t>
      </w:r>
      <w:r>
        <w:rPr>
          <w:rFonts w:asciiTheme="minorEastAsia" w:eastAsiaTheme="minorEastAsia" w:hAnsiTheme="minorEastAsia"/>
          <w:sz w:val="22"/>
          <w:szCs w:val="22"/>
        </w:rPr>
        <w:t>1000000.00</w:t>
      </w:r>
      <w:r>
        <w:rPr>
          <w:rFonts w:asciiTheme="minorEastAsia" w:eastAsiaTheme="minorEastAsia" w:hAnsiTheme="minorEastAsia" w:hint="eastAsia"/>
          <w:sz w:val="22"/>
          <w:szCs w:val="22"/>
        </w:rPr>
        <w:t>份</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申购费＝</w:t>
      </w:r>
      <w:r>
        <w:rPr>
          <w:rFonts w:asciiTheme="minorEastAsia" w:eastAsiaTheme="minorEastAsia" w:hAnsiTheme="minorEastAsia"/>
          <w:sz w:val="22"/>
          <w:szCs w:val="22"/>
        </w:rPr>
        <w:t>100万元人民币×0％＝0元人民币</w:t>
      </w:r>
    </w:p>
    <w:p w:rsidR="003252C2" w:rsidRDefault="00F10458">
      <w:pPr>
        <w:tabs>
          <w:tab w:val="left" w:pos="72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理财计划赎回金额的计算</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赎回费：本理财计划出现以下情形之一时</w:t>
      </w:r>
      <w:r>
        <w:rPr>
          <w:rFonts w:asciiTheme="minorEastAsia" w:eastAsiaTheme="minorEastAsia" w:hAnsiTheme="minorEastAsia"/>
          <w:sz w:val="22"/>
          <w:szCs w:val="22"/>
        </w:rPr>
        <w:t>将</w:t>
      </w:r>
      <w:r>
        <w:rPr>
          <w:rFonts w:asciiTheme="minorEastAsia" w:eastAsiaTheme="minorEastAsia" w:hAnsiTheme="minorEastAsia" w:hint="eastAsia"/>
          <w:sz w:val="22"/>
          <w:szCs w:val="22"/>
        </w:rPr>
        <w:t>有权</w:t>
      </w:r>
      <w:r>
        <w:rPr>
          <w:rFonts w:asciiTheme="minorEastAsia" w:eastAsiaTheme="minorEastAsia" w:hAnsiTheme="minorEastAsia"/>
          <w:sz w:val="22"/>
          <w:szCs w:val="22"/>
        </w:rPr>
        <w:t>强制收取赎回费</w:t>
      </w:r>
      <w:r>
        <w:rPr>
          <w:rFonts w:asciiTheme="minorEastAsia" w:eastAsiaTheme="minorEastAsia" w:hAnsiTheme="minorEastAsia" w:hint="eastAsia"/>
          <w:sz w:val="22"/>
          <w:szCs w:val="22"/>
        </w:rPr>
        <w:t>：</w:t>
      </w:r>
    </w:p>
    <w:p w:rsidR="003252C2" w:rsidRDefault="00F10458">
      <w:pPr>
        <w:tabs>
          <w:tab w:val="left" w:pos="720"/>
        </w:tabs>
        <w:adjustRightInd w:val="0"/>
        <w:snapToGrid w:val="0"/>
        <w:spacing w:line="300" w:lineRule="auto"/>
        <w:ind w:firstLineChars="200" w:firstLine="442"/>
        <w:rPr>
          <w:rFonts w:asciiTheme="minorEastAsia" w:eastAsiaTheme="minorEastAsia" w:hAnsiTheme="minorEastAsia"/>
          <w:sz w:val="22"/>
          <w:szCs w:val="22"/>
        </w:rPr>
      </w:pPr>
      <w:r>
        <w:rPr>
          <w:rFonts w:asciiTheme="minorEastAsia" w:eastAsiaTheme="minorEastAsia" w:hAnsiTheme="minorEastAsia" w:hint="eastAsia"/>
          <w:b/>
          <w:sz w:val="22"/>
          <w:szCs w:val="22"/>
        </w:rPr>
        <w:t>1）在满足相关流动性风险管理要求的前提下，当本理财计划持有的现金、国债、中央银行票据、政策性金融债券以及5个交易日内到期的其他金融工具占本理财计划资产</w:t>
      </w:r>
      <w:r>
        <w:rPr>
          <w:rFonts w:asciiTheme="minorEastAsia" w:eastAsiaTheme="minorEastAsia" w:hAnsiTheme="minorEastAsia" w:hint="eastAsia"/>
          <w:b/>
          <w:sz w:val="22"/>
          <w:szCs w:val="22"/>
        </w:rPr>
        <w:lastRenderedPageBreak/>
        <w:t>净值的比例合计低于5%且偏离度为负时，管理人有权对当日单个投资者申请赎回份额超过本理财计划总份额1%以上的赎回申请征收1%的强制赎回费用，并将上述赎回费用全额计入本理财计划财产。</w:t>
      </w:r>
      <w:r>
        <w:rPr>
          <w:rFonts w:asciiTheme="minorEastAsia" w:eastAsiaTheme="minorEastAsia" w:hAnsiTheme="minorEastAsia" w:hint="eastAsia"/>
          <w:sz w:val="22"/>
          <w:szCs w:val="22"/>
        </w:rPr>
        <w:t>管理人与托管人协商确认上述做法无益于本理财计划利益最大化的情形除外。</w:t>
      </w:r>
    </w:p>
    <w:p w:rsidR="003252C2" w:rsidRDefault="00F10458">
      <w:pPr>
        <w:tabs>
          <w:tab w:val="left" w:pos="720"/>
        </w:tabs>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2）本理财计划前10名投资者的持有份额合计超过本理财计划总份额50%的，当投资组合中现金、国债、中央银行票据、政策性金融债券以及5个交易日内到期的其他金融工具占本理财计划资产净值的比例合计低于10%且偏离度为负时，</w:t>
      </w:r>
      <w:r>
        <w:rPr>
          <w:rFonts w:asciiTheme="minorEastAsia" w:eastAsiaTheme="minorEastAsia" w:hAnsiTheme="minorEastAsia" w:hint="eastAsia"/>
          <w:b/>
          <w:sz w:val="22"/>
          <w:szCs w:val="22"/>
        </w:rPr>
        <w:t>管理人有权对投资者超过本理财计划总份额1%以上的赎回申请征收1%的强制赎回费用。</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法律法规或监管机构另有规定的，从其规定。</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理财计划采用“份额赎回”方式，赎回金额计算公式如下：</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全部赎回：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1.00+赎回份额对应未付理财收益</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部分赎回：</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投资者</w:t>
      </w:r>
      <w:r>
        <w:rPr>
          <w:rFonts w:asciiTheme="minorEastAsia" w:eastAsiaTheme="minorEastAsia" w:hAnsiTheme="minorEastAsia"/>
          <w:sz w:val="22"/>
          <w:szCs w:val="22"/>
        </w:rPr>
        <w:t>应得</w:t>
      </w:r>
      <w:r>
        <w:rPr>
          <w:rFonts w:asciiTheme="minorEastAsia" w:eastAsiaTheme="minorEastAsia" w:hAnsiTheme="minorEastAsia" w:hint="eastAsia"/>
          <w:sz w:val="22"/>
          <w:szCs w:val="22"/>
        </w:rPr>
        <w:t>赎回金额＝本次被</w:t>
      </w:r>
      <w:r>
        <w:rPr>
          <w:rFonts w:asciiTheme="minorEastAsia" w:eastAsiaTheme="minorEastAsia" w:hAnsiTheme="minorEastAsia"/>
          <w:sz w:val="22"/>
          <w:szCs w:val="22"/>
        </w:rPr>
        <w:t>确认的</w:t>
      </w:r>
      <w:r>
        <w:rPr>
          <w:rFonts w:asciiTheme="minorEastAsia" w:eastAsiaTheme="minorEastAsia" w:hAnsiTheme="minorEastAsia" w:hint="eastAsia"/>
          <w:sz w:val="22"/>
          <w:szCs w:val="22"/>
        </w:rPr>
        <w:t>赎回份额×</w:t>
      </w:r>
      <w:r>
        <w:rPr>
          <w:rFonts w:asciiTheme="minorEastAsia" w:eastAsiaTheme="minorEastAsia" w:hAnsiTheme="minorEastAsia"/>
          <w:sz w:val="22"/>
          <w:szCs w:val="22"/>
        </w:rPr>
        <w:t>1.00</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（赎回金额保留</w:t>
      </w:r>
      <w:r>
        <w:rPr>
          <w:rFonts w:asciiTheme="minorEastAsia" w:eastAsiaTheme="minorEastAsia" w:hAnsiTheme="minorEastAsia"/>
          <w:sz w:val="22"/>
          <w:szCs w:val="22"/>
        </w:rPr>
        <w:t>2位小数，2位小数点后</w:t>
      </w:r>
      <w:r>
        <w:rPr>
          <w:rFonts w:asciiTheme="minorEastAsia" w:eastAsiaTheme="minorEastAsia" w:hAnsiTheme="minorEastAsia" w:hint="eastAsia"/>
          <w:sz w:val="22"/>
          <w:szCs w:val="22"/>
        </w:rPr>
        <w:t>四舍五入</w:t>
      </w:r>
      <w:r>
        <w:rPr>
          <w:rFonts w:asciiTheme="minorEastAsia" w:eastAsiaTheme="minorEastAsia" w:hAnsiTheme="minor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注：如发生上述触发强制赎回费的情形，则赎回费用从赎回金额中扣除。</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1：假定某投资者持有100000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份理财计划份额，赎回份额对应未付理财收益为2500元，投资者赎回500000份理财计划份额，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500000×1.00＝500000元人民币</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500000元人民币。</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示例</w:t>
      </w:r>
      <w:r>
        <w:rPr>
          <w:rFonts w:asciiTheme="minorEastAsia" w:eastAsiaTheme="minorEastAsia" w:hAnsiTheme="minorEastAsia"/>
          <w:sz w:val="22"/>
          <w:szCs w:val="22"/>
        </w:rPr>
        <w:t>2：假定某投资者持有100000</w:t>
      </w:r>
      <w:r>
        <w:rPr>
          <w:rFonts w:asciiTheme="minorEastAsia" w:eastAsiaTheme="minorEastAsia" w:hAnsiTheme="minorEastAsia" w:hint="eastAsia"/>
          <w:sz w:val="22"/>
          <w:szCs w:val="22"/>
        </w:rPr>
        <w:t>0</w:t>
      </w:r>
      <w:r>
        <w:rPr>
          <w:rFonts w:asciiTheme="minorEastAsia" w:eastAsiaTheme="minorEastAsia" w:hAnsiTheme="minorEastAsia"/>
          <w:sz w:val="22"/>
          <w:szCs w:val="22"/>
        </w:rPr>
        <w:t>份理财计划份额，赎回份额对应未付理财收益为2500元，投资者赎回1000000份理财计划份额，</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赎回金额＝</w:t>
      </w:r>
      <w:r>
        <w:rPr>
          <w:rFonts w:asciiTheme="minorEastAsia" w:eastAsiaTheme="minorEastAsia" w:hAnsiTheme="minorEastAsia"/>
          <w:sz w:val="22"/>
          <w:szCs w:val="22"/>
        </w:rPr>
        <w:t>1000000×1.00+2500＝1002500元人民币</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sz w:val="22"/>
          <w:szCs w:val="22"/>
        </w:rPr>
        <w:t>投资者应得赎回资金为</w:t>
      </w:r>
      <w:r>
        <w:rPr>
          <w:rFonts w:asciiTheme="minorEastAsia" w:eastAsiaTheme="minorEastAsia" w:hAnsiTheme="minorEastAsia"/>
          <w:sz w:val="22"/>
          <w:szCs w:val="22"/>
        </w:rPr>
        <w:t>1002500元人民币。</w:t>
      </w:r>
    </w:p>
    <w:p w:rsidR="003252C2" w:rsidRDefault="00F10458">
      <w:pPr>
        <w:tabs>
          <w:tab w:val="left" w:pos="0"/>
          <w:tab w:val="left" w:pos="360"/>
        </w:tabs>
        <w:adjustRightInd w:val="0"/>
        <w:snapToGrid w:val="0"/>
        <w:spacing w:line="300" w:lineRule="auto"/>
        <w:rPr>
          <w:rFonts w:asciiTheme="minorEastAsia" w:eastAsiaTheme="minorEastAsia" w:hAnsiTheme="minorEastAsia"/>
          <w:b/>
          <w:sz w:val="22"/>
          <w:szCs w:val="22"/>
        </w:rPr>
      </w:pPr>
      <w:r>
        <w:rPr>
          <w:rFonts w:ascii="宋体" w:hAnsi="宋体"/>
          <w:b/>
          <w:bCs/>
          <w:sz w:val="22"/>
          <w:szCs w:val="22"/>
        </w:rPr>
        <w:t>8.</w:t>
      </w:r>
      <w:r>
        <w:rPr>
          <w:rFonts w:asciiTheme="minorEastAsia" w:eastAsiaTheme="minorEastAsia" w:hAnsiTheme="minorEastAsia" w:hint="eastAsia"/>
          <w:b/>
          <w:sz w:val="22"/>
          <w:szCs w:val="22"/>
        </w:rPr>
        <w:t>巨额赎回</w:t>
      </w:r>
      <w:r>
        <w:rPr>
          <w:rFonts w:asciiTheme="minorEastAsia" w:eastAsiaTheme="minorEastAsia" w:hAnsiTheme="minorEastAsia"/>
          <w:b/>
          <w:sz w:val="22"/>
          <w:szCs w:val="22"/>
        </w:rPr>
        <w:t>的</w:t>
      </w:r>
      <w:r>
        <w:rPr>
          <w:rFonts w:asciiTheme="minorEastAsia" w:eastAsiaTheme="minorEastAsia" w:hAnsiTheme="minorEastAsia" w:hint="eastAsia"/>
          <w:b/>
          <w:sz w:val="22"/>
          <w:szCs w:val="22"/>
        </w:rPr>
        <w:t>情形及处理方式</w:t>
      </w:r>
    </w:p>
    <w:p w:rsidR="003252C2" w:rsidRDefault="00F10458">
      <w:pPr>
        <w:adjustRightInd w:val="0"/>
        <w:snapToGrid w:val="0"/>
        <w:spacing w:line="300" w:lineRule="auto"/>
        <w:rPr>
          <w:sz w:val="22"/>
          <w:szCs w:val="22"/>
        </w:rPr>
      </w:pPr>
      <w:r>
        <w:rPr>
          <w:sz w:val="22"/>
          <w:szCs w:val="22"/>
        </w:rPr>
        <w:t>（</w:t>
      </w:r>
      <w:r>
        <w:rPr>
          <w:sz w:val="22"/>
          <w:szCs w:val="22"/>
        </w:rPr>
        <w:t>1</w:t>
      </w:r>
      <w:r>
        <w:rPr>
          <w:sz w:val="22"/>
          <w:szCs w:val="22"/>
        </w:rPr>
        <w:t>）</w:t>
      </w:r>
      <w:r>
        <w:rPr>
          <w:rFonts w:hint="eastAsia"/>
          <w:sz w:val="22"/>
          <w:szCs w:val="22"/>
        </w:rPr>
        <w:t>巨额赎回的认定</w:t>
      </w:r>
    </w:p>
    <w:p w:rsidR="003252C2" w:rsidRDefault="00F10458">
      <w:pPr>
        <w:adjustRightInd w:val="0"/>
        <w:snapToGrid w:val="0"/>
        <w:spacing w:line="300" w:lineRule="auto"/>
        <w:ind w:firstLine="420"/>
        <w:rPr>
          <w:b/>
          <w:bCs/>
          <w:sz w:val="22"/>
          <w:szCs w:val="22"/>
        </w:rPr>
      </w:pPr>
      <w:r>
        <w:rPr>
          <w:rFonts w:hint="eastAsia"/>
          <w:b/>
          <w:bCs/>
          <w:sz w:val="22"/>
          <w:szCs w:val="22"/>
        </w:rPr>
        <w:t>若理财计划单个开放日</w:t>
      </w:r>
      <w:r>
        <w:rPr>
          <w:rFonts w:ascii="宋体" w:hAnsi="宋体" w:hint="eastAsia"/>
          <w:b/>
          <w:bCs/>
          <w:color w:val="000000"/>
          <w:kern w:val="0"/>
          <w:sz w:val="22"/>
          <w:szCs w:val="22"/>
          <w:lang w:val="zh-CN"/>
        </w:rPr>
        <w:t>净赎回申请份额（赎回申请份额总数扣除申购申请份额总数）超过上一工作日</w:t>
      </w:r>
      <w:r>
        <w:rPr>
          <w:rFonts w:ascii="宋体" w:hAnsi="宋体"/>
          <w:b/>
          <w:bCs/>
          <w:color w:val="000000"/>
          <w:kern w:val="0"/>
          <w:sz w:val="22"/>
          <w:szCs w:val="22"/>
          <w:lang w:val="zh-CN"/>
        </w:rPr>
        <w:t>日终理财产品总份额的10%</w:t>
      </w:r>
      <w:r>
        <w:rPr>
          <w:rFonts w:hint="eastAsia"/>
          <w:b/>
          <w:bCs/>
          <w:sz w:val="22"/>
          <w:szCs w:val="22"/>
        </w:rPr>
        <w:t>，则发生巨额赎回事件。</w:t>
      </w:r>
    </w:p>
    <w:p w:rsidR="003252C2" w:rsidRDefault="00F10458">
      <w:pPr>
        <w:adjustRightInd w:val="0"/>
        <w:snapToGrid w:val="0"/>
        <w:spacing w:line="300" w:lineRule="auto"/>
        <w:rPr>
          <w:sz w:val="22"/>
          <w:szCs w:val="22"/>
        </w:rPr>
      </w:pPr>
      <w:r>
        <w:rPr>
          <w:rFonts w:hint="eastAsia"/>
          <w:sz w:val="22"/>
          <w:szCs w:val="22"/>
        </w:rPr>
        <w:t>（</w:t>
      </w:r>
      <w:r>
        <w:rPr>
          <w:sz w:val="22"/>
          <w:szCs w:val="22"/>
        </w:rPr>
        <w:t>2</w:t>
      </w:r>
      <w:r>
        <w:rPr>
          <w:rFonts w:hint="eastAsia"/>
          <w:sz w:val="22"/>
          <w:szCs w:val="22"/>
        </w:rPr>
        <w:t>）巨额赎回的处理方式</w:t>
      </w:r>
    </w:p>
    <w:p w:rsidR="003252C2" w:rsidRDefault="00F10458">
      <w:pPr>
        <w:adjustRightInd w:val="0"/>
        <w:snapToGrid w:val="0"/>
        <w:spacing w:line="300" w:lineRule="auto"/>
        <w:ind w:firstLine="420"/>
        <w:rPr>
          <w:b/>
          <w:bCs/>
          <w:sz w:val="22"/>
          <w:szCs w:val="22"/>
        </w:rPr>
      </w:pPr>
      <w:r>
        <w:rPr>
          <w:rFonts w:hint="eastAsia"/>
          <w:b/>
          <w:bCs/>
          <w:sz w:val="22"/>
          <w:szCs w:val="22"/>
        </w:rPr>
        <w:t>当理财计划出现巨额赎回时，管理人有权依照理财计划当时的资产组合状况选择全额赎回、部分赎回或延缓支付赎回款项。</w:t>
      </w:r>
    </w:p>
    <w:p w:rsidR="003252C2" w:rsidRDefault="00F10458">
      <w:pPr>
        <w:adjustRightInd w:val="0"/>
        <w:snapToGrid w:val="0"/>
        <w:spacing w:line="300" w:lineRule="auto"/>
        <w:ind w:firstLine="420"/>
        <w:rPr>
          <w:sz w:val="22"/>
          <w:szCs w:val="22"/>
        </w:rPr>
      </w:pPr>
      <w:r>
        <w:rPr>
          <w:b/>
          <w:bCs/>
          <w:sz w:val="22"/>
          <w:szCs w:val="22"/>
        </w:rPr>
        <w:t>1</w:t>
      </w:r>
      <w:r>
        <w:rPr>
          <w:rFonts w:hint="eastAsia"/>
          <w:b/>
          <w:bCs/>
          <w:sz w:val="22"/>
          <w:szCs w:val="22"/>
        </w:rPr>
        <w:t>）全额赎回</w:t>
      </w:r>
      <w:r>
        <w:rPr>
          <w:rFonts w:hint="eastAsia"/>
          <w:sz w:val="22"/>
          <w:szCs w:val="22"/>
        </w:rPr>
        <w:t>：当管理人有能力支付投资者的全部赎回申请时，按正常赎回程序执行；</w:t>
      </w:r>
    </w:p>
    <w:p w:rsidR="003252C2" w:rsidRDefault="00F10458">
      <w:pPr>
        <w:adjustRightInd w:val="0"/>
        <w:snapToGrid w:val="0"/>
        <w:spacing w:line="300" w:lineRule="auto"/>
        <w:ind w:firstLine="420"/>
        <w:rPr>
          <w:sz w:val="22"/>
          <w:szCs w:val="22"/>
        </w:rPr>
      </w:pPr>
      <w:r>
        <w:rPr>
          <w:b/>
          <w:bCs/>
          <w:sz w:val="22"/>
          <w:szCs w:val="22"/>
        </w:rPr>
        <w:t>2</w:t>
      </w:r>
      <w:r>
        <w:rPr>
          <w:rFonts w:hint="eastAsia"/>
          <w:b/>
          <w:bCs/>
          <w:sz w:val="22"/>
          <w:szCs w:val="22"/>
        </w:rPr>
        <w:t>）部分赎回</w:t>
      </w:r>
      <w:r>
        <w:rPr>
          <w:rFonts w:hint="eastAsia"/>
          <w:sz w:val="22"/>
          <w:szCs w:val="22"/>
        </w:rPr>
        <w:t>：当管理人认为支付投资者的赎回款项有困难或认为因支付投资者的赎回款项而进行的资产变现可能会对理财计划资产净值造成较大波动等情形时，在当日接受赎回比例不低于上一</w:t>
      </w:r>
      <w:r>
        <w:rPr>
          <w:rFonts w:ascii="宋体" w:hAnsi="宋体" w:hint="eastAsia"/>
          <w:bCs/>
          <w:color w:val="000000"/>
          <w:kern w:val="0"/>
          <w:sz w:val="22"/>
          <w:szCs w:val="22"/>
          <w:lang w:val="zh-CN"/>
        </w:rPr>
        <w:t>工作日日终</w:t>
      </w:r>
      <w:r>
        <w:rPr>
          <w:rFonts w:hint="eastAsia"/>
          <w:sz w:val="22"/>
          <w:szCs w:val="22"/>
        </w:rPr>
        <w:t>理财产品总份额的</w:t>
      </w:r>
      <w:r>
        <w:rPr>
          <w:sz w:val="22"/>
          <w:szCs w:val="22"/>
        </w:rPr>
        <w:t>10%</w:t>
      </w:r>
      <w:r>
        <w:rPr>
          <w:rFonts w:hint="eastAsia"/>
          <w:sz w:val="22"/>
          <w:szCs w:val="22"/>
        </w:rPr>
        <w:t>的前提下，管理人有权暂停接受超过</w:t>
      </w:r>
      <w:r>
        <w:rPr>
          <w:rFonts w:ascii="宋体" w:hAnsi="宋体"/>
          <w:bCs/>
          <w:color w:val="000000"/>
          <w:kern w:val="0"/>
          <w:sz w:val="22"/>
          <w:szCs w:val="22"/>
          <w:lang w:val="zh-CN"/>
        </w:rPr>
        <w:t>10%</w:t>
      </w:r>
      <w:r>
        <w:rPr>
          <w:rFonts w:hint="eastAsia"/>
          <w:sz w:val="22"/>
          <w:szCs w:val="22"/>
        </w:rPr>
        <w:t>以上部分的赎回申请，或对超过</w:t>
      </w:r>
      <w:r>
        <w:rPr>
          <w:rFonts w:ascii="宋体" w:hAnsi="宋体"/>
          <w:bCs/>
          <w:color w:val="000000"/>
          <w:kern w:val="0"/>
          <w:sz w:val="22"/>
          <w:szCs w:val="22"/>
          <w:lang w:val="zh-CN"/>
        </w:rPr>
        <w:t>10%</w:t>
      </w:r>
      <w:r>
        <w:rPr>
          <w:rFonts w:hint="eastAsia"/>
          <w:sz w:val="22"/>
          <w:szCs w:val="22"/>
        </w:rPr>
        <w:t>以上部分的赎回申请延期办理。若管理人对于超过</w:t>
      </w:r>
      <w:r>
        <w:rPr>
          <w:rFonts w:ascii="宋体" w:hAnsi="宋体"/>
          <w:bCs/>
          <w:color w:val="000000"/>
          <w:kern w:val="0"/>
          <w:sz w:val="22"/>
          <w:szCs w:val="22"/>
          <w:lang w:val="zh-CN"/>
        </w:rPr>
        <w:t>10%</w:t>
      </w:r>
      <w:r>
        <w:rPr>
          <w:rFonts w:hint="eastAsia"/>
          <w:sz w:val="22"/>
          <w:szCs w:val="22"/>
        </w:rPr>
        <w:t>以上部分的赎回申请选择延期办理，管理人有权于开放日按照投资者赎回递交申请的顺序，依照时间优先（即先申请、先赎回）的原则确认当日受理的赎回申请；或对投资者的所有赎回申请，按照单个投资者当日申请赎回份额占当日申请赎回总份额</w:t>
      </w:r>
      <w:r>
        <w:rPr>
          <w:rFonts w:hint="eastAsia"/>
          <w:sz w:val="22"/>
          <w:szCs w:val="22"/>
        </w:rPr>
        <w:lastRenderedPageBreak/>
        <w:t>的比例进行确认。</w:t>
      </w:r>
    </w:p>
    <w:p w:rsidR="003252C2" w:rsidRDefault="00F10458">
      <w:pPr>
        <w:adjustRightInd w:val="0"/>
        <w:snapToGrid w:val="0"/>
        <w:spacing w:line="300" w:lineRule="auto"/>
        <w:ind w:firstLine="420"/>
        <w:rPr>
          <w:sz w:val="22"/>
          <w:szCs w:val="22"/>
        </w:rPr>
      </w:pPr>
      <w:r>
        <w:rPr>
          <w:rFonts w:hint="eastAsia"/>
          <w:sz w:val="22"/>
          <w:szCs w:val="22"/>
        </w:rPr>
        <w:t>若管理人对于超过</w:t>
      </w:r>
      <w:r>
        <w:rPr>
          <w:rFonts w:hint="eastAsia"/>
          <w:sz w:val="22"/>
          <w:szCs w:val="22"/>
        </w:rPr>
        <w:t>1</w:t>
      </w:r>
      <w:r>
        <w:rPr>
          <w:sz w:val="22"/>
          <w:szCs w:val="22"/>
        </w:rPr>
        <w:t>0</w:t>
      </w:r>
      <w:r>
        <w:rPr>
          <w:rFonts w:hint="eastAsia"/>
          <w:sz w:val="22"/>
          <w:szCs w:val="22"/>
        </w:rPr>
        <w:t>%</w:t>
      </w:r>
      <w:r>
        <w:rPr>
          <w:sz w:val="22"/>
          <w:szCs w:val="22"/>
        </w:rPr>
        <w:t>以上部分的赎回申请</w:t>
      </w:r>
      <w:r>
        <w:rPr>
          <w:rFonts w:hint="eastAsia"/>
          <w:sz w:val="22"/>
          <w:szCs w:val="22"/>
        </w:rPr>
        <w:t>选择延期办理，对于未能赎回部分，投资者可选择将当日未获办理的赎回申请予以撤销。投资者未选择撤销的，管理人有权延期至下一个开放日办理，延期至下一个开放日办理的赎回价格为下一个开放日的价格，顺延至下一开放日的赎回申请不享有优先确认权。</w:t>
      </w:r>
    </w:p>
    <w:p w:rsidR="003252C2" w:rsidRDefault="00F10458">
      <w:pPr>
        <w:adjustRightInd w:val="0"/>
        <w:snapToGrid w:val="0"/>
        <w:spacing w:line="300" w:lineRule="auto"/>
        <w:ind w:firstLine="420"/>
        <w:rPr>
          <w:sz w:val="22"/>
          <w:szCs w:val="22"/>
        </w:rPr>
      </w:pPr>
      <w:r>
        <w:rPr>
          <w:b/>
          <w:bCs/>
          <w:sz w:val="22"/>
          <w:szCs w:val="22"/>
        </w:rPr>
        <w:t>3</w:t>
      </w:r>
      <w:r>
        <w:rPr>
          <w:rFonts w:hint="eastAsia"/>
          <w:b/>
          <w:bCs/>
          <w:sz w:val="22"/>
          <w:szCs w:val="22"/>
        </w:rPr>
        <w:t>）延缓支付赎回款项</w:t>
      </w:r>
      <w:r>
        <w:rPr>
          <w:rFonts w:hint="eastAsia"/>
          <w:sz w:val="22"/>
          <w:szCs w:val="22"/>
        </w:rPr>
        <w:t>：若理财计划连续</w:t>
      </w:r>
      <w:r>
        <w:rPr>
          <w:rFonts w:hint="eastAsia"/>
          <w:sz w:val="22"/>
          <w:szCs w:val="22"/>
        </w:rPr>
        <w:t>2</w:t>
      </w:r>
      <w:r>
        <w:rPr>
          <w:rFonts w:hint="eastAsia"/>
          <w:sz w:val="22"/>
          <w:szCs w:val="22"/>
        </w:rPr>
        <w:t>个开放日</w:t>
      </w:r>
      <w:r>
        <w:rPr>
          <w:rFonts w:ascii="宋体" w:hAnsi="宋体"/>
          <w:bCs/>
          <w:sz w:val="22"/>
          <w:szCs w:val="22"/>
        </w:rPr>
        <w:t>(含)及以上</w:t>
      </w:r>
      <w:r>
        <w:rPr>
          <w:rFonts w:hint="eastAsia"/>
          <w:sz w:val="22"/>
          <w:szCs w:val="22"/>
        </w:rPr>
        <w:t>发生巨额赎回，管理人除有权选择全额赎回或部分赎回等措施外，对于已经接受的赎回申请，管理人有权延缓支付赎回款项，但延缓支付期限不得超过</w:t>
      </w:r>
      <w:r>
        <w:rPr>
          <w:rFonts w:hint="eastAsia"/>
          <w:sz w:val="22"/>
          <w:szCs w:val="22"/>
        </w:rPr>
        <w:t>20</w:t>
      </w:r>
      <w:r>
        <w:rPr>
          <w:rFonts w:hint="eastAsia"/>
          <w:sz w:val="22"/>
          <w:szCs w:val="22"/>
        </w:rPr>
        <w:t>个工作日。</w:t>
      </w:r>
      <w:r>
        <w:rPr>
          <w:sz w:val="22"/>
          <w:szCs w:val="22"/>
        </w:rPr>
        <w:t xml:space="preserve"> </w:t>
      </w:r>
    </w:p>
    <w:p w:rsidR="003252C2" w:rsidRDefault="00F10458">
      <w:pPr>
        <w:adjustRightInd w:val="0"/>
        <w:snapToGrid w:val="0"/>
        <w:spacing w:line="300" w:lineRule="auto"/>
        <w:ind w:firstLine="420"/>
        <w:rPr>
          <w:sz w:val="23"/>
          <w:szCs w:val="23"/>
        </w:rPr>
      </w:pPr>
      <w:r>
        <w:rPr>
          <w:sz w:val="22"/>
          <w:szCs w:val="22"/>
        </w:rPr>
        <w:t>4</w:t>
      </w:r>
      <w:r>
        <w:rPr>
          <w:rFonts w:hint="eastAsia"/>
          <w:sz w:val="22"/>
          <w:szCs w:val="22"/>
        </w:rPr>
        <w:t>）当发生巨额赎回</w:t>
      </w:r>
      <w:r>
        <w:rPr>
          <w:rFonts w:hint="eastAsia"/>
          <w:sz w:val="22"/>
          <w:szCs w:val="22"/>
          <w:lang w:eastAsia="zh-Hans"/>
        </w:rPr>
        <w:t>或连续巨额赎回</w:t>
      </w:r>
      <w:r>
        <w:rPr>
          <w:rFonts w:hint="eastAsia"/>
          <w:sz w:val="22"/>
          <w:szCs w:val="22"/>
        </w:rPr>
        <w:t>，管理人选择延期办理巨额赎回申请、暂停接受赎回申请或延缓支付赎回款项时，管理人将根据本理财产品说明书约定的信息披露方式向投资者进行信息披露。</w:t>
      </w:r>
    </w:p>
    <w:p w:rsidR="003252C2" w:rsidRDefault="00F10458">
      <w:pPr>
        <w:adjustRightInd w:val="0"/>
        <w:snapToGrid w:val="0"/>
        <w:spacing w:line="300" w:lineRule="auto"/>
        <w:rPr>
          <w:rFonts w:asciiTheme="minorEastAsia" w:eastAsiaTheme="minorEastAsia" w:hAnsiTheme="minorEastAsia"/>
          <w:b/>
          <w:sz w:val="22"/>
          <w:szCs w:val="22"/>
        </w:rPr>
      </w:pPr>
      <w:r>
        <w:rPr>
          <w:rFonts w:hint="eastAsia"/>
          <w:sz w:val="22"/>
          <w:szCs w:val="22"/>
        </w:rPr>
        <w:t>示例：如果最新理财计划在赎回开放日的上一</w:t>
      </w:r>
      <w:r>
        <w:rPr>
          <w:rFonts w:ascii="宋体" w:hAnsi="宋体" w:hint="eastAsia"/>
          <w:color w:val="000000"/>
          <w:kern w:val="0"/>
          <w:sz w:val="22"/>
          <w:lang w:val="zh-CN"/>
        </w:rPr>
        <w:t>工作日日终</w:t>
      </w:r>
      <w:r>
        <w:rPr>
          <w:rFonts w:hint="eastAsia"/>
          <w:sz w:val="22"/>
          <w:szCs w:val="22"/>
        </w:rPr>
        <w:t>的总存续份额为</w:t>
      </w:r>
      <w:r>
        <w:rPr>
          <w:rFonts w:hint="eastAsia"/>
          <w:sz w:val="22"/>
          <w:szCs w:val="22"/>
        </w:rPr>
        <w:t>20</w:t>
      </w:r>
      <w:r>
        <w:rPr>
          <w:rFonts w:hint="eastAsia"/>
          <w:sz w:val="22"/>
          <w:szCs w:val="22"/>
        </w:rPr>
        <w:t>亿份，在赎回开放日投资者净赎回份额大于</w:t>
      </w:r>
      <w:r>
        <w:rPr>
          <w:rFonts w:hint="eastAsia"/>
          <w:sz w:val="22"/>
          <w:szCs w:val="22"/>
        </w:rPr>
        <w:t>2</w:t>
      </w:r>
      <w:r>
        <w:rPr>
          <w:rFonts w:hint="eastAsia"/>
          <w:sz w:val="22"/>
          <w:szCs w:val="22"/>
        </w:rPr>
        <w:t>亿份的情形下，管理人有权选择接受全部赎回申请，管理人也有权在当日接受赎回申请不低于</w:t>
      </w:r>
      <w:r>
        <w:rPr>
          <w:rFonts w:hint="eastAsia"/>
          <w:sz w:val="22"/>
          <w:szCs w:val="22"/>
        </w:rPr>
        <w:t>2</w:t>
      </w:r>
      <w:r>
        <w:rPr>
          <w:rFonts w:hint="eastAsia"/>
          <w:sz w:val="22"/>
          <w:szCs w:val="22"/>
        </w:rPr>
        <w:t>亿份的前提下，对其余赎回申请暂停接受或延期办理。如次一开放日</w:t>
      </w:r>
      <w:r>
        <w:rPr>
          <w:rFonts w:ascii="宋体" w:hAnsi="宋体" w:hint="eastAsia"/>
          <w:bCs/>
          <w:color w:val="000000"/>
          <w:kern w:val="0"/>
          <w:sz w:val="22"/>
          <w:szCs w:val="22"/>
          <w:lang w:val="zh-CN"/>
        </w:rPr>
        <w:t>净赎回申请份额继续超过</w:t>
      </w:r>
      <w:r>
        <w:rPr>
          <w:rFonts w:hint="eastAsia"/>
          <w:sz w:val="22"/>
          <w:szCs w:val="22"/>
        </w:rPr>
        <w:t>上一</w:t>
      </w:r>
      <w:r>
        <w:rPr>
          <w:rFonts w:ascii="宋体" w:hAnsi="宋体" w:hint="eastAsia"/>
          <w:color w:val="000000"/>
          <w:kern w:val="0"/>
          <w:sz w:val="22"/>
          <w:lang w:val="zh-CN"/>
        </w:rPr>
        <w:t>工作日</w:t>
      </w:r>
      <w:r>
        <w:rPr>
          <w:rFonts w:ascii="宋体" w:hAnsi="宋体" w:hint="eastAsia"/>
          <w:bCs/>
          <w:color w:val="000000"/>
          <w:kern w:val="0"/>
          <w:sz w:val="22"/>
          <w:szCs w:val="22"/>
          <w:lang w:val="zh-CN"/>
        </w:rPr>
        <w:t>日终理财产品总份额的</w:t>
      </w:r>
      <w:r>
        <w:rPr>
          <w:rFonts w:ascii="宋体" w:hAnsi="宋体"/>
          <w:bCs/>
          <w:color w:val="000000"/>
          <w:kern w:val="0"/>
          <w:sz w:val="22"/>
          <w:szCs w:val="22"/>
          <w:lang w:val="zh-CN"/>
        </w:rPr>
        <w:t>10%</w:t>
      </w:r>
      <w:r>
        <w:rPr>
          <w:rFonts w:ascii="宋体" w:hAnsi="宋体" w:hint="eastAsia"/>
          <w:bCs/>
          <w:color w:val="000000"/>
          <w:kern w:val="0"/>
          <w:sz w:val="22"/>
          <w:szCs w:val="22"/>
          <w:lang w:val="zh-CN"/>
        </w:rPr>
        <w:t>，除上述措施外，管理人还有权对已经接受的赎回申请延缓支付赎回款项，但延缓期限不得超过20个工作日</w:t>
      </w:r>
      <w:r>
        <w:rPr>
          <w:rFonts w:hint="eastAsia"/>
          <w:sz w:val="22"/>
          <w:szCs w:val="22"/>
        </w:rPr>
        <w:t>。</w:t>
      </w:r>
    </w:p>
    <w:p w:rsidR="003252C2" w:rsidRDefault="00F10458">
      <w:pPr>
        <w:adjustRightInd w:val="0"/>
        <w:snapToGrid w:val="0"/>
        <w:spacing w:line="300" w:lineRule="auto"/>
        <w:rPr>
          <w:rFonts w:ascii="宋体" w:hAnsi="宋体"/>
          <w:b/>
          <w:sz w:val="22"/>
          <w:szCs w:val="22"/>
        </w:rPr>
      </w:pPr>
      <w:r>
        <w:rPr>
          <w:rFonts w:ascii="宋体" w:hAnsi="宋体" w:hint="eastAsia"/>
          <w:b/>
          <w:sz w:val="22"/>
          <w:szCs w:val="22"/>
        </w:rPr>
        <w:t>9</w:t>
      </w:r>
      <w:r>
        <w:rPr>
          <w:rFonts w:ascii="宋体" w:hAnsi="宋体"/>
          <w:b/>
          <w:sz w:val="22"/>
          <w:szCs w:val="22"/>
        </w:rPr>
        <w:t>.</w:t>
      </w:r>
      <w:r>
        <w:rPr>
          <w:rFonts w:ascii="宋体" w:hAnsi="宋体" w:hint="eastAsia"/>
          <w:b/>
          <w:sz w:val="22"/>
          <w:szCs w:val="22"/>
        </w:rPr>
        <w:t>拒绝或暂停接受申购或赎回申请、延缓支付赎回款项的情形及处理方式</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1）发生下列情形时，管理人可拒绝或暂停接受投资者的申购申请</w:t>
      </w:r>
      <w:r>
        <w:rPr>
          <w:rFonts w:ascii="宋体" w:hAnsi="宋体" w:hint="eastAsia"/>
          <w:bCs/>
          <w:sz w:val="22"/>
          <w:szCs w:val="22"/>
        </w:rPr>
        <w:t>：</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发生《产品说明书》约定的暂停估值情形时。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投资者申购超过《产品说明书》约定的发行规模上限、单笔认</w:t>
      </w:r>
      <w:r>
        <w:rPr>
          <w:rFonts w:ascii="宋体" w:hAnsi="宋体"/>
          <w:bCs/>
          <w:sz w:val="22"/>
          <w:szCs w:val="22"/>
        </w:rPr>
        <w:t>/申购上限、</w:t>
      </w:r>
      <w:r>
        <w:rPr>
          <w:rFonts w:ascii="宋体" w:hAnsi="宋体" w:hint="eastAsia"/>
          <w:bCs/>
          <w:sz w:val="22"/>
          <w:szCs w:val="22"/>
        </w:rPr>
        <w:t>单一客户持有上限、单日净申购比例上限等。</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管理人接受某笔或者某些申购申请有可能导致单一投资者持有理财计划份额的比例达到或者超过</w:t>
      </w:r>
      <w:r>
        <w:rPr>
          <w:rFonts w:ascii="宋体" w:hAnsi="宋体"/>
          <w:bCs/>
          <w:sz w:val="22"/>
          <w:szCs w:val="22"/>
        </w:rPr>
        <w:t>50%的</w:t>
      </w:r>
      <w:r>
        <w:rPr>
          <w:rFonts w:ascii="宋体" w:hAnsi="宋体" w:hint="eastAsia"/>
          <w:bCs/>
          <w:sz w:val="22"/>
          <w:szCs w:val="22"/>
        </w:rPr>
        <w:t>情形。</w:t>
      </w:r>
    </w:p>
    <w:p w:rsidR="003252C2" w:rsidRDefault="00F10458">
      <w:pPr>
        <w:pStyle w:val="af8"/>
        <w:numPr>
          <w:ilvl w:val="0"/>
          <w:numId w:val="4"/>
        </w:numPr>
        <w:adjustRightInd w:val="0"/>
        <w:snapToGrid w:val="0"/>
        <w:spacing w:line="300" w:lineRule="auto"/>
        <w:ind w:left="567" w:firstLineChars="0" w:hanging="283"/>
        <w:rPr>
          <w:sz w:val="22"/>
          <w:szCs w:val="22"/>
        </w:rPr>
      </w:pPr>
      <w:r>
        <w:rPr>
          <w:rFonts w:hint="eastAsia"/>
          <w:sz w:val="22"/>
          <w:szCs w:val="22"/>
        </w:rPr>
        <w:t>当接受某笔或某些申购申请可能对存量理财计划份额持有人利益构成潜在重大不利影响时。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当理财计划规模过大，使得管理人无法找到合适的投资品种，或存在其他可能对理财计划投资业绩产生负面影响，或管理人认定的其他损害存量理财计划份额持有人利益的情形时。</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当前一估值日产品资产净值</w:t>
      </w:r>
      <w:r>
        <w:rPr>
          <w:rFonts w:ascii="宋体" w:hAnsi="宋体"/>
          <w:bCs/>
          <w:sz w:val="22"/>
          <w:szCs w:val="22"/>
        </w:rPr>
        <w:t>50%以上的资产不具备活跃交易市场或者在活跃市场中无报价，且不能采用估值技术可靠计量公允价值的，管理人经与托管人协商确认后，决定暂停接受理财产品申购申请的。</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bookmarkStart w:id="5" w:name="_Hlk98598423"/>
      <w:r>
        <w:rPr>
          <w:rFonts w:ascii="宋体" w:hAnsi="宋体" w:hint="eastAsia"/>
          <w:bCs/>
          <w:sz w:val="22"/>
          <w:szCs w:val="22"/>
        </w:rPr>
        <w:t>本产品说明书规定的其他情形。</w:t>
      </w:r>
    </w:p>
    <w:bookmarkEnd w:id="5"/>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理财计划因国家法定节假日调整等需要暂停申购的情形。</w:t>
      </w:r>
    </w:p>
    <w:p w:rsidR="003252C2" w:rsidRDefault="00F10458">
      <w:pPr>
        <w:pStyle w:val="af8"/>
        <w:numPr>
          <w:ilvl w:val="0"/>
          <w:numId w:val="4"/>
        </w:numPr>
        <w:adjustRightInd w:val="0"/>
        <w:snapToGrid w:val="0"/>
        <w:spacing w:line="300" w:lineRule="auto"/>
        <w:ind w:left="567" w:firstLineChars="0" w:hanging="283"/>
        <w:rPr>
          <w:rFonts w:ascii="宋体" w:hAnsi="宋体"/>
          <w:bCs/>
          <w:sz w:val="22"/>
          <w:szCs w:val="22"/>
        </w:rPr>
      </w:pPr>
      <w:r>
        <w:rPr>
          <w:rFonts w:ascii="宋体" w:hAnsi="宋体" w:hint="eastAsia"/>
          <w:bCs/>
          <w:sz w:val="22"/>
          <w:szCs w:val="22"/>
        </w:rPr>
        <w:t>法律法规规定或监管机构认定的其他情形。</w:t>
      </w:r>
      <w:r>
        <w:rPr>
          <w:rFonts w:ascii="宋体" w:hAnsi="宋体"/>
          <w:bCs/>
          <w:sz w:val="22"/>
          <w:szCs w:val="22"/>
        </w:rPr>
        <w:t xml:space="preserve"> </w:t>
      </w:r>
    </w:p>
    <w:p w:rsidR="003252C2" w:rsidRDefault="00F10458">
      <w:pPr>
        <w:adjustRightInd w:val="0"/>
        <w:snapToGrid w:val="0"/>
        <w:spacing w:line="300" w:lineRule="auto"/>
        <w:ind w:firstLine="420"/>
        <w:rPr>
          <w:rFonts w:ascii="宋体" w:hAnsi="宋体"/>
          <w:bCs/>
          <w:sz w:val="22"/>
          <w:szCs w:val="22"/>
        </w:rPr>
      </w:pPr>
      <w:r>
        <w:rPr>
          <w:rFonts w:ascii="宋体" w:hAnsi="宋体" w:hint="eastAsia"/>
          <w:bCs/>
          <w:sz w:val="22"/>
          <w:szCs w:val="22"/>
        </w:rPr>
        <w:t>当管理人决定暂停接受投资人申购申请时，将在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根据本《产品说明书》约定的信息披露方式向投资者进行信息披露。若投资者的全部或部分申购申请被拒绝，被拒绝的申购款项本金将退还给投资者，</w:t>
      </w:r>
      <w:r>
        <w:rPr>
          <w:rFonts w:ascii="宋体" w:hAnsi="宋体"/>
          <w:bCs/>
          <w:sz w:val="22"/>
          <w:szCs w:val="22"/>
        </w:rPr>
        <w:t>管理人不承担投资者由此产生的利息等损失</w:t>
      </w:r>
      <w:r>
        <w:rPr>
          <w:rFonts w:ascii="宋体" w:hAnsi="宋体" w:hint="eastAsia"/>
          <w:bCs/>
          <w:sz w:val="22"/>
          <w:szCs w:val="22"/>
        </w:rPr>
        <w:t>。</w:t>
      </w:r>
      <w:r>
        <w:rPr>
          <w:rFonts w:ascii="宋体" w:hAnsi="宋体" w:hint="eastAsia"/>
          <w:bCs/>
          <w:sz w:val="22"/>
          <w:szCs w:val="22"/>
        </w:rPr>
        <w:lastRenderedPageBreak/>
        <w:t>在上述暂停申购的情况消除时，管理人将及时恢复申购业务的办理。</w:t>
      </w:r>
    </w:p>
    <w:p w:rsidR="003252C2" w:rsidRDefault="00F10458">
      <w:pPr>
        <w:adjustRightInd w:val="0"/>
        <w:snapToGrid w:val="0"/>
        <w:spacing w:line="300" w:lineRule="auto"/>
        <w:rPr>
          <w:rFonts w:ascii="宋体" w:hAnsi="宋体"/>
          <w:bCs/>
          <w:sz w:val="22"/>
          <w:szCs w:val="22"/>
        </w:rPr>
      </w:pPr>
      <w:r>
        <w:rPr>
          <w:rFonts w:ascii="宋体" w:hAnsi="宋体" w:hint="eastAsia"/>
          <w:bCs/>
          <w:sz w:val="22"/>
          <w:szCs w:val="22"/>
        </w:rPr>
        <w:t>（</w:t>
      </w:r>
      <w:r>
        <w:rPr>
          <w:rFonts w:ascii="宋体" w:hAnsi="宋体"/>
          <w:bCs/>
          <w:sz w:val="22"/>
          <w:szCs w:val="22"/>
        </w:rPr>
        <w:t>2）发生下列情形时，管理人可暂停接受投资者的赎回申请</w:t>
      </w:r>
      <w:r>
        <w:rPr>
          <w:rFonts w:ascii="宋体" w:hAnsi="宋体" w:hint="eastAsia"/>
          <w:bCs/>
          <w:sz w:val="22"/>
          <w:szCs w:val="22"/>
        </w:rPr>
        <w:t>、延期办理部分赎回申请</w:t>
      </w:r>
      <w:r>
        <w:rPr>
          <w:rFonts w:ascii="宋体" w:hAnsi="宋体"/>
          <w:bCs/>
          <w:sz w:val="22"/>
          <w:szCs w:val="22"/>
        </w:rPr>
        <w:t>或延缓支付赎回款项:</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因战争、自然灾害、系统故障等不可抗力导致理财计划无法正常运作。</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发生《产品说明书》约定的暂停估值的情形时。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发生巨额赎回或连续巨额赎回的情形时。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当接受某笔或某些赎回申请可能对存量理财计划份额持有人利益构成潜在重大不利影响时。</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6" w:name="_Hlk98098101"/>
      <w:bookmarkStart w:id="7" w:name="_Hlk98598449"/>
      <w:r>
        <w:rPr>
          <w:rFonts w:ascii="宋体" w:hAnsi="宋体" w:hint="eastAsia"/>
          <w:bCs/>
          <w:sz w:val="22"/>
          <w:szCs w:val="22"/>
        </w:rPr>
        <w:t>发生赎回申请超过赎回上限的情形</w:t>
      </w:r>
      <w:bookmarkEnd w:id="6"/>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sz w:val="22"/>
          <w:szCs w:val="22"/>
        </w:rPr>
        <w:t>发生</w:t>
      </w:r>
      <w:r>
        <w:rPr>
          <w:rFonts w:hint="eastAsia"/>
          <w:sz w:val="22"/>
          <w:szCs w:val="22"/>
        </w:rPr>
        <w:t>单个投资者单个开放日申请赎回理财计划份额超过理财产品总份额的</w:t>
      </w:r>
      <w:r>
        <w:rPr>
          <w:rFonts w:hint="eastAsia"/>
          <w:sz w:val="22"/>
          <w:szCs w:val="22"/>
        </w:rPr>
        <w:t>10%</w:t>
      </w:r>
      <w:r>
        <w:rPr>
          <w:rFonts w:hint="eastAsia"/>
          <w:sz w:val="22"/>
          <w:szCs w:val="22"/>
        </w:rPr>
        <w:t>的情形</w:t>
      </w:r>
      <w:r>
        <w:rPr>
          <w:rFonts w:ascii="宋体" w:hAnsi="宋体" w:hint="eastAsia"/>
          <w:bCs/>
          <w:sz w:val="22"/>
          <w:szCs w:val="22"/>
        </w:rPr>
        <w:t>。</w:t>
      </w:r>
    </w:p>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bookmarkStart w:id="8" w:name="_Hlk98598455"/>
      <w:bookmarkEnd w:id="7"/>
      <w:r>
        <w:rPr>
          <w:rFonts w:ascii="宋体" w:hAnsi="宋体" w:hint="eastAsia"/>
          <w:bCs/>
          <w:sz w:val="22"/>
          <w:szCs w:val="22"/>
        </w:rPr>
        <w:t>本产品说明书规定的其他情形。</w:t>
      </w:r>
    </w:p>
    <w:bookmarkEnd w:id="8"/>
    <w:p w:rsidR="003252C2" w:rsidRDefault="00F10458">
      <w:pPr>
        <w:pStyle w:val="af8"/>
        <w:numPr>
          <w:ilvl w:val="0"/>
          <w:numId w:val="5"/>
        </w:numPr>
        <w:adjustRightInd w:val="0"/>
        <w:snapToGrid w:val="0"/>
        <w:spacing w:line="300" w:lineRule="auto"/>
        <w:ind w:left="709" w:firstLineChars="0"/>
        <w:rPr>
          <w:rFonts w:ascii="宋体" w:hAnsi="宋体"/>
          <w:bCs/>
          <w:sz w:val="22"/>
          <w:szCs w:val="22"/>
        </w:rPr>
      </w:pPr>
      <w:r>
        <w:rPr>
          <w:rFonts w:ascii="宋体" w:hAnsi="宋体" w:hint="eastAsia"/>
          <w:bCs/>
          <w:sz w:val="22"/>
          <w:szCs w:val="22"/>
        </w:rPr>
        <w:t>法律法规规定或监管机构认定的其他情形。</w:t>
      </w:r>
    </w:p>
    <w:p w:rsidR="003252C2" w:rsidRDefault="00F10458">
      <w:pPr>
        <w:adjustRightInd w:val="0"/>
        <w:snapToGrid w:val="0"/>
        <w:spacing w:line="300" w:lineRule="auto"/>
        <w:ind w:firstLine="289"/>
        <w:rPr>
          <w:rFonts w:ascii="宋体" w:hAnsi="宋体"/>
          <w:bCs/>
          <w:sz w:val="22"/>
          <w:szCs w:val="22"/>
        </w:rPr>
      </w:pPr>
      <w:r>
        <w:rPr>
          <w:rFonts w:ascii="宋体" w:hAnsi="宋体"/>
          <w:bCs/>
          <w:sz w:val="22"/>
          <w:szCs w:val="22"/>
        </w:rPr>
        <w:t>当发生上述暂停接受赎回申请或延缓支付赎回款项的情形时，</w:t>
      </w:r>
      <w:r>
        <w:rPr>
          <w:rFonts w:ascii="宋体" w:hAnsi="宋体" w:hint="eastAsia"/>
          <w:bCs/>
          <w:sz w:val="22"/>
          <w:szCs w:val="22"/>
        </w:rPr>
        <w:t>将在</w:t>
      </w:r>
      <w:r>
        <w:rPr>
          <w:rFonts w:ascii="宋体" w:hAnsi="宋体"/>
          <w:bCs/>
          <w:sz w:val="22"/>
          <w:szCs w:val="22"/>
        </w:rPr>
        <w:t>3个交易日内</w:t>
      </w:r>
      <w:r>
        <w:rPr>
          <w:rFonts w:ascii="宋体" w:hAnsi="宋体" w:hint="eastAsia"/>
          <w:bCs/>
          <w:sz w:val="22"/>
          <w:szCs w:val="22"/>
        </w:rPr>
        <w:t>根据本《产品说明书》约定的信息披露方式向投资者进行信息披露。</w:t>
      </w:r>
      <w:r>
        <w:rPr>
          <w:rFonts w:ascii="宋体" w:hAnsi="宋体"/>
          <w:bCs/>
          <w:sz w:val="22"/>
          <w:szCs w:val="22"/>
        </w:rPr>
        <w:t>如投资者的</w:t>
      </w:r>
      <w:r>
        <w:rPr>
          <w:rFonts w:ascii="宋体" w:hAnsi="宋体" w:hint="eastAsia"/>
          <w:bCs/>
          <w:sz w:val="22"/>
          <w:szCs w:val="22"/>
        </w:rPr>
        <w:t>全部或部分</w:t>
      </w:r>
      <w:r>
        <w:rPr>
          <w:rFonts w:ascii="宋体" w:hAnsi="宋体"/>
          <w:bCs/>
          <w:sz w:val="22"/>
          <w:szCs w:val="22"/>
        </w:rPr>
        <w:t>赎回申请被拒绝，投资者可将当日未能受理部分予以撤销</w:t>
      </w:r>
      <w:r>
        <w:rPr>
          <w:rFonts w:ascii="宋体" w:hAnsi="宋体" w:hint="eastAsia"/>
          <w:bCs/>
          <w:sz w:val="22"/>
          <w:szCs w:val="22"/>
        </w:rPr>
        <w:t>。在上述暂停赎回或延缓支付的情况消除时，管理人将及时恢复或赎回业务的办理。</w:t>
      </w:r>
    </w:p>
    <w:p w:rsidR="003252C2" w:rsidRDefault="00F10458">
      <w:pPr>
        <w:adjustRightInd w:val="0"/>
        <w:snapToGrid w:val="0"/>
        <w:spacing w:line="300" w:lineRule="auto"/>
        <w:rPr>
          <w:rFonts w:ascii="宋体" w:hAnsi="宋体"/>
          <w:bCs/>
          <w:sz w:val="22"/>
          <w:szCs w:val="22"/>
        </w:rPr>
      </w:pPr>
      <w:r>
        <w:rPr>
          <w:rFonts w:asciiTheme="minorEastAsia" w:eastAsiaTheme="minorEastAsia" w:hAnsiTheme="minorEastAsia" w:hint="eastAsia"/>
          <w:b/>
          <w:sz w:val="22"/>
          <w:szCs w:val="22"/>
        </w:rPr>
        <w:t>10.</w:t>
      </w:r>
      <w:r>
        <w:rPr>
          <w:rFonts w:asciiTheme="minorEastAsia" w:eastAsiaTheme="minorEastAsia" w:hAnsiTheme="minorEastAsia"/>
          <w:b/>
          <w:sz w:val="22"/>
          <w:szCs w:val="22"/>
        </w:rPr>
        <w:t>快速赎回</w:t>
      </w:r>
    </w:p>
    <w:p w:rsidR="003252C2" w:rsidRDefault="00F10458">
      <w:pPr>
        <w:adjustRightInd w:val="0"/>
        <w:snapToGrid w:val="0"/>
        <w:spacing w:line="300" w:lineRule="auto"/>
        <w:rPr>
          <w:rFonts w:ascii="宋体" w:hAnsi="宋体" w:cs="Arial"/>
          <w:sz w:val="24"/>
        </w:rPr>
      </w:pPr>
      <w:r>
        <w:rPr>
          <w:rFonts w:asciiTheme="minorEastAsia" w:eastAsiaTheme="minorEastAsia" w:hAnsiTheme="minorEastAsia"/>
          <w:b/>
          <w:sz w:val="22"/>
          <w:szCs w:val="22"/>
        </w:rPr>
        <w:tab/>
      </w:r>
      <w:r>
        <w:rPr>
          <w:rFonts w:asciiTheme="minorEastAsia" w:eastAsiaTheme="minorEastAsia" w:hAnsiTheme="minorEastAsia" w:hint="eastAsia"/>
          <w:b/>
          <w:sz w:val="22"/>
          <w:szCs w:val="22"/>
        </w:rPr>
        <w:t>本产品的销售服务机构或与管理人、销售服务机构开展合作的其他银行为投资者提供每个自然日</w:t>
      </w:r>
      <w:r>
        <w:rPr>
          <w:rFonts w:asciiTheme="minorEastAsia" w:eastAsiaTheme="minorEastAsia" w:hAnsiTheme="minorEastAsia"/>
          <w:b/>
          <w:sz w:val="22"/>
          <w:szCs w:val="22"/>
        </w:rPr>
        <w:t>1万元额度的“快速赎回”增值服务，即赎回申请成功后本金</w:t>
      </w:r>
      <w:r>
        <w:rPr>
          <w:rFonts w:asciiTheme="minorEastAsia" w:eastAsiaTheme="minorEastAsia" w:hAnsiTheme="minorEastAsia" w:hint="eastAsia"/>
          <w:b/>
          <w:sz w:val="22"/>
          <w:szCs w:val="22"/>
        </w:rPr>
        <w:t>等额金额原则上当日</w:t>
      </w:r>
      <w:r>
        <w:rPr>
          <w:rFonts w:asciiTheme="minorEastAsia" w:eastAsiaTheme="minorEastAsia" w:hAnsiTheme="minorEastAsia"/>
          <w:b/>
          <w:sz w:val="22"/>
          <w:szCs w:val="22"/>
        </w:rPr>
        <w:t>划付</w:t>
      </w:r>
      <w:r>
        <w:rPr>
          <w:rFonts w:asciiTheme="minorEastAsia" w:eastAsiaTheme="minorEastAsia" w:hAnsiTheme="minorEastAsia" w:hint="eastAsia"/>
          <w:b/>
          <w:sz w:val="22"/>
          <w:szCs w:val="22"/>
        </w:rPr>
        <w:t>服务，具体约定以《快速赎回服务协议》或投资者与销售服务机构、相关银行达成的协议为准。特别说明，此服务非管理人或销售服务机构的法定义务，快赎有条件，依约可暂停或终止，本产品各份额是否提供“快速赎回”增值服务以各销售服务机构相关法律文件为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理财计划估值</w:t>
      </w:r>
    </w:p>
    <w:p w:rsidR="003252C2" w:rsidRDefault="00F10458">
      <w:pPr>
        <w:tabs>
          <w:tab w:val="left" w:pos="0"/>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每万份收益和七日年化收益率随投资收益变化，理财计划存续期内，管理人于每个理财计划自然日计算理财计划每万份收益和七日年化收益率，并于该自然日后第1个工作日内通过“信息披露”约定的渠道发布理财计划每万份收益和七日年化收益率，理财计划每万份收益精确到小数点后4位，小数点4位以后舍位，七日年化收益率精确到百分比小数点后2位，小数点2位以后舍位。</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估值方法</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本理财计划估值采用摊余成本法，即计价对象以买入成本列示，按实际利率并考虑其买入时的溢价与折价，在其剩余存续期内摊销，每日计提损益。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）债券等资产采用溢折价摊销后的成本列示，按票面利率计提应收利息。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）债券回购以成本列示，按协议利率在实际持有期间内逐日计提利息。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银行存款以本金列示，按银行适用利率逐日计提利息。</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对于交易所上市交易型货币市场基金，如基金管理人披露份额净值，则按所投资基金的基金管理人披露的估值日份额净值进行估值；如基金管理人披露万份（百份）收</w:t>
      </w:r>
      <w:r>
        <w:rPr>
          <w:rFonts w:asciiTheme="minorEastAsia" w:eastAsiaTheme="minorEastAsia" w:hAnsiTheme="minorEastAsia" w:hint="eastAsia"/>
          <w:sz w:val="22"/>
          <w:szCs w:val="22"/>
        </w:rPr>
        <w:lastRenderedPageBreak/>
        <w:t>益，则按所投资基金前一估值日后至估值日期间（含节假日）的万份（百份）收益计提收益。</w:t>
      </w:r>
      <w:r>
        <w:rPr>
          <w:rFonts w:ascii="宋体" w:hAnsi="宋体" w:cs="宋体" w:hint="eastAsia"/>
          <w:sz w:val="22"/>
          <w:szCs w:val="22"/>
        </w:rPr>
        <w:t>对于未在交易所上市的货币市场基金，按基金管理公司披露的前一估值日后至估值日期间（含节假日）的万份收益计提估值日收益。</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w:t>
      </w:r>
      <w:r>
        <w:rPr>
          <w:rFonts w:asciiTheme="minorEastAsia" w:eastAsiaTheme="minorEastAsia" w:hAnsiTheme="minorEastAsia" w:hint="eastAsia"/>
          <w:sz w:val="22"/>
          <w:szCs w:val="22"/>
        </w:rPr>
        <w:t>投资于信托计划、资产管理计划、基金等的资产：</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按合同约定的估值方案，以信托计划的受托人、资产管理计划或基金的管理人等和资产托管人共同确认的净值或投资收益情况进行估值。</w:t>
      </w:r>
    </w:p>
    <w:p w:rsidR="003252C2" w:rsidRDefault="00F10458">
      <w:pPr>
        <w:adjustRightInd w:val="0"/>
        <w:snapToGrid w:val="0"/>
        <w:spacing w:line="300" w:lineRule="auto"/>
        <w:ind w:firstLine="420"/>
        <w:jc w:val="left"/>
        <w:rPr>
          <w:rFonts w:asciiTheme="minorEastAsia" w:eastAsiaTheme="minorEastAsia" w:hAnsiTheme="minorEastAsia"/>
          <w:sz w:val="22"/>
          <w:szCs w:val="22"/>
        </w:rPr>
      </w:pPr>
      <w:r>
        <w:rPr>
          <w:rFonts w:asciiTheme="minorEastAsia" w:eastAsiaTheme="minorEastAsia" w:hAnsiTheme="minorEastAsia"/>
          <w:sz w:val="22"/>
          <w:szCs w:val="22"/>
        </w:rPr>
        <w:t>B如合同未约定估值方案，但有确定的预期收益率的，则按成本法估值，定期计提预期收益。如该类资产存续期间发生影响资产未来现金流的重大事件的，经管理人合理判断对资产价值进行重估。</w:t>
      </w:r>
    </w:p>
    <w:p w:rsidR="003252C2" w:rsidRDefault="00F10458">
      <w:pPr>
        <w:adjustRightInd w:val="0"/>
        <w:snapToGrid w:val="0"/>
        <w:spacing w:line="300" w:lineRule="auto"/>
        <w:jc w:val="left"/>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6）</w:t>
      </w:r>
      <w:r>
        <w:rPr>
          <w:rFonts w:asciiTheme="minorEastAsia" w:eastAsiaTheme="minorEastAsia" w:hAnsiTheme="minorEastAsia" w:hint="eastAsia"/>
          <w:sz w:val="22"/>
          <w:szCs w:val="22"/>
        </w:rPr>
        <w:t>若</w:t>
      </w:r>
      <w:r>
        <w:rPr>
          <w:rFonts w:asciiTheme="minorEastAsia" w:eastAsiaTheme="minorEastAsia" w:hAnsiTheme="minorEastAsia"/>
          <w:sz w:val="22"/>
          <w:szCs w:val="22"/>
        </w:rPr>
        <w:t>理财计划存续期间持有其他投资品种，以理财计划管理人和理财计划托管人共同认可的</w:t>
      </w:r>
      <w:r>
        <w:rPr>
          <w:rFonts w:asciiTheme="minorEastAsia" w:eastAsiaTheme="minorEastAsia" w:hAnsiTheme="minorEastAsia" w:hint="eastAsia"/>
          <w:sz w:val="22"/>
          <w:szCs w:val="22"/>
        </w:rPr>
        <w:t>方法</w:t>
      </w:r>
      <w:r>
        <w:rPr>
          <w:rFonts w:asciiTheme="minorEastAsia" w:eastAsiaTheme="minorEastAsia" w:hAnsiTheme="minorEastAsia"/>
          <w:sz w:val="22"/>
          <w:szCs w:val="22"/>
        </w:rPr>
        <w:t>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7）</w:t>
      </w:r>
      <w:r>
        <w:rPr>
          <w:rFonts w:asciiTheme="minorEastAsia" w:eastAsiaTheme="minorEastAsia" w:hAnsiTheme="minorEastAsia" w:hint="eastAsia"/>
          <w:sz w:val="22"/>
          <w:szCs w:val="22"/>
        </w:rPr>
        <w:t>由于按摊余成本法计价可能会出现被计价对象的其他可参考公允价值指标和摊余成本之间的偏离，为消除或减少因理财计划资产净值的背离导致理财计划产品份额投资者权益的稀释或其他不公平的结果，在实际操作中，理财计划管理人与理财计划托管人将采用估值技术，对理财计划持有的估值对象进行重新评估，即“影子定价”。当投资组合的摊余成本与其他可参考公允价值指标产生重大偏离，管理人将按照其它可参考公允价值指标对组合的账面价值进行调整，使理财计划资产净值更能公允地反映理财计划资产价值，确保以摊余成本法计算的理财计划资产净值不会对理财计划投资者造成实质性的损害。</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其中，当影子定价确定的本产品资产净值与摊余成本法计算的资产净值正偏离度绝对值达到0.5%时，管理人应当暂停接受申购并在5个交易日内将正偏离度绝对值调整到0.5%以内。当负偏离度绝对值达到0.25%时，管理人应当在5个交易日内将负偏离度绝对值调整到0.25%以内。当负偏离度绝对值达到0.5%时，管理人应当采取相应措施，将负偏离度绝对值控制在0.5%以内。当负偏离度绝对值连续两个交易日超过0.5%时，管理人应当采用公允价值估值方法对持有投资组合的账面价值进行调整，或者采取暂停接受所有赎回申请并终止理财计划合同进行财产清算等措施。</w:t>
      </w:r>
      <w:r>
        <w:rPr>
          <w:rFonts w:asciiTheme="minorEastAsia" w:eastAsiaTheme="minorEastAsia" w:hAnsiTheme="minorEastAsia"/>
          <w:sz w:val="22"/>
          <w:szCs w:val="22"/>
        </w:rPr>
        <w:t>当</w:t>
      </w:r>
      <w:r>
        <w:rPr>
          <w:rFonts w:asciiTheme="minorEastAsia" w:eastAsiaTheme="minorEastAsia" w:hAnsiTheme="minorEastAsia" w:hint="eastAsia"/>
          <w:sz w:val="22"/>
          <w:szCs w:val="22"/>
        </w:rPr>
        <w:t>出现上述情形时，管理人将依据法律法规规定履行信息披露程序。影子定价与摊余成本法确定的现金管理类产品资产净值的偏离度＝</w:t>
      </w:r>
      <w:r>
        <w:rPr>
          <w:noProof/>
        </w:rPr>
        <w:drawing>
          <wp:inline distT="0" distB="0" distL="0" distR="0" wp14:anchorId="6AA75F1F" wp14:editId="31F926AB">
            <wp:extent cx="914400" cy="437515"/>
            <wp:effectExtent l="0" t="0" r="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914400" cy="437515"/>
                    </a:xfrm>
                    <a:prstGeom prst="rect">
                      <a:avLst/>
                    </a:prstGeom>
                    <a:noFill/>
                    <a:ln>
                      <a:noFill/>
                    </a:ln>
                  </pic:spPr>
                </pic:pic>
              </a:graphicData>
            </a:graphic>
          </wp:inline>
        </w:drawing>
      </w:r>
      <w:r>
        <w:rPr>
          <w:rFonts w:asciiTheme="minorEastAsia" w:eastAsiaTheme="minorEastAsia" w:hAnsiTheme="minorEastAsia" w:hint="eastAsia"/>
          <w:sz w:val="22"/>
          <w:szCs w:val="22"/>
        </w:rPr>
        <w:t>，其中，NAVs为影子定价确定的现金管理类产品资产净值，NAVa为摊余成本法确定的现金管理类产品资产净值。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（8</w:t>
      </w:r>
      <w:r>
        <w:rPr>
          <w:rFonts w:asciiTheme="minorEastAsia" w:eastAsiaTheme="minorEastAsia" w:hAnsiTheme="minorEastAsia"/>
          <w:sz w:val="22"/>
          <w:szCs w:val="22"/>
        </w:rPr>
        <w:t>）</w:t>
      </w:r>
      <w:r>
        <w:rPr>
          <w:rFonts w:asciiTheme="minorEastAsia" w:eastAsiaTheme="minorEastAsia" w:hAnsiTheme="minorEastAsia" w:hint="eastAsia"/>
          <w:sz w:val="22"/>
          <w:szCs w:val="22"/>
        </w:rPr>
        <w:t>在任何情况下，如采用以上规定的方法对资产进行估值，均应被认为采用了适当的估值方法。如管理人有证据表明按上述规定不能客观反映理财计划资产公允价值的，管理人可根据具体情况，在综合考虑市场成交价、市场报价、流动性、收益率曲线等多种因素基础上，按最能反映理财计划资产公允价值的方法估值。</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9）</w:t>
      </w:r>
      <w:r>
        <w:rPr>
          <w:rFonts w:asciiTheme="minorEastAsia" w:eastAsiaTheme="minorEastAsia" w:hAnsiTheme="minorEastAsia" w:hint="eastAsia"/>
          <w:sz w:val="22"/>
          <w:szCs w:val="22"/>
        </w:rPr>
        <w:t>对于以上估值方法，相关法律法规以及监管部门有另行规定的，按照监管最新规定执行。如监管并无明确规定和要求的，由产品管理人与托管人协商确定计算方法。</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10）</w:t>
      </w:r>
      <w:r>
        <w:rPr>
          <w:rFonts w:asciiTheme="minorEastAsia" w:eastAsiaTheme="minorEastAsia" w:hAnsiTheme="minorEastAsia" w:hint="eastAsia"/>
          <w:sz w:val="22"/>
          <w:szCs w:val="22"/>
        </w:rPr>
        <w:t>按以上估值方法进行估值时，所造成的误差不作为理财计划估值错误处理。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11）</w:t>
      </w:r>
      <w:r>
        <w:rPr>
          <w:rFonts w:asciiTheme="minorEastAsia" w:eastAsiaTheme="minorEastAsia" w:hAnsiTheme="minorEastAsia" w:hint="eastAsia"/>
          <w:sz w:val="22"/>
          <w:szCs w:val="22"/>
        </w:rPr>
        <w:t>扣除项：应由理财计划承担的理财计划费用</w:t>
      </w:r>
      <w:r>
        <w:rPr>
          <w:rFonts w:ascii="宋体" w:hAnsi="宋体" w:hint="eastAsia"/>
          <w:sz w:val="22"/>
          <w:szCs w:val="22"/>
        </w:rPr>
        <w:t>、资产服务费用（如有）</w:t>
      </w:r>
      <w:r>
        <w:rPr>
          <w:rFonts w:asciiTheme="minorEastAsia" w:eastAsiaTheme="minorEastAsia" w:hAnsiTheme="minorEastAsia" w:hint="eastAsia"/>
          <w:sz w:val="22"/>
          <w:szCs w:val="22"/>
        </w:rPr>
        <w:t>和税费（如有）。</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lastRenderedPageBreak/>
        <w:t>暂停估值的情形</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1）理财计划投资所涉及的交易市场遇法定节假日或因其他原因暂停营业时暂停估值；</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2）因不可抗力或其他情形致使理财计划管理人、理财计划托管人无法准确评估资产价值时；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cs="Arial" w:hint="eastAsia"/>
          <w:sz w:val="22"/>
          <w:szCs w:val="22"/>
        </w:rPr>
        <w:t>理财计划投资的信托计划</w:t>
      </w:r>
      <w:r>
        <w:rPr>
          <w:rFonts w:asciiTheme="minorEastAsia" w:eastAsiaTheme="minorEastAsia" w:hAnsiTheme="minorEastAsia" w:cs="Arial"/>
          <w:sz w:val="22"/>
          <w:szCs w:val="22"/>
        </w:rPr>
        <w:t>/</w:t>
      </w:r>
      <w:r>
        <w:rPr>
          <w:rFonts w:asciiTheme="minorEastAsia" w:eastAsiaTheme="minorEastAsia" w:hAnsiTheme="minorEastAsia" w:cs="Arial" w:hint="eastAsia"/>
          <w:sz w:val="22"/>
          <w:szCs w:val="22"/>
        </w:rPr>
        <w:t>资管计划合同约定暂停估值或无法估值的情形发生，导致理财计划无法估值的；</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当前一估值日理财计划资产净值50%以上的资产不具备活跃交易市场或者在活跃市场中无报价，且不能采用估值技术可靠计量公允价值时；</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（5）理财计划</w:t>
      </w:r>
      <w:r>
        <w:rPr>
          <w:rFonts w:asciiTheme="minorEastAsia" w:eastAsiaTheme="minorEastAsia" w:hAnsiTheme="minorEastAsia"/>
          <w:sz w:val="22"/>
          <w:szCs w:val="22"/>
        </w:rPr>
        <w:t>管理人、理财计划托管人</w:t>
      </w:r>
      <w:r>
        <w:rPr>
          <w:rFonts w:asciiTheme="minorEastAsia" w:eastAsiaTheme="minorEastAsia" w:hAnsiTheme="minorEastAsia" w:hint="eastAsia"/>
          <w:sz w:val="22"/>
          <w:szCs w:val="22"/>
        </w:rPr>
        <w:t>有合理理由认为将影响本理财计划估值的其他情形发生。</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估值错误的处理</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理财计划管理人和理财计划托管人将采取必要、适当、合理的措施确保理财计划估值的准确性、及时性。</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1）估值错误处理原则</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由于理财计划管理人或理财计划托管人自身的过错造成估值错误，导致投资者遭受损失的，由估值错误责任方按照各自过错程度对该估值错误导致投资者遭受的直接损失给予赔偿，承担赔偿责任。</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对于因技术原因引起的差错，若系同行业现有技术水平无法预见、无法避免、无法抗拒，属不可抗力。因不可抗力原因出现差错的当事人不对投资者承担赔偿责任，但因该差错取得不当得利的投资者仍应负有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因理财计划托管人估值错误造成财产损失时，理财计划管理人应向托管人追偿。若理财计划管理人和理财计划托管人之外的第三方估值差错造成财产的损失，并拒绝进行赔偿时，理财计划由理财计划管理人负责向差错方追偿；追偿过程中产生的有关费用，应列入理财计划费用，由理财计划承担。</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b/>
          <w:sz w:val="22"/>
          <w:szCs w:val="22"/>
        </w:rPr>
      </w:pPr>
      <w:r>
        <w:rPr>
          <w:rFonts w:asciiTheme="minorEastAsia" w:eastAsiaTheme="minorEastAsia" w:hAnsiTheme="minorEastAsia" w:cs="Arial"/>
          <w:b/>
          <w:sz w:val="22"/>
          <w:szCs w:val="22"/>
        </w:rPr>
        <w:t>D 当估值出现错误时，因估值错误而获得不当得利的投资者负有及时返还不当得利的义务。</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E </w:t>
      </w:r>
      <w:r>
        <w:rPr>
          <w:rFonts w:asciiTheme="minorEastAsia" w:eastAsiaTheme="minorEastAsia" w:hAnsiTheme="minorEastAsia" w:hint="eastAsia"/>
          <w:sz w:val="22"/>
          <w:szCs w:val="22"/>
        </w:rPr>
        <w:t>按法律法规规定的其他原则处理估值错误。</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2）估值错误处理程序</w:t>
      </w:r>
    </w:p>
    <w:p w:rsidR="003252C2" w:rsidRDefault="00F10458">
      <w:pPr>
        <w:autoSpaceDE w:val="0"/>
        <w:autoSpaceDN w:val="0"/>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估值错误被发现后，理财计划管理人和理财计划托管人应当及时进行处理，处理的程序如下：</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A </w:t>
      </w:r>
      <w:r>
        <w:rPr>
          <w:rFonts w:asciiTheme="minorEastAsia" w:eastAsiaTheme="minorEastAsia" w:hAnsiTheme="minorEastAsia" w:hint="eastAsia"/>
          <w:sz w:val="22"/>
          <w:szCs w:val="22"/>
        </w:rPr>
        <w:t>查明估值错误发生的原因，列明所有的管理人和托管人并根据估值错误发生的原因确定估值错误的责任方；</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B </w:t>
      </w:r>
      <w:r>
        <w:rPr>
          <w:rFonts w:asciiTheme="minorEastAsia" w:eastAsiaTheme="minorEastAsia" w:hAnsiTheme="minorEastAsia" w:hint="eastAsia"/>
          <w:sz w:val="22"/>
          <w:szCs w:val="22"/>
        </w:rPr>
        <w:t>根据估值错误处理原则对因估值错误造成的损失进行评估；</w:t>
      </w:r>
    </w:p>
    <w:p w:rsidR="003252C2" w:rsidRDefault="00F10458">
      <w:pPr>
        <w:autoSpaceDE w:val="0"/>
        <w:autoSpaceDN w:val="0"/>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sz w:val="22"/>
          <w:szCs w:val="22"/>
        </w:rPr>
        <w:t xml:space="preserve">C </w:t>
      </w:r>
      <w:r>
        <w:rPr>
          <w:rFonts w:asciiTheme="minorEastAsia" w:eastAsiaTheme="minorEastAsia" w:hAnsiTheme="minorEastAsia" w:hint="eastAsia"/>
          <w:sz w:val="22"/>
          <w:szCs w:val="22"/>
        </w:rPr>
        <w:t>根据理财计划管理人和理财计划托管人协商的方法，由理财计划管理人和理财计划托管人共同进行更正，由估值错误的责任方进行赔偿损失</w:t>
      </w:r>
      <w:r>
        <w:rPr>
          <w:rFonts w:asciiTheme="minorEastAsia" w:eastAsiaTheme="minorEastAsia" w:hAnsiTheme="minorEastAsia"/>
          <w:sz w:val="22"/>
          <w:szCs w:val="22"/>
        </w:rPr>
        <w:t>。</w:t>
      </w:r>
    </w:p>
    <w:p w:rsidR="003252C2" w:rsidRDefault="00F10458">
      <w:pPr>
        <w:numPr>
          <w:ilvl w:val="0"/>
          <w:numId w:val="6"/>
        </w:numPr>
        <w:tabs>
          <w:tab w:val="left" w:pos="0"/>
        </w:tabs>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b/>
          <w:sz w:val="22"/>
          <w:szCs w:val="22"/>
        </w:rPr>
        <w:t>特殊情况的处理</w:t>
      </w:r>
    </w:p>
    <w:p w:rsidR="003252C2" w:rsidRDefault="00F10458">
      <w:pPr>
        <w:autoSpaceDE w:val="0"/>
        <w:autoSpaceDN w:val="0"/>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由于不可抗力原因，或由于证券交易所、期货交易所、第三方估值机构、信托</w:t>
      </w:r>
      <w:r>
        <w:rPr>
          <w:rFonts w:asciiTheme="minorEastAsia" w:eastAsiaTheme="minorEastAsia" w:hAnsiTheme="minorEastAsia"/>
          <w:sz w:val="22"/>
          <w:szCs w:val="22"/>
        </w:rPr>
        <w:t>公司、基金</w:t>
      </w:r>
      <w:r>
        <w:rPr>
          <w:rFonts w:asciiTheme="minorEastAsia" w:eastAsiaTheme="minorEastAsia" w:hAnsiTheme="minorEastAsia" w:hint="eastAsia"/>
          <w:sz w:val="22"/>
          <w:szCs w:val="22"/>
        </w:rPr>
        <w:t>公司</w:t>
      </w:r>
      <w:r>
        <w:rPr>
          <w:rFonts w:asciiTheme="minorEastAsia" w:eastAsiaTheme="minorEastAsia" w:hAnsiTheme="minorEastAsia"/>
          <w:sz w:val="22"/>
          <w:szCs w:val="22"/>
        </w:rPr>
        <w:t>等</w:t>
      </w:r>
      <w:r>
        <w:rPr>
          <w:rFonts w:asciiTheme="minorEastAsia" w:eastAsiaTheme="minorEastAsia" w:hAnsiTheme="minorEastAsia" w:hint="eastAsia"/>
          <w:sz w:val="22"/>
          <w:szCs w:val="22"/>
        </w:rPr>
        <w:t>发送数据错误等非理财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w:t>
      </w:r>
      <w:r>
        <w:rPr>
          <w:rFonts w:asciiTheme="minorEastAsia" w:eastAsiaTheme="minorEastAsia" w:hAnsiTheme="minorEastAsia"/>
          <w:sz w:val="22"/>
          <w:szCs w:val="22"/>
        </w:rPr>
        <w:t>原因</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管理人和托管人虽然已经采取必要、适当、合理的措施进行检查，但未能发现错误的，由此造</w:t>
      </w:r>
      <w:r>
        <w:rPr>
          <w:rFonts w:asciiTheme="minorEastAsia" w:eastAsiaTheme="minorEastAsia" w:hAnsiTheme="minorEastAsia" w:hint="eastAsia"/>
          <w:sz w:val="22"/>
          <w:szCs w:val="22"/>
        </w:rPr>
        <w:lastRenderedPageBreak/>
        <w:t>成的估值错误，理财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托管人免除赔偿责任。但理财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托管人应当积极采取必要的措施减轻或消除由此造成的影响。</w:t>
      </w:r>
    </w:p>
    <w:p w:rsidR="003252C2" w:rsidRDefault="00F10458">
      <w:pPr>
        <w:tabs>
          <w:tab w:val="left" w:pos="720"/>
        </w:tabs>
        <w:rPr>
          <w:rFonts w:ascii="宋体" w:hAnsi="宋体" w:cs="Arial"/>
          <w:sz w:val="24"/>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2）前述内容如法律法规、监管机关另有规定的，或有关会计准则</w:t>
      </w:r>
      <w:r>
        <w:rPr>
          <w:rFonts w:asciiTheme="minorEastAsia" w:eastAsiaTheme="minorEastAsia" w:hAnsiTheme="minorEastAsia" w:hint="eastAsia"/>
          <w:sz w:val="22"/>
          <w:szCs w:val="22"/>
        </w:rPr>
        <w:t>发生变化等，按照</w:t>
      </w:r>
      <w:r>
        <w:rPr>
          <w:rFonts w:asciiTheme="minorEastAsia" w:eastAsiaTheme="minorEastAsia" w:hAnsiTheme="minorEastAsia"/>
          <w:sz w:val="22"/>
          <w:szCs w:val="22"/>
        </w:rPr>
        <w:t>国家最新规定或</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w:t>
      </w:r>
      <w:r>
        <w:rPr>
          <w:rFonts w:asciiTheme="minorEastAsia" w:eastAsiaTheme="minorEastAsia" w:hAnsiTheme="minorEastAsia"/>
          <w:sz w:val="22"/>
          <w:szCs w:val="22"/>
        </w:rPr>
        <w:t>最新约定</w:t>
      </w:r>
      <w:r>
        <w:rPr>
          <w:rFonts w:asciiTheme="minorEastAsia" w:eastAsiaTheme="minorEastAsia" w:hAnsiTheme="minorEastAsia" w:hint="eastAsia"/>
          <w:sz w:val="22"/>
          <w:szCs w:val="22"/>
        </w:rPr>
        <w:t>估值。如果行业另有通行做法，理财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管理人和理财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托管人本着平等和保护份额持有人利益的原则进行协商。</w:t>
      </w:r>
    </w:p>
    <w:p w:rsidR="003252C2" w:rsidRDefault="003252C2">
      <w:pPr>
        <w:tabs>
          <w:tab w:val="left" w:pos="720"/>
        </w:tabs>
        <w:rPr>
          <w:rFonts w:ascii="宋体" w:hAnsi="宋体" w:cs="Arial"/>
          <w:sz w:val="24"/>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理财计划利益分配</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b/>
          <w:sz w:val="22"/>
          <w:szCs w:val="22"/>
        </w:rPr>
        <w:t>投资者持有本理财计划期间及到期时，</w:t>
      </w:r>
      <w:r>
        <w:rPr>
          <w:rFonts w:asciiTheme="minorEastAsia" w:eastAsiaTheme="minorEastAsia" w:hAnsiTheme="minorEastAsia" w:cs="Arial" w:hint="eastAsia"/>
          <w:b/>
          <w:sz w:val="22"/>
          <w:szCs w:val="22"/>
        </w:rPr>
        <w:t>招银理财</w:t>
      </w:r>
      <w:r>
        <w:rPr>
          <w:rFonts w:asciiTheme="minorEastAsia" w:eastAsiaTheme="minorEastAsia" w:hAnsiTheme="minorEastAsia" w:cs="Arial"/>
          <w:b/>
          <w:sz w:val="22"/>
          <w:szCs w:val="22"/>
        </w:rPr>
        <w:t>不承诺保证本金安全且不保证理财收益，投资者收益（如有）随投资盈亏水平浮动。</w:t>
      </w:r>
    </w:p>
    <w:p w:rsidR="003252C2" w:rsidRDefault="00F10458">
      <w:pPr>
        <w:numPr>
          <w:ilvl w:val="0"/>
          <w:numId w:val="7"/>
        </w:numPr>
        <w:tabs>
          <w:tab w:val="left" w:pos="0"/>
        </w:tabs>
        <w:adjustRightInd w:val="0"/>
        <w:snapToGrid w:val="0"/>
        <w:spacing w:line="300" w:lineRule="auto"/>
        <w:rPr>
          <w:rFonts w:asciiTheme="minorEastAsia" w:hAnsiTheme="minorEastAsia"/>
          <w:b/>
          <w:bCs/>
          <w:sz w:val="22"/>
        </w:rPr>
      </w:pPr>
      <w:r>
        <w:rPr>
          <w:rFonts w:asciiTheme="minorEastAsia" w:eastAsiaTheme="minorEastAsia" w:hAnsiTheme="minorEastAsia" w:cs="Arial" w:hint="eastAsia"/>
          <w:b/>
          <w:bCs/>
          <w:sz w:val="22"/>
          <w:szCs w:val="22"/>
        </w:rPr>
        <w:t>理财计划每万份收益和七日年化收益率</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1）本理财计划类型为非保本浮动收益类理财产品，本理财计划每万份收益和七日年化收益率根据市场利率的变化以及招银理财实际投资运作的情况计算</w:t>
      </w:r>
      <w:r>
        <w:rPr>
          <w:rFonts w:asciiTheme="minorEastAsia" w:eastAsiaTheme="minorEastAsia" w:hAnsiTheme="minorEastAsia" w:hint="eastAsia"/>
          <w:sz w:val="22"/>
          <w:szCs w:val="22"/>
        </w:rPr>
        <w:t>，</w:t>
      </w:r>
      <w:r>
        <w:rPr>
          <w:rFonts w:asciiTheme="minorEastAsia" w:eastAsiaTheme="minorEastAsia" w:hAnsiTheme="minorEastAsia"/>
          <w:sz w:val="22"/>
          <w:szCs w:val="22"/>
        </w:rPr>
        <w:t>计算方式如下</w:t>
      </w:r>
      <w:r>
        <w:rPr>
          <w:rFonts w:asciiTheme="minorEastAsia" w:eastAsiaTheme="minorEastAsia" w:hAnsiTheme="minorEastAsia" w:hint="eastAsia"/>
          <w:sz w:val="22"/>
          <w:szCs w:val="22"/>
        </w:rPr>
        <w:t>：</w:t>
      </w:r>
    </w:p>
    <w:p w:rsidR="003252C2" w:rsidRDefault="00F10458">
      <w:pPr>
        <w:adjustRightInd w:val="0"/>
        <w:snapToGrid w:val="0"/>
        <w:spacing w:line="300" w:lineRule="auto"/>
        <w:ind w:firstLineChars="200" w:firstLine="440"/>
        <w:rPr>
          <w:rFonts w:asciiTheme="minorEastAsia" w:eastAsiaTheme="minorEastAsia" w:hAnsiTheme="minorEastAsia"/>
          <w:sz w:val="22"/>
          <w:szCs w:val="22"/>
        </w:rPr>
      </w:pPr>
      <w:r>
        <w:rPr>
          <w:rFonts w:asciiTheme="minorEastAsia" w:eastAsiaTheme="minorEastAsia" w:hAnsiTheme="minorEastAsia" w:hint="eastAsia"/>
          <w:sz w:val="22"/>
          <w:szCs w:val="22"/>
        </w:rPr>
        <w:t>理财计划每万份收益</w:t>
      </w:r>
      <w:r>
        <w:rPr>
          <w:rFonts w:asciiTheme="minorEastAsia" w:eastAsiaTheme="minorEastAsia" w:hAnsiTheme="minorEastAsia"/>
          <w:sz w:val="22"/>
          <w:szCs w:val="22"/>
        </w:rPr>
        <w:t>=当日该理财计划已实现收益/当日该理财计划份额总额×10000</w:t>
      </w:r>
    </w:p>
    <w:p w:rsidR="003252C2" w:rsidRDefault="00F10458">
      <w:pPr>
        <w:tabs>
          <w:tab w:val="left" w:pos="0"/>
          <w:tab w:val="left" w:pos="360"/>
        </w:tabs>
        <w:adjustRightInd w:val="0"/>
        <w:snapToGrid w:val="0"/>
        <w:spacing w:line="300" w:lineRule="auto"/>
        <w:ind w:firstLineChars="200" w:firstLine="440"/>
        <w:jc w:val="left"/>
        <w:rPr>
          <w:rFonts w:asciiTheme="minorEastAsia" w:eastAsiaTheme="minorEastAsia" w:hAnsiTheme="minorEastAsia"/>
          <w:sz w:val="22"/>
          <w:szCs w:val="22"/>
        </w:rPr>
      </w:pPr>
      <w:r>
        <w:rPr>
          <w:rFonts w:asciiTheme="minorEastAsia" w:eastAsiaTheme="minorEastAsia" w:hAnsiTheme="minorEastAsia"/>
          <w:sz w:val="22"/>
          <w:szCs w:val="22"/>
        </w:rPr>
        <w:t>上述收益计算为以</w:t>
      </w:r>
      <w:r>
        <w:rPr>
          <w:rFonts w:asciiTheme="minorEastAsia" w:eastAsiaTheme="minorEastAsia" w:hAnsiTheme="minorEastAsia" w:hint="eastAsia"/>
          <w:sz w:val="22"/>
          <w:szCs w:val="22"/>
        </w:rPr>
        <w:t>舍位</w:t>
      </w:r>
      <w:r>
        <w:rPr>
          <w:rFonts w:asciiTheme="minorEastAsia" w:eastAsiaTheme="minorEastAsia" w:hAnsiTheme="minorEastAsia"/>
          <w:sz w:val="22"/>
          <w:szCs w:val="22"/>
        </w:rPr>
        <w:t>的方法保留至小数点后4位</w:t>
      </w:r>
      <w:r>
        <w:rPr>
          <w:rFonts w:asciiTheme="minorEastAsia" w:eastAsiaTheme="minorEastAsia" w:hAnsiTheme="minorEastAsia" w:hint="eastAsia"/>
          <w:sz w:val="22"/>
          <w:szCs w:val="22"/>
        </w:rPr>
        <w:t>。</w:t>
      </w:r>
    </w:p>
    <w:p w:rsidR="003252C2" w:rsidRDefault="00F10458">
      <w:pPr>
        <w:tabs>
          <w:tab w:val="left" w:pos="0"/>
          <w:tab w:val="left" w:pos="360"/>
        </w:tabs>
        <w:adjustRightInd w:val="0"/>
        <w:snapToGrid w:val="0"/>
        <w:spacing w:line="300" w:lineRule="auto"/>
        <w:ind w:firstLineChars="100" w:firstLine="220"/>
        <w:jc w:val="left"/>
        <w:rPr>
          <w:rFonts w:asciiTheme="minorEastAsia" w:eastAsiaTheme="minorEastAsia" w:hAnsiTheme="minorEastAsia"/>
          <w:sz w:val="22"/>
          <w:szCs w:val="22"/>
        </w:rPr>
      </w:pPr>
      <w:r>
        <w:rPr>
          <w:rFonts w:asciiTheme="minorEastAsia" w:eastAsiaTheme="minorEastAsia" w:hAnsiTheme="minorEastAsia"/>
          <w:sz w:val="22"/>
          <w:szCs w:val="22"/>
        </w:rPr>
        <w:t xml:space="preserve">  </w:t>
      </w:r>
      <w:r>
        <w:rPr>
          <w:rFonts w:asciiTheme="minorEastAsia" w:eastAsiaTheme="minorEastAsia" w:hAnsiTheme="minorEastAsia" w:hint="eastAsia"/>
          <w:sz w:val="22"/>
          <w:szCs w:val="22"/>
        </w:rPr>
        <w:t>七日年化收益率（</w:t>
      </w:r>
      <w:r>
        <w:rPr>
          <w:rFonts w:asciiTheme="minorEastAsia" w:eastAsiaTheme="minorEastAsia" w:hAnsiTheme="minorEastAsia"/>
          <w:sz w:val="22"/>
          <w:szCs w:val="22"/>
        </w:rPr>
        <w:t>%）=</w:t>
      </w:r>
      <m:oMath>
        <m:d>
          <m:dPr>
            <m:begChr m:val="{"/>
            <m:endChr m:val="}"/>
            <m:ctrlPr>
              <w:rPr>
                <w:rFonts w:ascii="Cambria Math" w:eastAsiaTheme="minorEastAsia" w:hAnsi="Cambria Math"/>
                <w:sz w:val="22"/>
                <w:szCs w:val="22"/>
              </w:rPr>
            </m:ctrlPr>
          </m:dPr>
          <m:e>
            <m:sSup>
              <m:sSupPr>
                <m:ctrlPr>
                  <w:rPr>
                    <w:rFonts w:ascii="Cambria Math" w:eastAsiaTheme="minorEastAsia" w:hAnsi="Cambria Math"/>
                    <w:i/>
                    <w:sz w:val="22"/>
                    <w:szCs w:val="22"/>
                  </w:rPr>
                </m:ctrlPr>
              </m:sSupPr>
              <m:e>
                <m:d>
                  <m:dPr>
                    <m:begChr m:val="["/>
                    <m:endChr m:val="]"/>
                    <m:ctrlPr>
                      <w:rPr>
                        <w:rFonts w:ascii="Cambria Math" w:eastAsiaTheme="minorEastAsia" w:hAnsi="Cambria Math"/>
                        <w:i/>
                        <w:sz w:val="22"/>
                        <w:szCs w:val="22"/>
                      </w:rPr>
                    </m:ctrlPr>
                  </m:dPr>
                  <m:e>
                    <m:nary>
                      <m:naryPr>
                        <m:chr m:val="∏"/>
                        <m:limLoc m:val="subSup"/>
                        <m:ctrlPr>
                          <w:rPr>
                            <w:rFonts w:ascii="Cambria Math" w:eastAsiaTheme="minorEastAsia" w:hAnsi="Cambria Math"/>
                            <w:i/>
                            <w:sz w:val="22"/>
                            <w:szCs w:val="22"/>
                          </w:rPr>
                        </m:ctrlPr>
                      </m:naryPr>
                      <m:sub>
                        <m:r>
                          <w:rPr>
                            <w:rFonts w:ascii="Cambria Math" w:eastAsiaTheme="minorEastAsia" w:hAnsi="Cambria Math" w:hint="eastAsia"/>
                            <w:sz w:val="22"/>
                            <w:szCs w:val="22"/>
                          </w:rPr>
                          <m:t>i=1</m:t>
                        </m:r>
                      </m:sub>
                      <m:sup>
                        <m:r>
                          <w:rPr>
                            <w:rFonts w:ascii="Cambria Math" w:eastAsiaTheme="minorEastAsia" w:hAnsi="Cambria Math" w:hint="eastAsia"/>
                            <w:sz w:val="22"/>
                            <w:szCs w:val="22"/>
                          </w:rPr>
                          <m:t>7</m:t>
                        </m:r>
                      </m:sup>
                      <m:e>
                        <m:r>
                          <w:rPr>
                            <w:rFonts w:ascii="Cambria Math" w:eastAsiaTheme="minorEastAsia" w:hAnsi="Cambria Math" w:hint="eastAsia"/>
                            <w:sz w:val="22"/>
                            <w:szCs w:val="22"/>
                          </w:rPr>
                          <m:t>(1+</m:t>
                        </m:r>
                        <m:f>
                          <m:fPr>
                            <m:ctrlPr>
                              <w:rPr>
                                <w:rFonts w:ascii="Cambria Math" w:eastAsiaTheme="minorEastAsia" w:hAnsi="Cambria Math"/>
                                <w:i/>
                                <w:sz w:val="22"/>
                                <w:szCs w:val="22"/>
                              </w:rPr>
                            </m:ctrlPr>
                          </m:fPr>
                          <m:num>
                            <m:sSub>
                              <m:sSubPr>
                                <m:ctrlPr>
                                  <w:rPr>
                                    <w:rFonts w:ascii="Cambria Math" w:eastAsiaTheme="minorEastAsia" w:hAnsi="Cambria Math"/>
                                    <w:i/>
                                    <w:sz w:val="22"/>
                                    <w:szCs w:val="22"/>
                                  </w:rPr>
                                </m:ctrlPr>
                              </m:sSubPr>
                              <m:e>
                                <m:r>
                                  <w:rPr>
                                    <w:rFonts w:ascii="Cambria Math" w:eastAsiaTheme="minorEastAsia" w:hAnsi="Cambria Math" w:hint="eastAsia"/>
                                    <w:sz w:val="22"/>
                                    <w:szCs w:val="22"/>
                                  </w:rPr>
                                  <m:t>R</m:t>
                                </m:r>
                              </m:e>
                              <m:sub>
                                <m:r>
                                  <w:rPr>
                                    <w:rFonts w:ascii="Cambria Math" w:eastAsiaTheme="minorEastAsia" w:hAnsi="Cambria Math" w:hint="eastAsia"/>
                                    <w:sz w:val="22"/>
                                    <w:szCs w:val="22"/>
                                  </w:rPr>
                                  <m:t>i</m:t>
                                </m:r>
                              </m:sub>
                            </m:sSub>
                          </m:num>
                          <m:den>
                            <m:r>
                              <w:rPr>
                                <w:rFonts w:ascii="Cambria Math" w:eastAsiaTheme="minorEastAsia" w:hAnsi="Cambria Math" w:hint="eastAsia"/>
                                <w:sz w:val="22"/>
                                <w:szCs w:val="22"/>
                              </w:rPr>
                              <m:t>10000</m:t>
                            </m:r>
                          </m:den>
                        </m:f>
                        <m:r>
                          <w:rPr>
                            <w:rFonts w:ascii="Cambria Math" w:eastAsiaTheme="minorEastAsia" w:hAnsi="Cambria Math" w:hint="eastAsia"/>
                            <w:sz w:val="22"/>
                            <w:szCs w:val="22"/>
                          </w:rPr>
                          <m:t>)</m:t>
                        </m:r>
                      </m:e>
                    </m:nary>
                  </m:e>
                </m:d>
              </m:e>
              <m:sup>
                <m:f>
                  <m:fPr>
                    <m:ctrlPr>
                      <w:rPr>
                        <w:rFonts w:ascii="Cambria Math" w:eastAsiaTheme="minorEastAsia" w:hAnsi="Cambria Math"/>
                        <w:i/>
                        <w:sz w:val="22"/>
                        <w:szCs w:val="22"/>
                      </w:rPr>
                    </m:ctrlPr>
                  </m:fPr>
                  <m:num>
                    <m:r>
                      <w:rPr>
                        <w:rFonts w:ascii="Cambria Math" w:eastAsiaTheme="minorEastAsia" w:hAnsi="Cambria Math" w:hint="eastAsia"/>
                        <w:sz w:val="22"/>
                        <w:szCs w:val="22"/>
                      </w:rPr>
                      <m:t>365</m:t>
                    </m:r>
                  </m:num>
                  <m:den>
                    <m:r>
                      <w:rPr>
                        <w:rFonts w:ascii="Cambria Math" w:eastAsiaTheme="minorEastAsia" w:hAnsi="Cambria Math" w:hint="eastAsia"/>
                        <w:sz w:val="22"/>
                        <w:szCs w:val="22"/>
                      </w:rPr>
                      <m:t>7</m:t>
                    </m:r>
                  </m:den>
                </m:f>
              </m:sup>
            </m:sSup>
            <m:r>
              <w:rPr>
                <w:rFonts w:ascii="MS Gothic" w:eastAsiaTheme="minorEastAsia" w:hAnsi="MS Gothic" w:cs="MS Gothic"/>
                <w:sz w:val="22"/>
                <w:szCs w:val="22"/>
              </w:rPr>
              <m:t>-</m:t>
            </m:r>
            <m:r>
              <w:rPr>
                <w:rFonts w:ascii="Cambria Math" w:eastAsiaTheme="minorEastAsia" w:hAnsi="Cambria Math" w:hint="eastAsia"/>
                <w:sz w:val="22"/>
                <w:szCs w:val="22"/>
              </w:rPr>
              <m:t>1</m:t>
            </m:r>
          </m:e>
        </m:d>
        <m:r>
          <m:rPr>
            <m:sty m:val="p"/>
          </m:rPr>
          <w:rPr>
            <w:rFonts w:ascii="Cambria Math" w:eastAsiaTheme="minorEastAsia" w:hAnsi="Cambria Math" w:hint="eastAsia"/>
            <w:sz w:val="22"/>
            <w:szCs w:val="22"/>
          </w:rPr>
          <m:t>×</m:t>
        </m:r>
        <m:r>
          <m:rPr>
            <m:sty m:val="p"/>
          </m:rPr>
          <w:rPr>
            <w:rFonts w:ascii="Cambria Math" w:eastAsiaTheme="minorEastAsia" w:hAnsi="Cambria Math" w:hint="eastAsia"/>
            <w:sz w:val="22"/>
            <w:szCs w:val="22"/>
          </w:rPr>
          <m:t>100%</m:t>
        </m:r>
      </m:oMath>
    </w:p>
    <w:p w:rsidR="003252C2" w:rsidRDefault="00F10458">
      <w:pPr>
        <w:tabs>
          <w:tab w:val="left" w:pos="0"/>
          <w:tab w:val="left" w:pos="360"/>
        </w:tabs>
        <w:adjustRightInd w:val="0"/>
        <w:snapToGrid w:val="0"/>
        <w:spacing w:line="300" w:lineRule="auto"/>
        <w:ind w:firstLineChars="200" w:firstLine="440"/>
        <w:rPr>
          <w:rFonts w:asciiTheme="minorEastAsia" w:eastAsiaTheme="minorEastAsia" w:hAnsiTheme="minorEastAsia" w:cs="Arial"/>
          <w:b/>
          <w:sz w:val="22"/>
          <w:szCs w:val="22"/>
        </w:rPr>
      </w:pPr>
      <w:r>
        <w:rPr>
          <w:rFonts w:asciiTheme="minorEastAsia" w:eastAsiaTheme="minorEastAsia" w:hAnsiTheme="minorEastAsia"/>
          <w:sz w:val="22"/>
          <w:szCs w:val="22"/>
        </w:rPr>
        <w:t>其中</w:t>
      </w:r>
      <w:r>
        <w:rPr>
          <w:rFonts w:asciiTheme="minorEastAsia" w:eastAsiaTheme="minorEastAsia" w:hAnsiTheme="minorEastAsia" w:hint="eastAsia"/>
          <w:sz w:val="22"/>
          <w:szCs w:val="22"/>
        </w:rPr>
        <w:t>，</w:t>
      </w:r>
      <w:r>
        <w:rPr>
          <w:rFonts w:asciiTheme="minorEastAsia" w:eastAsiaTheme="minorEastAsia" w:hAnsiTheme="minorEastAsia"/>
          <w:sz w:val="22"/>
          <w:szCs w:val="22"/>
        </w:rPr>
        <w:t>R</w:t>
      </w:r>
      <w:r>
        <w:rPr>
          <w:rFonts w:asciiTheme="minorEastAsia" w:eastAsiaTheme="minorEastAsia" w:hAnsiTheme="minorEastAsia"/>
          <w:sz w:val="22"/>
          <w:szCs w:val="22"/>
          <w:vertAlign w:val="subscript"/>
        </w:rPr>
        <w:t>i</w:t>
      </w:r>
      <w:r>
        <w:rPr>
          <w:rFonts w:asciiTheme="minorEastAsia" w:eastAsiaTheme="minorEastAsia" w:hAnsiTheme="minorEastAsia"/>
          <w:sz w:val="22"/>
          <w:szCs w:val="22"/>
        </w:rPr>
        <w:t>是最近第i个自然日</w:t>
      </w:r>
      <w:r>
        <w:rPr>
          <w:rFonts w:asciiTheme="minorEastAsia" w:eastAsiaTheme="minorEastAsia" w:hAnsiTheme="minorEastAsia" w:hint="eastAsia"/>
          <w:sz w:val="22"/>
          <w:szCs w:val="22"/>
        </w:rPr>
        <w:t>（</w:t>
      </w:r>
      <w:r>
        <w:rPr>
          <w:rFonts w:asciiTheme="minorEastAsia" w:eastAsiaTheme="minorEastAsia" w:hAnsiTheme="minorEastAsia"/>
          <w:sz w:val="22"/>
          <w:szCs w:val="22"/>
        </w:rPr>
        <w:t>i=1,2,3…7）的每万份收益，七日年化</w:t>
      </w:r>
      <w:r>
        <w:rPr>
          <w:rFonts w:asciiTheme="minorEastAsia" w:eastAsiaTheme="minorEastAsia" w:hAnsiTheme="minorEastAsia" w:hint="eastAsia"/>
          <w:sz w:val="22"/>
          <w:szCs w:val="22"/>
        </w:rPr>
        <w:t>收益率采取舍位的方式保留小数点后</w:t>
      </w:r>
      <w:r>
        <w:rPr>
          <w:rFonts w:asciiTheme="minorEastAsia" w:eastAsiaTheme="minorEastAsia" w:hAnsiTheme="minorEastAsia"/>
          <w:sz w:val="22"/>
          <w:szCs w:val="22"/>
        </w:rPr>
        <w:t>2</w:t>
      </w:r>
      <w:r>
        <w:rPr>
          <w:rFonts w:asciiTheme="minorEastAsia" w:eastAsiaTheme="minorEastAsia" w:hAnsiTheme="minorEastAsia" w:hint="eastAsia"/>
          <w:sz w:val="22"/>
          <w:szCs w:val="22"/>
        </w:rPr>
        <w:t>位，如不足</w:t>
      </w:r>
      <w:r>
        <w:rPr>
          <w:rFonts w:asciiTheme="minorEastAsia" w:eastAsiaTheme="minorEastAsia" w:hAnsiTheme="minorEastAsia"/>
          <w:sz w:val="22"/>
          <w:szCs w:val="22"/>
        </w:rPr>
        <w:t>7日，则采取实际日收益率折算为</w:t>
      </w:r>
      <w:r>
        <w:rPr>
          <w:rFonts w:asciiTheme="minorEastAsia" w:eastAsiaTheme="minorEastAsia" w:hAnsiTheme="minorEastAsia" w:hint="eastAsia"/>
          <w:sz w:val="22"/>
          <w:szCs w:val="22"/>
        </w:rPr>
        <w:t>年化收益率的方式计算。</w:t>
      </w: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每万份收益和七日年化收益率仅供投资者购买时决策参考或作为测算收益参考，并不代表该理财计划实际收益或未来的表现，也不构成招银理财对本理财计划收益的任何承诺或保证，理财收益以管理人实际支付为准。</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）理财计划每万份收益和七日年化收益率的公布时间：招银理财</w:t>
      </w:r>
      <w:r>
        <w:rPr>
          <w:rFonts w:asciiTheme="minorEastAsia" w:hAnsiTheme="minorEastAsia" w:hint="eastAsia"/>
          <w:sz w:val="22"/>
        </w:rPr>
        <w:t>每个</w:t>
      </w:r>
      <w:r>
        <w:rPr>
          <w:rFonts w:asciiTheme="minorEastAsia" w:eastAsiaTheme="minorEastAsia" w:hAnsiTheme="minorEastAsia" w:hint="eastAsia"/>
          <w:sz w:val="22"/>
          <w:szCs w:val="22"/>
        </w:rPr>
        <w:t>工作日通过</w:t>
      </w:r>
      <w:r>
        <w:rPr>
          <w:rFonts w:asciiTheme="minorEastAsia" w:eastAsiaTheme="minorEastAsia" w:hAnsiTheme="minorEastAsia" w:cs="Arial"/>
          <w:sz w:val="22"/>
          <w:szCs w:val="22"/>
        </w:rPr>
        <w:t>本产品说明书约定的信息披露渠道</w:t>
      </w:r>
      <w:r>
        <w:rPr>
          <w:rFonts w:asciiTheme="minorEastAsia" w:eastAsiaTheme="minorEastAsia" w:hAnsiTheme="minorEastAsia" w:hint="eastAsia"/>
          <w:sz w:val="22"/>
          <w:szCs w:val="22"/>
        </w:rPr>
        <w:t>公布上一工作日的理财计划每万份收益和七日年化收益率。（例如：周五的理财计划每万份收益和七日年化收益率于下周一公布）。</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b/>
          <w:bCs/>
          <w:sz w:val="22"/>
          <w:szCs w:val="22"/>
        </w:rPr>
      </w:pPr>
      <w:r>
        <w:rPr>
          <w:rFonts w:asciiTheme="minorEastAsia" w:eastAsiaTheme="minorEastAsia" w:hAnsiTheme="minorEastAsia" w:hint="eastAsia"/>
          <w:b/>
          <w:bCs/>
          <w:sz w:val="22"/>
          <w:szCs w:val="22"/>
        </w:rPr>
        <w:t>收益分配原则</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1）每一理财计划份额享有同等分配权；</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）本理财计划收益分配方式为每日收益结转份额；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投资者通过两个以上账户购买本理财计划的，理财收益按购买本理财计划的账户分别计算。</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）当日申购的现金管理类产品份额应当自下一个工作日起享有该产品的分配权益；当日赎回的现金管理类产品份额自下一个工作日起不享有该产品的分配权益，</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认定的特殊现金管理类产品品种除外。</w:t>
      </w:r>
    </w:p>
    <w:p w:rsidR="003252C2" w:rsidRDefault="00F10458">
      <w:pPr>
        <w:numPr>
          <w:ilvl w:val="0"/>
          <w:numId w:val="7"/>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b/>
          <w:sz w:val="22"/>
          <w:szCs w:val="22"/>
        </w:rPr>
        <w:t>就期间分配而言，</w:t>
      </w:r>
      <w:r>
        <w:rPr>
          <w:rFonts w:asciiTheme="minorEastAsia" w:eastAsiaTheme="minorEastAsia" w:hAnsiTheme="minorEastAsia" w:hint="eastAsia"/>
          <w:sz w:val="22"/>
          <w:szCs w:val="22"/>
        </w:rPr>
        <w:t>本产品收益</w:t>
      </w:r>
      <w:r>
        <w:rPr>
          <w:rFonts w:asciiTheme="minorEastAsia" w:eastAsiaTheme="minorEastAsia" w:hAnsiTheme="minorEastAsia"/>
          <w:sz w:val="22"/>
          <w:szCs w:val="22"/>
        </w:rPr>
        <w:t>支付方式为</w:t>
      </w:r>
      <w:r>
        <w:rPr>
          <w:rFonts w:asciiTheme="minorEastAsia" w:eastAsiaTheme="minorEastAsia" w:hAnsiTheme="minorEastAsia" w:hint="eastAsia"/>
          <w:sz w:val="22"/>
          <w:szCs w:val="22"/>
        </w:rPr>
        <w:t>每日收益结转份额</w:t>
      </w:r>
      <w:r>
        <w:rPr>
          <w:rFonts w:asciiTheme="minorEastAsia" w:eastAsiaTheme="minorEastAsia" w:hAnsiTheme="minorEastAsia"/>
          <w:sz w:val="22"/>
          <w:szCs w:val="22"/>
        </w:rPr>
        <w:t>。</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w:t>
      </w:r>
      <w:r>
        <w:rPr>
          <w:rFonts w:asciiTheme="minorEastAsia" w:eastAsiaTheme="minorEastAsia" w:hAnsiTheme="minorEastAsia" w:hint="eastAsia"/>
          <w:sz w:val="22"/>
          <w:szCs w:val="22"/>
        </w:rPr>
        <w:t>）本理财计划根据每日收益情况，以理财计划实际收益为基准，每日为投资者计提当日理财收益</w:t>
      </w:r>
      <w:r>
        <w:rPr>
          <w:rFonts w:asciiTheme="minorEastAsia" w:eastAsiaTheme="minorEastAsia" w:hAnsiTheme="minorEastAsia" w:hint="eastAsia"/>
          <w:b/>
          <w:sz w:val="22"/>
          <w:szCs w:val="22"/>
        </w:rPr>
        <w:t>，每日结转份额。</w:t>
      </w:r>
      <w:r>
        <w:rPr>
          <w:rFonts w:asciiTheme="minorEastAsia" w:eastAsiaTheme="minorEastAsia" w:hAnsiTheme="minorEastAsia" w:hint="eastAsia"/>
          <w:sz w:val="22"/>
          <w:szCs w:val="22"/>
        </w:rPr>
        <w:t>投资者当日收益计提的计算位数保留到小数点后</w:t>
      </w:r>
      <w:r>
        <w:rPr>
          <w:rFonts w:asciiTheme="minorEastAsia" w:eastAsiaTheme="minorEastAsia" w:hAnsiTheme="minorEastAsia"/>
          <w:sz w:val="22"/>
          <w:szCs w:val="22"/>
        </w:rPr>
        <w:t>2位，小数点后第3位按去尾原则处理，因去尾形成的余额进行再次</w:t>
      </w:r>
      <w:r>
        <w:rPr>
          <w:rFonts w:asciiTheme="minorEastAsia" w:eastAsiaTheme="minorEastAsia" w:hAnsiTheme="minorEastAsia" w:hint="eastAsia"/>
          <w:sz w:val="22"/>
          <w:szCs w:val="22"/>
        </w:rPr>
        <w:t>分配，直到分完为止。</w:t>
      </w:r>
    </w:p>
    <w:p w:rsidR="003252C2" w:rsidRDefault="00F10458">
      <w:pPr>
        <w:adjustRightInd w:val="0"/>
        <w:snapToGrid w:val="0"/>
        <w:spacing w:line="300" w:lineRule="auto"/>
        <w:ind w:firstLine="360"/>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）本理财计划根据每日收益情况，将当日收益全部计提，若当日收益大于零时，</w:t>
      </w:r>
      <w:r>
        <w:rPr>
          <w:rFonts w:asciiTheme="minorEastAsia" w:eastAsiaTheme="minorEastAsia" w:hAnsiTheme="minorEastAsia" w:hint="eastAsia"/>
          <w:sz w:val="22"/>
          <w:szCs w:val="22"/>
        </w:rPr>
        <w:lastRenderedPageBreak/>
        <w:t>为投资者记正收益；若当日收益小于零时，为投资者记负收益；若当日收益等于零时，当日投资者不记收益。</w:t>
      </w:r>
    </w:p>
    <w:p w:rsidR="003252C2" w:rsidRDefault="00F10458">
      <w:pPr>
        <w:tabs>
          <w:tab w:val="left" w:pos="36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）本理财计划每日收益支付方式采用每日收益结转份额形式，投资者可通过赎回理财计划份额获得现金收益；若投资者在每日收益支付时，其收益为正值，则增加投资者理财计划份额。</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w:t>
      </w:r>
      <w:r>
        <w:rPr>
          <w:rFonts w:asciiTheme="minorEastAsia" w:eastAsiaTheme="minorEastAsia" w:hAnsiTheme="minorEastAsia" w:hint="eastAsia"/>
          <w:sz w:val="22"/>
          <w:szCs w:val="22"/>
        </w:rPr>
        <w:t>在符合法律法规及理财计划合同约定，并对理财计划份额持有人利益无实质不利影响的前提下，理财计划管理人可提前</w:t>
      </w:r>
      <w:r>
        <w:rPr>
          <w:rFonts w:asciiTheme="minorEastAsia" w:eastAsiaTheme="minorEastAsia" w:hAnsiTheme="minorEastAsia"/>
          <w:sz w:val="22"/>
          <w:szCs w:val="22"/>
        </w:rPr>
        <w:t>2个</w:t>
      </w:r>
      <w:r>
        <w:rPr>
          <w:rFonts w:asciiTheme="minorEastAsia" w:hAnsiTheme="minorEastAsia" w:hint="eastAsia"/>
          <w:sz w:val="22"/>
        </w:rPr>
        <w:t>工作</w:t>
      </w:r>
      <w:r>
        <w:rPr>
          <w:rFonts w:asciiTheme="minorEastAsia" w:hAnsiTheme="minorEastAsia"/>
          <w:sz w:val="22"/>
        </w:rPr>
        <w:t>日</w:t>
      </w:r>
      <w:r>
        <w:rPr>
          <w:rFonts w:asciiTheme="minorEastAsia" w:eastAsiaTheme="minorEastAsia" w:hAnsiTheme="minorEastAsia"/>
          <w:sz w:val="22"/>
          <w:szCs w:val="22"/>
        </w:rPr>
        <w:t>通过公告形式对理财计划期间收益分配原则及方式进行调整。</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b/>
          <w:sz w:val="22"/>
          <w:szCs w:val="22"/>
        </w:rPr>
        <w:t xml:space="preserve">5. </w:t>
      </w:r>
      <w:r>
        <w:rPr>
          <w:rFonts w:asciiTheme="minorEastAsia" w:eastAsiaTheme="minorEastAsia" w:hAnsiTheme="minorEastAsia" w:cs="Arial" w:hint="eastAsia"/>
          <w:b/>
          <w:sz w:val="22"/>
          <w:szCs w:val="22"/>
        </w:rPr>
        <w:t>就终止分配而言，</w:t>
      </w:r>
      <w:r>
        <w:rPr>
          <w:rFonts w:asciiTheme="minorEastAsia" w:eastAsiaTheme="minorEastAsia" w:hAnsiTheme="minorEastAsia" w:cs="Arial" w:hint="eastAsia"/>
          <w:sz w:val="22"/>
          <w:szCs w:val="22"/>
        </w:rPr>
        <w:t>在</w:t>
      </w:r>
      <w:r>
        <w:rPr>
          <w:rFonts w:asciiTheme="minorEastAsia" w:eastAsiaTheme="minorEastAsia" w:hAnsiTheme="minorEastAsia" w:cs="Arial"/>
          <w:sz w:val="22"/>
          <w:szCs w:val="22"/>
        </w:rPr>
        <w:t>理财产品终止日</w:t>
      </w:r>
      <w:r>
        <w:rPr>
          <w:rFonts w:asciiTheme="minorEastAsia" w:eastAsiaTheme="minorEastAsia" w:hAnsiTheme="minorEastAsia" w:cs="Arial" w:hint="eastAsia"/>
          <w:sz w:val="22"/>
          <w:szCs w:val="22"/>
        </w:rPr>
        <w:t>如理财计划项下财产全部变现，管理人在理财计划终止日后的</w:t>
      </w:r>
      <w:r>
        <w:rPr>
          <w:rFonts w:asciiTheme="minorEastAsia" w:eastAsiaTheme="minorEastAsia" w:hAnsiTheme="minorEastAsia" w:cs="Arial"/>
          <w:sz w:val="22"/>
          <w:szCs w:val="22"/>
        </w:rPr>
        <w:t>5个工作日内扣除应由理财计划承担的税费及费用（包括但不限于固定投资管理费、销售服务费、托管费等）后将投资者应得资金（如有，下同）划转至投资者指定账户。</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w:t>
      </w:r>
      <w:r>
        <w:rPr>
          <w:rFonts w:asciiTheme="minorEastAsia" w:eastAsiaTheme="minorEastAsia" w:hAnsiTheme="minorEastAsia" w:cs="Arial" w:hint="eastAsia"/>
          <w:sz w:val="22"/>
          <w:szCs w:val="22"/>
        </w:rPr>
        <w:t>.理财计划终止日，如理财计划项下所投资的标的资产因市场风险、信用风险等原因不能全部变现，则管理人将现金类资产扣除应由理财计划承担的税费及费用（包括但不限于固定投资管理费、销售服务费、托管费等）后，按照各投资者持有理财计划份额比例在</w:t>
      </w:r>
      <w:r>
        <w:rPr>
          <w:rFonts w:asciiTheme="minorEastAsia" w:eastAsiaTheme="minorEastAsia" w:hAnsiTheme="minorEastAsia" w:cs="Arial"/>
          <w:sz w:val="22"/>
          <w:szCs w:val="22"/>
        </w:rPr>
        <w:t>5个工作日内向投资者分配。对于未变现资产部分，管理人以投资者利益最大化的原则，寻求未变现资产变现方式，在资产变现后，扣除应由理财计划承担的费用（包括但不限于固定投资管理费、销售服务费、托管费等，由管理人、第三方垫付的费用）后，按照各投资者持有理财计划份额比例在5个工作日内向投资者分配。</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7</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理财计划项下财产正常变现情况下，投资者理财计划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日应得资金（如有，下同）计算公式如下：</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投资者可得资金 =</w:t>
      </w:r>
      <w:r>
        <w:rPr>
          <w:rFonts w:asciiTheme="minorEastAsia" w:eastAsiaTheme="minorEastAsia" w:hAnsiTheme="minorEastAsia" w:cs="Arial" w:hint="eastAsia"/>
          <w:sz w:val="22"/>
          <w:szCs w:val="22"/>
        </w:rPr>
        <w:t>（投资者理财计划终止日持有理财计划份额÷理财计划终止日总份额）×[（理财计划总财产－理财计划应承担的费用-理财计划应承担的税费（如有）]</w:t>
      </w:r>
    </w:p>
    <w:p w:rsidR="003252C2" w:rsidRDefault="00F10458">
      <w:pPr>
        <w:adjustRightInd w:val="0"/>
        <w:snapToGrid w:val="0"/>
        <w:spacing w:line="300" w:lineRule="auto"/>
        <w:ind w:firstLine="330"/>
        <w:rPr>
          <w:rFonts w:asciiTheme="minorEastAsia" w:eastAsiaTheme="minorEastAsia" w:hAnsiTheme="minorEastAsia" w:cs="Arial"/>
          <w:sz w:val="22"/>
          <w:szCs w:val="22"/>
        </w:rPr>
      </w:pPr>
      <w:r>
        <w:rPr>
          <w:rFonts w:asciiTheme="minorEastAsia" w:eastAsiaTheme="minorEastAsia" w:hAnsiTheme="minorEastAsia" w:cs="Arial"/>
          <w:sz w:val="22"/>
          <w:szCs w:val="22"/>
        </w:rPr>
        <w:t>如因理财计划</w:t>
      </w:r>
      <w:r>
        <w:rPr>
          <w:rFonts w:asciiTheme="minorEastAsia" w:eastAsiaTheme="minorEastAsia" w:hAnsiTheme="minorEastAsia" w:cs="Arial"/>
          <w:bCs/>
          <w:color w:val="000000"/>
          <w:kern w:val="0"/>
          <w:sz w:val="22"/>
          <w:szCs w:val="22"/>
          <w:lang w:val="zh-CN"/>
        </w:rPr>
        <w:t>所投资的标的资产因市场风险、信用风险等原因</w:t>
      </w:r>
      <w:r>
        <w:rPr>
          <w:rFonts w:asciiTheme="minorEastAsia" w:eastAsiaTheme="minorEastAsia" w:hAnsiTheme="minorEastAsia" w:cs="Arial"/>
          <w:sz w:val="22"/>
          <w:szCs w:val="22"/>
        </w:rPr>
        <w:t>，导致资产无法在理财计划</w:t>
      </w:r>
      <w:r>
        <w:rPr>
          <w:rFonts w:asciiTheme="minorEastAsia" w:eastAsiaTheme="minorEastAsia" w:hAnsiTheme="minorEastAsia" w:cs="Arial" w:hint="eastAsia"/>
          <w:sz w:val="22"/>
          <w:szCs w:val="22"/>
        </w:rPr>
        <w:t>终止</w:t>
      </w:r>
      <w:r>
        <w:rPr>
          <w:rFonts w:asciiTheme="minorEastAsia" w:eastAsiaTheme="minorEastAsia" w:hAnsiTheme="minorEastAsia" w:cs="Arial"/>
          <w:sz w:val="22"/>
          <w:szCs w:val="22"/>
        </w:rPr>
        <w:t>日内变现，则投资者应得资</w:t>
      </w:r>
      <w:r>
        <w:rPr>
          <w:rFonts w:asciiTheme="minorEastAsia" w:eastAsiaTheme="minorEastAsia" w:hAnsiTheme="minorEastAsia" w:cs="Arial" w:hint="eastAsia"/>
          <w:sz w:val="22"/>
          <w:szCs w:val="22"/>
        </w:rPr>
        <w:t>金为管理人实</w:t>
      </w:r>
      <w:r>
        <w:rPr>
          <w:rFonts w:asciiTheme="minorEastAsia" w:eastAsiaTheme="minorEastAsia" w:hAnsiTheme="minorEastAsia" w:cs="Arial"/>
          <w:sz w:val="22"/>
          <w:szCs w:val="22"/>
        </w:rPr>
        <w:t>际资产变现金额扣除应由理财计划承担的费用、税费后的剩余金额。</w:t>
      </w:r>
    </w:p>
    <w:p w:rsidR="003252C2" w:rsidRDefault="003252C2">
      <w:pPr>
        <w:rPr>
          <w:rFonts w:ascii="宋体" w:hAnsi="宋体"/>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cs="Arial"/>
          <w:b/>
          <w:kern w:val="0"/>
          <w:sz w:val="22"/>
          <w:szCs w:val="22"/>
        </w:rPr>
      </w:pPr>
      <w:r>
        <w:rPr>
          <w:rFonts w:asciiTheme="minorEastAsia" w:eastAsiaTheme="minorEastAsia" w:hAnsiTheme="minorEastAsia" w:cs="Arial"/>
          <w:b/>
          <w:kern w:val="0"/>
          <w:sz w:val="22"/>
          <w:szCs w:val="22"/>
        </w:rPr>
        <w:t>理财计划延期</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本理财计划的预计到期日为</w:t>
      </w:r>
      <w:r w:rsidR="00CF4C46">
        <w:rPr>
          <w:rFonts w:asciiTheme="minorEastAsia" w:eastAsiaTheme="minorEastAsia" w:hAnsiTheme="minorEastAsia" w:cs="Arial" w:hint="eastAsia"/>
          <w:sz w:val="22"/>
          <w:szCs w:val="22"/>
        </w:rPr>
        <w:t>2055年6月</w:t>
      </w:r>
      <w:r w:rsidR="00581DFF">
        <w:rPr>
          <w:rFonts w:asciiTheme="minorEastAsia" w:eastAsiaTheme="minorEastAsia" w:hAnsiTheme="minorEastAsia" w:cs="Arial" w:hint="eastAsia"/>
          <w:sz w:val="22"/>
          <w:szCs w:val="22"/>
        </w:rPr>
        <w:t>18</w:t>
      </w:r>
      <w:r w:rsidR="00CF4C46">
        <w:rPr>
          <w:rFonts w:asciiTheme="minorEastAsia" w:eastAsiaTheme="minorEastAsia" w:hAnsiTheme="minorEastAsia" w:cs="Arial" w:hint="eastAsia"/>
          <w:sz w:val="22"/>
          <w:szCs w:val="22"/>
        </w:rPr>
        <w:t>日</w:t>
      </w:r>
      <w:r>
        <w:rPr>
          <w:rFonts w:asciiTheme="minorEastAsia" w:eastAsiaTheme="minorEastAsia" w:hAnsiTheme="minorEastAsia" w:cs="Arial"/>
          <w:sz w:val="22"/>
          <w:szCs w:val="22"/>
        </w:rPr>
        <w:t>，逢非</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日顺延至下一</w:t>
      </w:r>
      <w:r>
        <w:rPr>
          <w:rFonts w:asciiTheme="minorEastAsia" w:eastAsiaTheme="minorEastAsia" w:hAnsiTheme="minorEastAsia" w:cs="Arial" w:hint="eastAsia"/>
          <w:sz w:val="22"/>
          <w:szCs w:val="22"/>
        </w:rPr>
        <w:t>工作</w:t>
      </w:r>
      <w:r>
        <w:rPr>
          <w:rFonts w:asciiTheme="minorEastAsia" w:eastAsiaTheme="minorEastAsia" w:hAnsiTheme="minorEastAsia" w:cs="Arial"/>
          <w:sz w:val="22"/>
          <w:szCs w:val="22"/>
        </w:rPr>
        <w:t>日。发生下列任一情形的，理财产品管理人有权以投资者利益最大化为原则，根据市场情况综合判断决定延长产品期限，推迟</w:t>
      </w:r>
      <w:r>
        <w:rPr>
          <w:rFonts w:asciiTheme="minorEastAsia" w:eastAsiaTheme="minorEastAsia" w:hAnsiTheme="minorEastAsia" w:cs="Arial" w:hint="eastAsia"/>
          <w:sz w:val="22"/>
          <w:szCs w:val="22"/>
        </w:rPr>
        <w:t>本理财计划</w:t>
      </w:r>
      <w:r>
        <w:rPr>
          <w:rFonts w:asciiTheme="minorEastAsia" w:eastAsiaTheme="minorEastAsia" w:hAnsiTheme="minorEastAsia" w:cs="Arial"/>
          <w:sz w:val="22"/>
          <w:szCs w:val="22"/>
        </w:rPr>
        <w:t>到期日：</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预计在理财计划预计到期日，理财计划财产因理财计划所投资的资产的</w:t>
      </w:r>
      <w:r>
        <w:rPr>
          <w:rFonts w:asciiTheme="minorEastAsia" w:eastAsiaTheme="minorEastAsia" w:hAnsiTheme="minorEastAsia" w:cs="Arial" w:hint="eastAsia"/>
          <w:sz w:val="22"/>
          <w:szCs w:val="22"/>
        </w:rPr>
        <w:t>市场风险、</w:t>
      </w:r>
      <w:r>
        <w:rPr>
          <w:rFonts w:asciiTheme="minorEastAsia" w:eastAsiaTheme="minorEastAsia" w:hAnsiTheme="minorEastAsia" w:cs="Arial"/>
          <w:sz w:val="22"/>
          <w:szCs w:val="22"/>
        </w:rPr>
        <w:t>信用风险等原因将无法全部变现；</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2.预计理财计划所投资的信托计划、资管计划、私募基金的受托人或管理人将不能按期向招银理财划付理财计划的本金和收益；</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理财计划财产涉及诉讼（或仲裁），且预计诉讼（或仲裁）及执行程序于理财计划预计到期日尚未终结；</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4.</w:t>
      </w:r>
      <w:r>
        <w:rPr>
          <w:rFonts w:asciiTheme="minorEastAsia" w:eastAsiaTheme="minorEastAsia" w:hAnsiTheme="minorEastAsia" w:cs="Arial"/>
          <w:sz w:val="22"/>
          <w:szCs w:val="22"/>
        </w:rPr>
        <w:t>管理人认为有必要延期的其他情形；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5.</w:t>
      </w:r>
      <w:r>
        <w:rPr>
          <w:rFonts w:asciiTheme="minorEastAsia" w:eastAsiaTheme="minorEastAsia" w:hAnsiTheme="minorEastAsia" w:cs="Arial"/>
          <w:sz w:val="22"/>
          <w:szCs w:val="22"/>
        </w:rPr>
        <w:t>法律规定的及本《产品说明书》约定的其他情形。</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Theme="minorEastAsia" w:eastAsiaTheme="minorEastAsia" w:hAnsiTheme="minorEastAsia" w:cs="Arial"/>
          <w:sz w:val="22"/>
          <w:szCs w:val="22"/>
        </w:rPr>
        <w:lastRenderedPageBreak/>
        <w:t>如管理人决定本理财计划延期的，将于理财计划预计到期日前2个工作日通过本《产品说明书》“信息披露”约定的方式，向投资者披露，对延期事项进行说明，并说明延期期限及到期之日，自披露之日即视为相关信息已送达，并据约定生效之日起生效。</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b/>
          <w:sz w:val="22"/>
          <w:szCs w:val="22"/>
        </w:rPr>
        <w:t>理财计划终止与清算</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1.</w:t>
      </w:r>
      <w:r>
        <w:rPr>
          <w:rFonts w:asciiTheme="minorEastAsia" w:eastAsiaTheme="minorEastAsia" w:hAnsiTheme="minorEastAsia" w:cs="Arial"/>
          <w:sz w:val="22"/>
          <w:szCs w:val="22"/>
        </w:rPr>
        <w:t>为避免疑义，理财计划除因本条以下所列理财计划终止事件而终止外，投资者不得提议要求提前终止理财计划。</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（1）理财计划必须终止的事件：</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A发生不可抗力事件导致理财计划不能存续；</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B理财计划被法院或仲裁机构依法撤销、被认定为无效或被判决、裁定终止；</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C理财计划预计到期日届至且未延期的；</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D理财计划延期期限届至且未再次延期，或</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E出现适用法律规定应当终止理财计划的情形。</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（2）理财产品管理人有权决定是否终止的事件：</w:t>
      </w:r>
    </w:p>
    <w:p w:rsidR="003252C2" w:rsidRDefault="00F10458">
      <w:pPr>
        <w:adjustRightInd w:val="0"/>
        <w:snapToGrid w:val="0"/>
        <w:spacing w:line="300" w:lineRule="auto"/>
        <w:rPr>
          <w:rFonts w:asciiTheme="minorEastAsia" w:eastAsiaTheme="minorEastAsia" w:hAnsiTheme="minorEastAsia" w:cs="Arial"/>
          <w:b/>
          <w:sz w:val="22"/>
          <w:szCs w:val="22"/>
        </w:rPr>
      </w:pPr>
      <w:r>
        <w:rPr>
          <w:rFonts w:asciiTheme="minorEastAsia" w:eastAsiaTheme="minorEastAsia" w:hAnsiTheme="minorEastAsia" w:cs="Arial"/>
          <w:sz w:val="22"/>
          <w:szCs w:val="22"/>
        </w:rPr>
        <w:tab/>
        <w:t>A理财存续期内，理财计划连续</w:t>
      </w:r>
      <w:r>
        <w:rPr>
          <w:rFonts w:asciiTheme="minorEastAsia" w:eastAsiaTheme="minorEastAsia" w:hAnsiTheme="minorEastAsia" w:cs="Arial" w:hint="eastAsia"/>
          <w:sz w:val="22"/>
          <w:szCs w:val="22"/>
        </w:rPr>
        <w:t>20个工作日</w:t>
      </w:r>
      <w:r>
        <w:rPr>
          <w:rFonts w:asciiTheme="minorEastAsia" w:eastAsiaTheme="minorEastAsia" w:hAnsiTheme="minorEastAsia" w:cs="Arial"/>
          <w:sz w:val="22"/>
          <w:szCs w:val="22"/>
        </w:rPr>
        <w:t>总份额低于</w:t>
      </w:r>
      <w:r>
        <w:rPr>
          <w:rFonts w:asciiTheme="minorEastAsia" w:eastAsiaTheme="minorEastAsia" w:hAnsiTheme="minorEastAsia" w:cs="Arial" w:hint="eastAsia"/>
          <w:sz w:val="22"/>
          <w:szCs w:val="22"/>
        </w:rPr>
        <w:t>2亿</w:t>
      </w:r>
      <w:r>
        <w:rPr>
          <w:rFonts w:asciiTheme="minorEastAsia" w:eastAsiaTheme="minorEastAsia" w:hAnsiTheme="minorEastAsia" w:cs="Arial"/>
          <w:sz w:val="22"/>
          <w:szCs w:val="22"/>
        </w:rPr>
        <w:t>份；</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B如遇国家金融政策出现重大调整或宏观经济形势发生重大变化并影响到本理财计划的正常运作；</w:t>
      </w:r>
    </w:p>
    <w:p w:rsidR="003252C2" w:rsidRDefault="00F10458">
      <w:pPr>
        <w:tabs>
          <w:tab w:val="left" w:pos="1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C本理财计划投向的金融资产所涉及的相关主体信用恶化，市场利率大幅下滑</w:t>
      </w:r>
      <w:r>
        <w:rPr>
          <w:rFonts w:asciiTheme="minorEastAsia" w:eastAsiaTheme="minorEastAsia" w:hAnsiTheme="minorEastAsia" w:cs="Arial" w:hint="eastAsia"/>
          <w:sz w:val="22"/>
          <w:szCs w:val="22"/>
        </w:rPr>
        <w:t>；</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D理财计划投向的信托计划</w:t>
      </w:r>
      <w:r>
        <w:rPr>
          <w:rFonts w:asciiTheme="minorEastAsia" w:eastAsiaTheme="minorEastAsia" w:hAnsiTheme="minorEastAsia" w:cs="Arial" w:hint="eastAsia"/>
          <w:sz w:val="22"/>
          <w:szCs w:val="22"/>
        </w:rPr>
        <w:t>、</w:t>
      </w:r>
      <w:r>
        <w:rPr>
          <w:rFonts w:asciiTheme="minorEastAsia" w:eastAsiaTheme="minorEastAsia" w:hAnsiTheme="minorEastAsia" w:cs="Arial"/>
          <w:sz w:val="22"/>
          <w:szCs w:val="22"/>
        </w:rPr>
        <w:t>资管计划</w:t>
      </w:r>
      <w:r>
        <w:rPr>
          <w:rFonts w:asciiTheme="minorEastAsia" w:eastAsiaTheme="minorEastAsia" w:hAnsiTheme="minorEastAsia" w:cs="Arial" w:hint="eastAsia"/>
          <w:sz w:val="22"/>
          <w:szCs w:val="22"/>
        </w:rPr>
        <w:t>、私募基金</w:t>
      </w:r>
      <w:r>
        <w:rPr>
          <w:rFonts w:asciiTheme="minorEastAsia" w:eastAsiaTheme="minorEastAsia" w:hAnsiTheme="minorEastAsia" w:cs="Arial"/>
          <w:sz w:val="22"/>
          <w:szCs w:val="22"/>
        </w:rPr>
        <w:t>等提前终止；</w:t>
      </w:r>
    </w:p>
    <w:p w:rsidR="003252C2" w:rsidRDefault="00F10458">
      <w:pPr>
        <w:tabs>
          <w:tab w:val="left" w:pos="274"/>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ab/>
      </w:r>
      <w:r>
        <w:rPr>
          <w:rFonts w:asciiTheme="minorEastAsia" w:eastAsiaTheme="minorEastAsia" w:hAnsiTheme="minorEastAsia" w:cs="Arial"/>
          <w:sz w:val="22"/>
          <w:szCs w:val="22"/>
        </w:rPr>
        <w:tab/>
        <w:t>E</w:t>
      </w:r>
      <w:r>
        <w:rPr>
          <w:rFonts w:asciiTheme="minorEastAsia" w:eastAsiaTheme="minorEastAsia" w:hAnsiTheme="minorEastAsia" w:cs="Arial" w:hint="eastAsia"/>
          <w:sz w:val="22"/>
          <w:szCs w:val="22"/>
        </w:rPr>
        <w:t>本《产品说明书》约定的其他情形或管理人</w:t>
      </w:r>
      <w:r>
        <w:rPr>
          <w:rFonts w:asciiTheme="minorEastAsia" w:eastAsiaTheme="minorEastAsia" w:hAnsiTheme="minorEastAsia" w:cs="Arial"/>
          <w:sz w:val="22"/>
          <w:szCs w:val="22"/>
        </w:rPr>
        <w:t>有合理理由认为将影响本理财计划正常运作的其他情形。</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2.</w:t>
      </w:r>
      <w:r>
        <w:rPr>
          <w:rFonts w:asciiTheme="minorEastAsia" w:eastAsiaTheme="minorEastAsia" w:hAnsiTheme="minorEastAsia" w:cs="Arial"/>
          <w:sz w:val="22"/>
          <w:szCs w:val="22"/>
        </w:rPr>
        <w:t>理财计划不因投资者死亡、丧失民事行为能力、破产而终止；投资者的法定继承人、承继人或指定受益人以及继任管理人承担本理财产品销售文件项下的相应权利和义务。</w:t>
      </w:r>
    </w:p>
    <w:p w:rsidR="003252C2" w:rsidRDefault="00F10458">
      <w:pPr>
        <w:tabs>
          <w:tab w:val="left" w:pos="0"/>
          <w:tab w:val="left" w:pos="36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3.</w:t>
      </w:r>
      <w:r>
        <w:rPr>
          <w:rFonts w:asciiTheme="minorEastAsia" w:eastAsiaTheme="minorEastAsia" w:hAnsiTheme="minorEastAsia" w:cs="Arial"/>
          <w:sz w:val="22"/>
          <w:szCs w:val="22"/>
        </w:rPr>
        <w:t>如理财计划终止，除理财计划必须终止的事件第C款及第D款之外，理财产品管理人应提前2个工作日按照本《产品说明书》“信息披露”约定的方式通知投资者，并披露理财计划终止之日。</w:t>
      </w:r>
    </w:p>
    <w:p w:rsidR="003252C2" w:rsidRDefault="00F10458">
      <w:pPr>
        <w:rPr>
          <w:rFonts w:ascii="宋体" w:hAnsi="宋体"/>
          <w:sz w:val="22"/>
          <w:szCs w:val="22"/>
        </w:rPr>
      </w:pPr>
      <w:r>
        <w:rPr>
          <w:rFonts w:asciiTheme="minorEastAsia" w:eastAsiaTheme="minorEastAsia" w:hAnsiTheme="minorEastAsia" w:cs="Arial" w:hint="eastAsia"/>
          <w:sz w:val="22"/>
          <w:szCs w:val="22"/>
        </w:rPr>
        <w:t>4.理财计划终止后，理财产品管理人将根据届时适用法律规定和监管机构的指引、要求及</w:t>
      </w:r>
      <w:r>
        <w:rPr>
          <w:rFonts w:asciiTheme="minorEastAsia" w:eastAsiaTheme="minorEastAsia" w:hAnsiTheme="minorEastAsia" w:cs="Arial"/>
          <w:sz w:val="22"/>
          <w:szCs w:val="22"/>
        </w:rPr>
        <w:t>/或管理人的规定以及本理财产品销售文件的约定对本理财计划进行清算。</w:t>
      </w:r>
    </w:p>
    <w:p w:rsidR="003252C2" w:rsidRDefault="003252C2">
      <w:pPr>
        <w:rPr>
          <w:rFonts w:ascii="宋体" w:hAnsi="宋体"/>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理财计划费用</w:t>
      </w:r>
    </w:p>
    <w:p w:rsidR="007C6F64" w:rsidRPr="00C54D8F" w:rsidRDefault="007C6F64" w:rsidP="007C6F64">
      <w:pPr>
        <w:widowControl/>
        <w:spacing w:line="300" w:lineRule="auto"/>
        <w:ind w:firstLineChars="200" w:firstLine="442"/>
      </w:pPr>
      <w:r>
        <w:rPr>
          <w:rFonts w:ascii="宋体" w:hAnsi="宋体" w:cs="宋体"/>
          <w:b/>
          <w:sz w:val="22"/>
        </w:rPr>
        <w:t>理财计划费用指投资管理人为成立理财计划及处理理财计划事务目的而支出的所有费用，包括但不限于投资管理人收取的固定投资管理费、浮动投资管理费（如有）、托管人收取的托管费、销售服务机构收取的销售服务费、因投资资产而产生的资产服务费（如有）、交易费用（包括但不限于证券交易佣金、印花税、过户费、撮合费用等）、理财计划验资费、审计费、信息披露费、清算费、执行费用</w:t>
      </w:r>
      <w:r>
        <w:rPr>
          <w:rFonts w:hint="eastAsia"/>
          <w:b/>
          <w:bCs/>
        </w:rPr>
        <w:t>、资产处置费</w:t>
      </w:r>
      <w:r>
        <w:rPr>
          <w:rFonts w:ascii="宋体" w:hAnsi="宋体" w:cs="宋体"/>
          <w:b/>
          <w:sz w:val="22"/>
        </w:rPr>
        <w:t>（包括但不限于处置资产过程中产生的转让费、评估费、中介撮合费、律师费、鉴定费、保险费、结算手续费等其他费用）、</w:t>
      </w:r>
      <w:r>
        <w:rPr>
          <w:rFonts w:ascii="宋体" w:hAnsi="宋体" w:cs="宋体" w:hint="eastAsia"/>
          <w:b/>
          <w:sz w:val="22"/>
        </w:rPr>
        <w:t>银行手续费（包括开销户费、资金划转费、凭证购置费、账户维护费</w:t>
      </w:r>
      <w:r>
        <w:rPr>
          <w:rFonts w:ascii="宋体" w:hAnsi="宋体" w:cs="宋体" w:hint="eastAsia"/>
          <w:b/>
          <w:sz w:val="22"/>
        </w:rPr>
        <w:lastRenderedPageBreak/>
        <w:t>等</w:t>
      </w:r>
      <w:r>
        <w:rPr>
          <w:rFonts w:ascii="宋体" w:hAnsi="宋体" w:cs="宋体"/>
          <w:b/>
          <w:sz w:val="22"/>
        </w:rPr>
        <w:t>）、咨询费</w:t>
      </w:r>
      <w:r>
        <w:rPr>
          <w:rFonts w:ascii="宋体" w:hAnsi="宋体" w:cs="宋体"/>
          <w:b/>
          <w:bCs/>
          <w:sz w:val="22"/>
        </w:rPr>
        <w:t>等</w:t>
      </w:r>
      <w:r>
        <w:rPr>
          <w:rFonts w:ascii="宋体" w:hAnsi="宋体" w:cs="宋体"/>
          <w:b/>
          <w:sz w:val="22"/>
        </w:rPr>
        <w:t>相关费用，以及根据法律法规、监管规定或理财计划销售文件约定，可以在理财计划财产中列支的其他费用，具体以实际发生为准</w:t>
      </w:r>
      <w:r>
        <w:rPr>
          <w:rFonts w:ascii="宋体" w:hAnsi="宋体" w:cs="宋体" w:hint="eastAsia"/>
          <w:b/>
          <w:sz w:val="22"/>
        </w:rPr>
        <w:t>。</w:t>
      </w:r>
    </w:p>
    <w:p w:rsidR="003252C2" w:rsidRPr="00E11F6F" w:rsidRDefault="007C6F64" w:rsidP="007C6F64">
      <w:pPr>
        <w:adjustRightInd w:val="0"/>
        <w:snapToGrid w:val="0"/>
        <w:spacing w:line="300" w:lineRule="auto"/>
        <w:ind w:firstLine="420"/>
        <w:rPr>
          <w:rFonts w:asciiTheme="minorEastAsia" w:eastAsiaTheme="minorEastAsia" w:hAnsiTheme="minorEastAsia"/>
          <w:b/>
          <w:sz w:val="22"/>
          <w:szCs w:val="22"/>
        </w:rPr>
      </w:pPr>
      <w:r>
        <w:rPr>
          <w:rFonts w:ascii="宋体" w:hAnsi="宋体" w:cs="宋体"/>
          <w:b/>
          <w:sz w:val="22"/>
        </w:rPr>
        <w:t>执行费</w:t>
      </w:r>
      <w:r>
        <w:rPr>
          <w:rFonts w:ascii="宋体" w:hAnsi="宋体" w:cs="宋体" w:hint="eastAsia"/>
          <w:b/>
          <w:bCs/>
          <w:sz w:val="22"/>
        </w:rPr>
        <w:t>用指与理财投资或标的资产相关且为理财计划利益目的而进行的诉讼或仲裁等法律程序相关的费用，包括但不限于诉讼（仲裁）费、财产保全费、律师费和执行费，以及因诉讼或仲裁之需要而委托中介机构或司法机构进行鉴定、评估等而产生的费用。</w:t>
      </w:r>
    </w:p>
    <w:p w:rsidR="003252C2" w:rsidRPr="00E11F6F" w:rsidRDefault="007C6F64">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BF1A10">
        <w:rPr>
          <w:rFonts w:ascii="宋体" w:hAnsi="宋体" w:cs="宋体"/>
          <w:b/>
          <w:sz w:val="22"/>
        </w:rPr>
        <w:t>理财计划费用按本《产品说明书》及投资管理人与费用收取方之间的协议约定从理财计划资产中支付。</w:t>
      </w:r>
      <w:r w:rsidRPr="00755B07">
        <w:rPr>
          <w:rFonts w:ascii="宋体" w:hAnsi="宋体" w:cs="宋体" w:hint="eastAsia"/>
          <w:b/>
          <w:sz w:val="22"/>
        </w:rPr>
        <w:t>费用支付方式可由理财计划直接付给相关机构或理财计划支付至管理人统一账户后合并支付给相关机构；也可由理财计划划付至信托计划、资管计划等资管产品的资产账户，并由资管产品的受托人或托管人支付给相关机构。</w:t>
      </w:r>
      <w:r w:rsidRPr="00755B07">
        <w:rPr>
          <w:rFonts w:ascii="宋体" w:hAnsi="宋体" w:cs="宋体"/>
          <w:b/>
          <w:sz w:val="22"/>
        </w:rPr>
        <w:t>投资管理人或理财计划参与方以固有财产先行垫付的，有权从理财计划资产中优先受偿。</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固定投资管理费：</w:t>
      </w:r>
      <w:r w:rsidRPr="00E11F6F">
        <w:rPr>
          <w:rFonts w:asciiTheme="minorEastAsia" w:eastAsiaTheme="minorEastAsia" w:hAnsiTheme="minorEastAsia" w:hint="eastAsia"/>
          <w:b/>
          <w:sz w:val="22"/>
          <w:szCs w:val="22"/>
        </w:rPr>
        <w:t>管理人收取理财计划固定投资管理费，固定投资管理费率为</w:t>
      </w:r>
      <w:r w:rsidRPr="00E11F6F">
        <w:rPr>
          <w:rFonts w:asciiTheme="minorEastAsia" w:eastAsiaTheme="minorEastAsia" w:hAnsiTheme="minorEastAsia"/>
          <w:b/>
          <w:sz w:val="22"/>
          <w:szCs w:val="22"/>
        </w:rPr>
        <w:t>0.30%/年，</w:t>
      </w:r>
      <w:r w:rsidRPr="00E11F6F">
        <w:rPr>
          <w:rFonts w:asciiTheme="minorEastAsia" w:eastAsiaTheme="minorEastAsia" w:hAnsiTheme="minorEastAsia" w:hint="eastAsia"/>
          <w:b/>
          <w:sz w:val="22"/>
          <w:szCs w:val="22"/>
        </w:rPr>
        <w:t>每日计提（含节假日），按月收取。固定投资管理费精确到小数点后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E11F6F"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hint="eastAsia"/>
          <w:b/>
          <w:sz w:val="22"/>
          <w:szCs w:val="22"/>
        </w:rPr>
        <w:t>每日计提的固定投资管理费</w:t>
      </w:r>
      <w:r w:rsidRPr="00E11F6F">
        <w:rPr>
          <w:rFonts w:asciiTheme="minorEastAsia" w:eastAsiaTheme="minorEastAsia" w:hAnsiTheme="minorEastAsia"/>
          <w:b/>
          <w:sz w:val="22"/>
          <w:szCs w:val="22"/>
        </w:rPr>
        <w:t>=</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日理财计划份额×0.30%÷365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销售服务费：</w:t>
      </w:r>
      <w:r w:rsidRPr="00E11F6F">
        <w:rPr>
          <w:rStyle w:val="af5"/>
          <w:rFonts w:asciiTheme="minorEastAsia" w:eastAsiaTheme="minorEastAsia" w:hAnsiTheme="minorEastAsia" w:hint="eastAsia"/>
          <w:b/>
          <w:sz w:val="22"/>
          <w:szCs w:val="22"/>
        </w:rPr>
        <w:t>销售服务</w:t>
      </w:r>
      <w:r w:rsidRPr="00E11F6F">
        <w:rPr>
          <w:rStyle w:val="af5"/>
          <w:rFonts w:asciiTheme="minorEastAsia" w:eastAsiaTheme="minorEastAsia" w:hAnsiTheme="minorEastAsia"/>
          <w:b/>
          <w:sz w:val="22"/>
          <w:szCs w:val="22"/>
        </w:rPr>
        <w:t>机构</w:t>
      </w:r>
      <w:r w:rsidRPr="00E11F6F">
        <w:rPr>
          <w:rFonts w:asciiTheme="minorEastAsia" w:eastAsiaTheme="minorEastAsia" w:hAnsiTheme="minorEastAsia"/>
          <w:b/>
          <w:sz w:val="22"/>
          <w:szCs w:val="22"/>
        </w:rPr>
        <w:t>收取理财计划销售服务费，A</w:t>
      </w:r>
      <w:r w:rsidRPr="00E11F6F">
        <w:rPr>
          <w:rFonts w:asciiTheme="minorEastAsia" w:eastAsiaTheme="minorEastAsia" w:hAnsiTheme="minorEastAsia" w:hint="eastAsia"/>
          <w:b/>
          <w:sz w:val="22"/>
          <w:szCs w:val="22"/>
        </w:rPr>
        <w:t>份额</w:t>
      </w:r>
      <w:r w:rsidRPr="00E11F6F">
        <w:rPr>
          <w:rFonts w:asciiTheme="minorEastAsia" w:eastAsiaTheme="minorEastAsia" w:hAnsiTheme="minorEastAsia"/>
          <w:b/>
          <w:sz w:val="22"/>
          <w:szCs w:val="22"/>
        </w:rPr>
        <w:t>销售服务费率为0.20%/年，</w:t>
      </w:r>
      <w:r w:rsidR="008A7A33" w:rsidRPr="00402F4F">
        <w:rPr>
          <w:rFonts w:asciiTheme="minorEastAsia" w:eastAsiaTheme="minorEastAsia" w:hAnsiTheme="minorEastAsia"/>
          <w:b/>
          <w:sz w:val="22"/>
          <w:szCs w:val="22"/>
        </w:rPr>
        <w:t>C</w:t>
      </w:r>
      <w:r w:rsidR="008A7A33" w:rsidRPr="00402F4F">
        <w:rPr>
          <w:rFonts w:asciiTheme="minorEastAsia" w:eastAsiaTheme="minorEastAsia" w:hAnsiTheme="minorEastAsia" w:hint="eastAsia"/>
          <w:b/>
          <w:sz w:val="22"/>
          <w:szCs w:val="22"/>
        </w:rPr>
        <w:t>份额</w:t>
      </w:r>
      <w:r w:rsidR="008A7A33" w:rsidRPr="00402F4F">
        <w:rPr>
          <w:rFonts w:asciiTheme="minorEastAsia" w:eastAsiaTheme="minorEastAsia" w:hAnsiTheme="minorEastAsia"/>
          <w:b/>
          <w:sz w:val="22"/>
          <w:szCs w:val="22"/>
        </w:rPr>
        <w:t>销</w:t>
      </w:r>
      <w:r w:rsidR="008A7A33" w:rsidRPr="00402F4F">
        <w:rPr>
          <w:rFonts w:asciiTheme="minorEastAsia" w:eastAsiaTheme="minorEastAsia" w:hAnsiTheme="minorEastAsia" w:hint="eastAsia"/>
          <w:b/>
          <w:sz w:val="22"/>
          <w:szCs w:val="22"/>
        </w:rPr>
        <w:t>售</w:t>
      </w:r>
      <w:r w:rsidR="008A7A33" w:rsidRPr="00402F4F">
        <w:rPr>
          <w:rFonts w:asciiTheme="minorEastAsia" w:eastAsiaTheme="minorEastAsia" w:hAnsiTheme="minorEastAsia"/>
          <w:b/>
          <w:sz w:val="22"/>
          <w:szCs w:val="22"/>
        </w:rPr>
        <w:t>服务费率为0.20%/</w:t>
      </w:r>
      <w:r w:rsidR="008A7A3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K</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销售服务费率为0.20%/年，</w:t>
      </w:r>
      <w:r w:rsidR="003D3A83">
        <w:rPr>
          <w:rFonts w:asciiTheme="minorEastAsia" w:eastAsiaTheme="minorEastAsia" w:hAnsiTheme="minorEastAsia"/>
          <w:b/>
          <w:sz w:val="22"/>
          <w:szCs w:val="22"/>
        </w:rPr>
        <w:t>P</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003D3A83">
        <w:rPr>
          <w:rFonts w:asciiTheme="minorEastAsia" w:eastAsiaTheme="minorEastAsia" w:hAnsiTheme="minorEastAsia"/>
          <w:b/>
          <w:sz w:val="22"/>
          <w:szCs w:val="22"/>
        </w:rPr>
        <w:t>TZ</w:t>
      </w:r>
      <w:r w:rsidR="003D3A83" w:rsidRPr="00E11F6F">
        <w:rPr>
          <w:rFonts w:asciiTheme="minorEastAsia" w:eastAsiaTheme="minorEastAsia" w:hAnsiTheme="minorEastAsia" w:hint="eastAsia"/>
          <w:b/>
          <w:sz w:val="22"/>
          <w:szCs w:val="22"/>
        </w:rPr>
        <w:t>份额</w:t>
      </w:r>
      <w:r w:rsidR="003D3A83" w:rsidRPr="00E11F6F">
        <w:rPr>
          <w:rFonts w:asciiTheme="minorEastAsia" w:eastAsiaTheme="minorEastAsia" w:hAnsiTheme="minorEastAsia"/>
          <w:b/>
          <w:sz w:val="22"/>
          <w:szCs w:val="22"/>
        </w:rPr>
        <w:t>销售服务费率为0.</w:t>
      </w:r>
      <w:r w:rsidR="003D3A83">
        <w:rPr>
          <w:rFonts w:asciiTheme="minorEastAsia" w:eastAsiaTheme="minorEastAsia" w:hAnsiTheme="minorEastAsia"/>
          <w:b/>
          <w:sz w:val="22"/>
          <w:szCs w:val="22"/>
        </w:rPr>
        <w:t>3</w:t>
      </w:r>
      <w:r w:rsidR="003D3A83" w:rsidRPr="00E11F6F">
        <w:rPr>
          <w:rFonts w:asciiTheme="minorEastAsia" w:eastAsiaTheme="minorEastAsia" w:hAnsiTheme="minorEastAsia"/>
          <w:b/>
          <w:sz w:val="22"/>
          <w:szCs w:val="22"/>
        </w:rPr>
        <w:t>0%/年，</w:t>
      </w:r>
      <w:r w:rsidR="003D3A83">
        <w:rPr>
          <w:rFonts w:asciiTheme="minorEastAsia" w:eastAsiaTheme="minorEastAsia" w:hAnsiTheme="minorEastAsia"/>
          <w:b/>
          <w:sz w:val="22"/>
          <w:szCs w:val="22"/>
        </w:rPr>
        <w:t>TL</w:t>
      </w:r>
      <w:r w:rsidR="003D3A83" w:rsidRPr="00402F4F">
        <w:rPr>
          <w:rFonts w:asciiTheme="minorEastAsia" w:eastAsiaTheme="minorEastAsia" w:hAnsiTheme="minorEastAsia" w:hint="eastAsia"/>
          <w:b/>
          <w:sz w:val="22"/>
          <w:szCs w:val="22"/>
        </w:rPr>
        <w:t>份额</w:t>
      </w:r>
      <w:r w:rsidR="003D3A83" w:rsidRPr="00402F4F">
        <w:rPr>
          <w:rFonts w:asciiTheme="minorEastAsia" w:eastAsiaTheme="minorEastAsia" w:hAnsiTheme="minorEastAsia"/>
          <w:b/>
          <w:sz w:val="22"/>
          <w:szCs w:val="22"/>
        </w:rPr>
        <w:t>销</w:t>
      </w:r>
      <w:r w:rsidR="003D3A83" w:rsidRPr="00402F4F">
        <w:rPr>
          <w:rFonts w:asciiTheme="minorEastAsia" w:eastAsiaTheme="minorEastAsia" w:hAnsiTheme="minorEastAsia" w:hint="eastAsia"/>
          <w:b/>
          <w:sz w:val="22"/>
          <w:szCs w:val="22"/>
        </w:rPr>
        <w:t>售</w:t>
      </w:r>
      <w:r w:rsidR="003D3A83" w:rsidRPr="00402F4F">
        <w:rPr>
          <w:rFonts w:asciiTheme="minorEastAsia" w:eastAsiaTheme="minorEastAsia" w:hAnsiTheme="minorEastAsia"/>
          <w:b/>
          <w:sz w:val="22"/>
          <w:szCs w:val="22"/>
        </w:rPr>
        <w:t>服务费率为0.20%/</w:t>
      </w:r>
      <w:r w:rsidR="003D3A83" w:rsidRPr="00E234CC">
        <w:rPr>
          <w:rFonts w:asciiTheme="minorEastAsia" w:eastAsiaTheme="minorEastAsia" w:hAnsiTheme="minorEastAsia"/>
          <w:b/>
          <w:sz w:val="22"/>
          <w:szCs w:val="22"/>
        </w:rPr>
        <w:t>年，</w:t>
      </w:r>
      <w:r w:rsidRPr="00E11F6F">
        <w:rPr>
          <w:rFonts w:asciiTheme="minorEastAsia" w:eastAsiaTheme="minorEastAsia" w:hAnsiTheme="minorEastAsia" w:hint="eastAsia"/>
          <w:b/>
          <w:sz w:val="22"/>
          <w:szCs w:val="22"/>
        </w:rPr>
        <w:t>每日计提（含节假日），按月收取。销售服务费精确到小数点后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Default="00F10458">
      <w:pPr>
        <w:adjustRightInd w:val="0"/>
        <w:snapToGrid w:val="0"/>
        <w:spacing w:line="300" w:lineRule="auto"/>
        <w:ind w:firstLine="360"/>
        <w:rPr>
          <w:rFonts w:asciiTheme="minorEastAsia" w:eastAsiaTheme="minorEastAsia" w:hAnsiTheme="minorEastAsia"/>
          <w:b/>
          <w:sz w:val="22"/>
          <w:szCs w:val="22"/>
        </w:rPr>
      </w:pPr>
      <w:r w:rsidRPr="00E11F6F">
        <w:rPr>
          <w:rFonts w:asciiTheme="minorEastAsia" w:eastAsiaTheme="minorEastAsia" w:hAnsiTheme="minorEastAsia"/>
          <w:b/>
          <w:sz w:val="22"/>
          <w:szCs w:val="22"/>
        </w:rPr>
        <w:t>A份额每日计提的销售服务费=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日理财计划A份额×0.20%÷365</w:t>
      </w:r>
    </w:p>
    <w:p w:rsidR="008A7A33" w:rsidRDefault="008A7A33" w:rsidP="008A7A33">
      <w:pPr>
        <w:adjustRightInd w:val="0"/>
        <w:snapToGrid w:val="0"/>
        <w:spacing w:line="300" w:lineRule="auto"/>
        <w:ind w:firstLine="360"/>
        <w:rPr>
          <w:rFonts w:asciiTheme="minorEastAsia" w:eastAsiaTheme="minorEastAsia" w:hAnsiTheme="minorEastAsia"/>
          <w:b/>
          <w:sz w:val="22"/>
          <w:szCs w:val="22"/>
        </w:rPr>
      </w:pPr>
      <w:r w:rsidRPr="00402F4F">
        <w:rPr>
          <w:rFonts w:asciiTheme="minorEastAsia" w:eastAsiaTheme="minorEastAsia" w:hAnsiTheme="minorEastAsia"/>
          <w:b/>
          <w:sz w:val="22"/>
          <w:szCs w:val="22"/>
        </w:rPr>
        <w:t>C</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日理财计划C</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K</w:t>
      </w:r>
      <w:r w:rsidRPr="00E11F6F">
        <w:rPr>
          <w:rFonts w:asciiTheme="minorEastAsia" w:eastAsiaTheme="minorEastAsia" w:hAnsiTheme="minorEastAsia"/>
          <w:b/>
          <w:sz w:val="22"/>
          <w:szCs w:val="22"/>
        </w:rPr>
        <w:t>份额×0.20%÷365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P</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P</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份额每日计提的销售服务费=</w:t>
      </w:r>
      <w:r w:rsidRPr="00E11F6F">
        <w:rPr>
          <w:rFonts w:asciiTheme="minorEastAsia" w:eastAsiaTheme="minorEastAsia" w:hAnsiTheme="minorEastAsia" w:hint="eastAsia"/>
          <w:b/>
          <w:sz w:val="22"/>
          <w:szCs w:val="22"/>
        </w:rPr>
        <w:t>当</w:t>
      </w:r>
      <w:r w:rsidRPr="00E11F6F">
        <w:rPr>
          <w:rFonts w:asciiTheme="minorEastAsia" w:eastAsiaTheme="minorEastAsia" w:hAnsiTheme="minorEastAsia"/>
          <w:b/>
          <w:sz w:val="22"/>
          <w:szCs w:val="22"/>
        </w:rPr>
        <w:t>日理财计划</w:t>
      </w:r>
      <w:r>
        <w:rPr>
          <w:rFonts w:asciiTheme="minorEastAsia" w:eastAsiaTheme="minorEastAsia" w:hAnsiTheme="minorEastAsia"/>
          <w:b/>
          <w:sz w:val="22"/>
          <w:szCs w:val="22"/>
        </w:rPr>
        <w:t>TZ</w:t>
      </w:r>
      <w:r w:rsidRPr="00E11F6F">
        <w:rPr>
          <w:rFonts w:asciiTheme="minorEastAsia" w:eastAsiaTheme="minorEastAsia" w:hAnsiTheme="minorEastAsia"/>
          <w:b/>
          <w:sz w:val="22"/>
          <w:szCs w:val="22"/>
        </w:rPr>
        <w:t>份额×0.</w:t>
      </w:r>
      <w:r>
        <w:rPr>
          <w:rFonts w:asciiTheme="minorEastAsia" w:eastAsiaTheme="minorEastAsia" w:hAnsiTheme="minorEastAsia"/>
          <w:b/>
          <w:sz w:val="22"/>
          <w:szCs w:val="22"/>
        </w:rPr>
        <w:t>3</w:t>
      </w:r>
      <w:r w:rsidRPr="00E11F6F">
        <w:rPr>
          <w:rFonts w:asciiTheme="minorEastAsia" w:eastAsiaTheme="minorEastAsia" w:hAnsiTheme="minorEastAsia"/>
          <w:b/>
          <w:sz w:val="22"/>
          <w:szCs w:val="22"/>
        </w:rPr>
        <w:t>0%÷365</w:t>
      </w:r>
    </w:p>
    <w:p w:rsidR="003D3A83" w:rsidRPr="003D3A83" w:rsidRDefault="003D3A83" w:rsidP="003D3A83">
      <w:pPr>
        <w:adjustRightInd w:val="0"/>
        <w:snapToGrid w:val="0"/>
        <w:spacing w:line="300" w:lineRule="auto"/>
        <w:ind w:firstLine="360"/>
        <w:rPr>
          <w:rFonts w:asciiTheme="minorEastAsia" w:eastAsiaTheme="minorEastAsia" w:hAnsiTheme="minorEastAsia"/>
          <w:b/>
          <w:sz w:val="22"/>
          <w:szCs w:val="22"/>
        </w:rPr>
      </w:pPr>
      <w:r>
        <w:rPr>
          <w:rFonts w:asciiTheme="minorEastAsia" w:eastAsiaTheme="minorEastAsia" w:hAnsiTheme="minorEastAsia"/>
          <w:b/>
          <w:sz w:val="22"/>
          <w:szCs w:val="22"/>
        </w:rPr>
        <w:t>TL</w:t>
      </w:r>
      <w:r w:rsidRPr="00402F4F">
        <w:rPr>
          <w:rFonts w:asciiTheme="minorEastAsia" w:eastAsiaTheme="minorEastAsia" w:hAnsiTheme="minorEastAsia" w:hint="eastAsia"/>
          <w:b/>
          <w:sz w:val="22"/>
          <w:szCs w:val="22"/>
        </w:rPr>
        <w:t>份额每日计提的销售服务费</w:t>
      </w:r>
      <w:r w:rsidRPr="00402F4F">
        <w:rPr>
          <w:rFonts w:asciiTheme="minorEastAsia" w:eastAsiaTheme="minorEastAsia" w:hAnsiTheme="minorEastAsia"/>
          <w:b/>
          <w:sz w:val="22"/>
          <w:szCs w:val="22"/>
        </w:rPr>
        <w:t>=</w:t>
      </w:r>
      <w:r w:rsidRPr="00402F4F">
        <w:rPr>
          <w:rFonts w:asciiTheme="minorEastAsia" w:eastAsiaTheme="minorEastAsia" w:hAnsiTheme="minorEastAsia" w:hint="eastAsia"/>
          <w:b/>
          <w:sz w:val="22"/>
          <w:szCs w:val="22"/>
        </w:rPr>
        <w:t>当</w:t>
      </w:r>
      <w:r w:rsidRPr="00E234CC">
        <w:rPr>
          <w:rFonts w:asciiTheme="minorEastAsia" w:eastAsiaTheme="minorEastAsia" w:hAnsiTheme="minorEastAsia"/>
          <w:b/>
          <w:sz w:val="22"/>
          <w:szCs w:val="22"/>
        </w:rPr>
        <w:t>日理财计划</w:t>
      </w:r>
      <w:r>
        <w:rPr>
          <w:rFonts w:asciiTheme="minorEastAsia" w:eastAsiaTheme="minorEastAsia" w:hAnsiTheme="minorEastAsia"/>
          <w:b/>
          <w:sz w:val="22"/>
          <w:szCs w:val="22"/>
        </w:rPr>
        <w:t>TL</w:t>
      </w:r>
      <w:r w:rsidRPr="00E234CC">
        <w:rPr>
          <w:rFonts w:asciiTheme="minorEastAsia" w:eastAsiaTheme="minorEastAsia" w:hAnsiTheme="minorEastAsia" w:hint="eastAsia"/>
          <w:b/>
          <w:sz w:val="22"/>
          <w:szCs w:val="22"/>
        </w:rPr>
        <w:t>份额</w:t>
      </w:r>
      <w:r w:rsidRPr="00E234CC">
        <w:rPr>
          <w:rFonts w:asciiTheme="minorEastAsia" w:eastAsiaTheme="minorEastAsia" w:hAnsiTheme="minorEastAsia"/>
          <w:b/>
          <w:sz w:val="22"/>
          <w:szCs w:val="22"/>
        </w:rPr>
        <w:t>×0.20%÷365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b/>
          <w:sz w:val="22"/>
          <w:szCs w:val="22"/>
        </w:rPr>
      </w:pPr>
      <w:r w:rsidRPr="00F0356A">
        <w:rPr>
          <w:rFonts w:asciiTheme="minorEastAsia" w:eastAsiaTheme="minorEastAsia" w:hAnsiTheme="minorEastAsia"/>
          <w:b/>
          <w:sz w:val="22"/>
          <w:szCs w:val="22"/>
        </w:rPr>
        <w:t>托管费：</w:t>
      </w:r>
      <w:r w:rsidRPr="00E11F6F">
        <w:rPr>
          <w:rStyle w:val="af5"/>
          <w:rFonts w:asciiTheme="minorEastAsia" w:eastAsiaTheme="minorEastAsia" w:hAnsiTheme="minorEastAsia" w:hint="eastAsia"/>
          <w:b/>
          <w:sz w:val="22"/>
          <w:szCs w:val="22"/>
        </w:rPr>
        <w:t>托管人</w:t>
      </w:r>
      <w:r w:rsidRPr="00E11F6F">
        <w:rPr>
          <w:rFonts w:asciiTheme="minorEastAsia" w:eastAsiaTheme="minorEastAsia" w:hAnsiTheme="minorEastAsia"/>
          <w:b/>
          <w:sz w:val="22"/>
          <w:szCs w:val="22"/>
        </w:rPr>
        <w:t>对本理财计划收取托管费，托管费率为0.02%/年，</w:t>
      </w:r>
      <w:r w:rsidRPr="00E11F6F">
        <w:rPr>
          <w:rFonts w:asciiTheme="minorEastAsia" w:eastAsiaTheme="minorEastAsia" w:hAnsiTheme="minorEastAsia" w:hint="eastAsia"/>
          <w:b/>
          <w:sz w:val="22"/>
          <w:szCs w:val="22"/>
        </w:rPr>
        <w:t>每日计提（含节假日），按月收取。托管费精确到小数点后</w:t>
      </w:r>
      <w:r w:rsidRPr="00E11F6F">
        <w:rPr>
          <w:rFonts w:asciiTheme="minorEastAsia" w:eastAsiaTheme="minorEastAsia" w:hAnsiTheme="minorEastAsia"/>
          <w:b/>
          <w:sz w:val="22"/>
          <w:szCs w:val="22"/>
        </w:rPr>
        <w:t>2位，小数点2位以后</w:t>
      </w:r>
      <w:r w:rsidRPr="00E11F6F">
        <w:rPr>
          <w:rFonts w:asciiTheme="minorEastAsia" w:eastAsiaTheme="minorEastAsia" w:hAnsiTheme="minorEastAsia" w:hint="eastAsia"/>
          <w:b/>
          <w:sz w:val="22"/>
          <w:szCs w:val="22"/>
        </w:rPr>
        <w:t>舍位</w:t>
      </w:r>
      <w:r w:rsidRPr="00E11F6F">
        <w:rPr>
          <w:rFonts w:asciiTheme="minorEastAsia" w:eastAsiaTheme="minorEastAsia" w:hAnsiTheme="minorEastAsia"/>
          <w:b/>
          <w:sz w:val="22"/>
          <w:szCs w:val="22"/>
        </w:rPr>
        <w:t>。</w:t>
      </w:r>
    </w:p>
    <w:p w:rsidR="003252C2" w:rsidRPr="00F0356A" w:rsidRDefault="00F10458">
      <w:pPr>
        <w:adjustRightInd w:val="0"/>
        <w:snapToGrid w:val="0"/>
        <w:spacing w:line="300" w:lineRule="auto"/>
        <w:ind w:firstLine="360"/>
        <w:rPr>
          <w:rFonts w:asciiTheme="minorEastAsia" w:eastAsiaTheme="minorEastAsia" w:hAnsiTheme="minorEastAsia"/>
          <w:b/>
          <w:sz w:val="22"/>
          <w:szCs w:val="22"/>
        </w:rPr>
      </w:pPr>
      <w:r w:rsidRPr="00F0356A">
        <w:rPr>
          <w:rFonts w:asciiTheme="minorEastAsia" w:eastAsiaTheme="minorEastAsia" w:hAnsiTheme="minorEastAsia" w:hint="eastAsia"/>
          <w:b/>
          <w:sz w:val="22"/>
          <w:szCs w:val="22"/>
        </w:rPr>
        <w:t>每日计提的托管费</w:t>
      </w:r>
      <w:r w:rsidRPr="00F0356A">
        <w:rPr>
          <w:rFonts w:asciiTheme="minorEastAsia" w:eastAsiaTheme="minorEastAsia" w:hAnsiTheme="minorEastAsia"/>
          <w:b/>
          <w:sz w:val="22"/>
          <w:szCs w:val="22"/>
        </w:rPr>
        <w:t>=</w:t>
      </w:r>
      <w:r w:rsidRPr="00F0356A">
        <w:rPr>
          <w:rFonts w:asciiTheme="minorEastAsia" w:eastAsiaTheme="minorEastAsia" w:hAnsiTheme="minorEastAsia" w:hint="eastAsia"/>
          <w:b/>
          <w:sz w:val="22"/>
          <w:szCs w:val="22"/>
        </w:rPr>
        <w:t>当</w:t>
      </w:r>
      <w:r w:rsidRPr="00F0356A">
        <w:rPr>
          <w:rFonts w:asciiTheme="minorEastAsia" w:eastAsiaTheme="minorEastAsia" w:hAnsiTheme="minorEastAsia"/>
          <w:b/>
          <w:sz w:val="22"/>
          <w:szCs w:val="22"/>
        </w:rPr>
        <w:t>日理财计划份额×0.02%÷365</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F0356A">
        <w:rPr>
          <w:rFonts w:asciiTheme="minorEastAsia" w:eastAsiaTheme="minorEastAsia" w:hAnsiTheme="minorEastAsia" w:cs="Arial" w:hint="eastAsia"/>
          <w:b/>
          <w:sz w:val="22"/>
          <w:szCs w:val="22"/>
        </w:rPr>
        <w:t>因投资资产而产生的资产服务费（如有）：本理财计划在投资运作过程中，所投资</w:t>
      </w:r>
      <w:r w:rsidRPr="00E11F6F">
        <w:rPr>
          <w:rFonts w:asciiTheme="minorEastAsia" w:eastAsiaTheme="minorEastAsia" w:hAnsiTheme="minorEastAsia" w:cs="Arial" w:hint="eastAsia"/>
          <w:b/>
          <w:sz w:val="22"/>
          <w:szCs w:val="22"/>
        </w:rPr>
        <w:t>产可能因招商银行股份有限公司或其它机构提供管理服务而产生资产服务费等相关费用。管理人将根据费用实际发生额支付，并按照产品说明书约定的信息披露方式予以披露。</w:t>
      </w:r>
    </w:p>
    <w:p w:rsidR="003252C2" w:rsidRPr="00E11F6F" w:rsidRDefault="00F10458">
      <w:pPr>
        <w:numPr>
          <w:ilvl w:val="0"/>
          <w:numId w:val="8"/>
        </w:numPr>
        <w:tabs>
          <w:tab w:val="left" w:pos="0"/>
        </w:tabs>
        <w:adjustRightInd w:val="0"/>
        <w:snapToGrid w:val="0"/>
        <w:spacing w:line="300" w:lineRule="auto"/>
        <w:rPr>
          <w:rFonts w:asciiTheme="minorEastAsia" w:eastAsiaTheme="minorEastAsia" w:hAnsiTheme="minorEastAsia" w:cs="Arial"/>
          <w:b/>
          <w:sz w:val="22"/>
          <w:szCs w:val="22"/>
        </w:rPr>
      </w:pPr>
      <w:r w:rsidRPr="00E11F6F">
        <w:rPr>
          <w:rFonts w:asciiTheme="minorEastAsia" w:eastAsiaTheme="minorEastAsia" w:hAnsiTheme="minorEastAsia" w:cs="Arial"/>
          <w:b/>
          <w:sz w:val="22"/>
          <w:szCs w:val="22"/>
        </w:rPr>
        <w:t>其他费用：</w:t>
      </w:r>
      <w:r w:rsidR="00A83A8C">
        <w:rPr>
          <w:rFonts w:ascii="宋体" w:hAnsi="宋体" w:cs="宋体"/>
          <w:b/>
          <w:sz w:val="22"/>
        </w:rPr>
        <w:t>交易费用（包括但不限于交易佣金、印花税、过户费、撮合费用等）、理财计划验资费、审计费、信息披露费、清算费、执行费用</w:t>
      </w:r>
      <w:r w:rsidR="00A83A8C">
        <w:rPr>
          <w:rFonts w:ascii="宋体" w:hAnsi="宋体" w:cs="宋体" w:hint="eastAsia"/>
          <w:b/>
          <w:sz w:val="22"/>
        </w:rPr>
        <w:t>、资产处置费（包括但不限于处置资产过程中产生的转让费、评估费、中介撮合费、律师费、鉴定费、保险费、结算手续费等其他费用）、银行手续费（包括开销户费、资金划转费、凭证购置费、账户维护费等）、咨询费</w:t>
      </w:r>
      <w:r w:rsidR="00A83A8C">
        <w:rPr>
          <w:rFonts w:ascii="宋体" w:hAnsi="宋体" w:cs="宋体"/>
          <w:b/>
          <w:sz w:val="22"/>
        </w:rPr>
        <w:t>等相关费用，以及根据法律法规、监管规定或理财计划销售文件约定，可以在理财计划财产中列支的其他费用，具体以实际发生为准</w:t>
      </w:r>
      <w:r w:rsidR="00A83A8C">
        <w:rPr>
          <w:rFonts w:ascii="宋体" w:hAnsi="宋体" w:cs="宋体" w:hint="eastAsia"/>
          <w:b/>
          <w:sz w:val="22"/>
        </w:rPr>
        <w:t>。</w:t>
      </w:r>
    </w:p>
    <w:p w:rsidR="003252C2" w:rsidRDefault="003252C2">
      <w:pPr>
        <w:adjustRightInd w:val="0"/>
        <w:snapToGrid w:val="0"/>
        <w:spacing w:line="300" w:lineRule="auto"/>
        <w:ind w:firstLineChars="190" w:firstLine="418"/>
        <w:rPr>
          <w:rFonts w:asciiTheme="minorEastAsia" w:eastAsiaTheme="minorEastAsia" w:hAnsiTheme="minorEastAsia"/>
          <w:sz w:val="22"/>
          <w:szCs w:val="22"/>
        </w:rPr>
      </w:pPr>
    </w:p>
    <w:p w:rsidR="003252C2" w:rsidRDefault="00F10458">
      <w:pPr>
        <w:adjustRightInd w:val="0"/>
        <w:snapToGrid w:val="0"/>
        <w:spacing w:line="300" w:lineRule="auto"/>
        <w:ind w:firstLineChars="200" w:firstLine="442"/>
        <w:rPr>
          <w:rFonts w:ascii="Arial" w:eastAsiaTheme="minorEastAsia" w:hAnsi="Arial" w:cs="Arial"/>
          <w:b/>
          <w:sz w:val="22"/>
        </w:rPr>
      </w:pPr>
      <w:r>
        <w:rPr>
          <w:rFonts w:ascii="Arial" w:eastAsiaTheme="minorEastAsia" w:hAnsi="Arial" w:cs="Arial"/>
          <w:b/>
          <w:sz w:val="22"/>
        </w:rPr>
        <w:t>招银理财有权根据国家政策和适用法律的规定，对本理财计划费用名目、收费条件、收费标准和收费方式进行调整，并提前</w:t>
      </w:r>
      <w:r>
        <w:rPr>
          <w:rFonts w:ascii="宋体" w:hAnsi="宋体" w:hint="eastAsia"/>
          <w:b/>
          <w:sz w:val="22"/>
        </w:rPr>
        <w:t>2</w:t>
      </w:r>
      <w:r>
        <w:rPr>
          <w:rFonts w:ascii="Arial" w:eastAsiaTheme="minorEastAsia" w:hAnsi="Arial" w:cs="Arial"/>
          <w:b/>
          <w:sz w:val="22"/>
        </w:rPr>
        <w:t>个工作日按照本《产品说明书》</w:t>
      </w:r>
      <w:r>
        <w:rPr>
          <w:rFonts w:ascii="Arial" w:eastAsiaTheme="minorEastAsia" w:hAnsi="Arial" w:cs="Arial"/>
          <w:b/>
          <w:sz w:val="22"/>
        </w:rPr>
        <w:t>“</w:t>
      </w:r>
      <w:r>
        <w:rPr>
          <w:rFonts w:ascii="Arial" w:eastAsiaTheme="minorEastAsia" w:hAnsi="Arial" w:cs="Arial"/>
          <w:b/>
          <w:sz w:val="22"/>
        </w:rPr>
        <w:t>信息披露</w:t>
      </w:r>
      <w:r>
        <w:rPr>
          <w:rFonts w:ascii="Arial" w:eastAsiaTheme="minorEastAsia" w:hAnsi="Arial" w:cs="Arial"/>
          <w:b/>
          <w:sz w:val="22"/>
        </w:rPr>
        <w:t>”</w:t>
      </w:r>
      <w:r>
        <w:rPr>
          <w:rFonts w:ascii="Arial" w:eastAsiaTheme="minorEastAsia" w:hAnsi="Arial" w:cs="Arial"/>
          <w:b/>
          <w:sz w:val="22"/>
        </w:rPr>
        <w:t>章节约定的方式向投资者进行披露。</w:t>
      </w:r>
      <w:r>
        <w:rPr>
          <w:rFonts w:ascii="宋体" w:hAnsi="宋体" w:hint="eastAsia"/>
          <w:b/>
          <w:sz w:val="22"/>
        </w:rPr>
        <w:t>其中，对于招银理财增加费用名目、提高收费标准等对投资者利益产生实质影响的情形，</w:t>
      </w:r>
      <w:r>
        <w:rPr>
          <w:rFonts w:ascii="Arial" w:eastAsiaTheme="minorEastAsia" w:hAnsi="Arial" w:cs="Arial"/>
          <w:b/>
          <w:sz w:val="22"/>
        </w:rPr>
        <w:t>投资者如不同意调整的，可在招银理财信息披露的补充或修改后的相关业务调整生效前赎回本理财计划</w:t>
      </w:r>
      <w:r>
        <w:rPr>
          <w:rStyle w:val="af5"/>
          <w:rFonts w:ascii="Arial" w:eastAsiaTheme="minorEastAsia" w:hAnsi="Arial" w:cs="Arial"/>
          <w:b/>
          <w:sz w:val="22"/>
        </w:rPr>
        <w:t>【此种情况下招银理财将可能开放特殊赎回期间，具体以届时招银理财的信息披露为准】</w:t>
      </w:r>
      <w:r>
        <w:rPr>
          <w:rFonts w:ascii="Arial" w:eastAsiaTheme="minorEastAsia" w:hAnsi="Arial" w:cs="Arial"/>
          <w:b/>
          <w:sz w:val="22"/>
        </w:rPr>
        <w:t>，逾期未赎回的视为同意接受前述调整且继续持有本理财计划。</w:t>
      </w:r>
    </w:p>
    <w:p w:rsidR="003252C2" w:rsidRDefault="003252C2">
      <w:pPr>
        <w:autoSpaceDE w:val="0"/>
        <w:autoSpaceDN w:val="0"/>
        <w:adjustRightInd w:val="0"/>
        <w:snapToGrid w:val="0"/>
        <w:spacing w:line="300" w:lineRule="auto"/>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color w:val="000000"/>
          <w:kern w:val="0"/>
          <w:sz w:val="22"/>
          <w:szCs w:val="22"/>
          <w:lang w:val="zh-CN"/>
        </w:rPr>
      </w:pPr>
      <w:r>
        <w:rPr>
          <w:rFonts w:asciiTheme="minorEastAsia" w:eastAsiaTheme="minorEastAsia" w:hAnsiTheme="minorEastAsia" w:cs="Arial"/>
          <w:b/>
          <w:bCs/>
          <w:color w:val="000000"/>
          <w:kern w:val="0"/>
          <w:sz w:val="22"/>
          <w:szCs w:val="22"/>
          <w:lang w:val="zh-CN"/>
        </w:rPr>
        <w:t>保密</w:t>
      </w:r>
    </w:p>
    <w:p w:rsidR="003252C2" w:rsidRDefault="00F10458">
      <w:pPr>
        <w:autoSpaceDE w:val="0"/>
        <w:autoSpaceDN w:val="0"/>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sz w:val="22"/>
          <w:szCs w:val="22"/>
        </w:rPr>
        <w:t>理财产品管理人向投资者披露的或投资者因购买本理财产品而获知的有关本理财产品的全部信息（包括但不限于本理财产品销售文件、本理财产品投资安排的全部信息）及本理财产品参与主体的未对外公开的信息均为保密信息。投资者有义务对上述保密信息采取保密措施，未经理财产品管理人同意，投资者不得向任何第三方披露该等保密信息，否则应承担相应违约责任，但以下情形除外：（1）向与本次投资有关而需要获知以上信息并受保密协议约束的律师、会计师、顾问和咨询人员披露的；（2）根据适用的法律法规的要求，向有关政府部门、监管机构或者管理机构（包括证券交易所）披露的；（3）本产品说明书另有约定的。前述保密义务不因本理财产品销售文件或相关协议的无效、被撤销、终止而受影响。</w:t>
      </w:r>
    </w:p>
    <w:p w:rsidR="003252C2" w:rsidRDefault="003252C2">
      <w:pPr>
        <w:autoSpaceDE w:val="0"/>
        <w:autoSpaceDN w:val="0"/>
        <w:adjustRightInd w:val="0"/>
        <w:snapToGrid w:val="0"/>
        <w:spacing w:line="300" w:lineRule="auto"/>
        <w:rPr>
          <w:rFonts w:asciiTheme="minorEastAsia" w:eastAsiaTheme="minorEastAsia" w:hAnsiTheme="minorEastAsia" w:cs="Arial"/>
          <w:sz w:val="22"/>
          <w:szCs w:val="22"/>
        </w:rPr>
      </w:pPr>
    </w:p>
    <w:p w:rsidR="003252C2" w:rsidRDefault="00F10458">
      <w:pPr>
        <w:autoSpaceDE w:val="0"/>
        <w:autoSpaceDN w:val="0"/>
        <w:adjustRightInd w:val="0"/>
        <w:snapToGrid w:val="0"/>
        <w:spacing w:line="300" w:lineRule="auto"/>
        <w:jc w:val="left"/>
        <w:outlineLvl w:val="1"/>
        <w:rPr>
          <w:rFonts w:asciiTheme="minorEastAsia" w:eastAsiaTheme="minorEastAsia" w:hAnsiTheme="minorEastAsia" w:cs="Arial"/>
          <w:b/>
          <w:bCs/>
          <w:color w:val="000000"/>
          <w:kern w:val="0"/>
          <w:sz w:val="22"/>
          <w:szCs w:val="22"/>
          <w:lang w:val="zh-CN"/>
        </w:rPr>
      </w:pPr>
      <w:r>
        <w:rPr>
          <w:rFonts w:asciiTheme="minorEastAsia" w:eastAsiaTheme="minorEastAsia" w:hAnsiTheme="minorEastAsia" w:cs="Arial"/>
          <w:b/>
          <w:bCs/>
          <w:color w:val="000000"/>
          <w:kern w:val="0"/>
          <w:sz w:val="22"/>
          <w:szCs w:val="22"/>
          <w:lang w:val="zh-CN"/>
        </w:rPr>
        <w:t>法律适用</w:t>
      </w:r>
      <w:r>
        <w:rPr>
          <w:rFonts w:asciiTheme="minorEastAsia" w:eastAsiaTheme="minorEastAsia" w:hAnsiTheme="minorEastAsia" w:cs="Arial" w:hint="eastAsia"/>
          <w:b/>
          <w:bCs/>
          <w:color w:val="000000"/>
          <w:kern w:val="0"/>
          <w:sz w:val="22"/>
          <w:szCs w:val="22"/>
          <w:lang w:val="zh-CN"/>
        </w:rPr>
        <w:t>和争议解决</w:t>
      </w:r>
    </w:p>
    <w:p w:rsidR="003252C2" w:rsidRPr="00E11F6F" w:rsidRDefault="00F10458">
      <w:pPr>
        <w:autoSpaceDE w:val="0"/>
        <w:autoSpaceDN w:val="0"/>
        <w:adjustRightInd w:val="0"/>
        <w:snapToGrid w:val="0"/>
        <w:spacing w:line="300" w:lineRule="auto"/>
        <w:ind w:firstLine="420"/>
        <w:rPr>
          <w:rFonts w:asciiTheme="minorEastAsia" w:eastAsiaTheme="minorEastAsia" w:hAnsiTheme="minorEastAsia" w:cs="Arial"/>
          <w:b/>
          <w:sz w:val="28"/>
          <w:szCs w:val="28"/>
        </w:rPr>
      </w:pPr>
      <w:r w:rsidRPr="00E11F6F">
        <w:rPr>
          <w:rFonts w:asciiTheme="minorEastAsia" w:eastAsiaTheme="minorEastAsia" w:hAnsiTheme="minorEastAsia" w:cs="Arial" w:hint="eastAsia"/>
          <w:b/>
          <w:sz w:val="28"/>
          <w:szCs w:val="28"/>
        </w:rPr>
        <w:t>理财计划合同的订立、生效、履行、解释、修改和终止等事项的适用法律和争议解决方式按照《投资协议书》的相关约定执行。</w:t>
      </w:r>
    </w:p>
    <w:p w:rsidR="003252C2" w:rsidRDefault="003252C2">
      <w:pPr>
        <w:autoSpaceDE w:val="0"/>
        <w:autoSpaceDN w:val="0"/>
        <w:adjustRightInd w:val="0"/>
        <w:snapToGrid w:val="0"/>
        <w:spacing w:line="300" w:lineRule="auto"/>
        <w:ind w:firstLine="420"/>
        <w:rPr>
          <w:rFonts w:asciiTheme="minorEastAsia" w:eastAsiaTheme="minorEastAsia" w:hAnsiTheme="minorEastAsia"/>
          <w:b/>
          <w:sz w:val="22"/>
          <w:szCs w:val="22"/>
        </w:rPr>
      </w:pPr>
    </w:p>
    <w:p w:rsidR="003252C2" w:rsidRDefault="00F10458">
      <w:pPr>
        <w:autoSpaceDE w:val="0"/>
        <w:autoSpaceDN w:val="0"/>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理财计划</w:t>
      </w:r>
      <w:r>
        <w:rPr>
          <w:rFonts w:asciiTheme="minorEastAsia" w:eastAsiaTheme="minorEastAsia" w:hAnsiTheme="minorEastAsia"/>
          <w:b/>
          <w:sz w:val="22"/>
          <w:szCs w:val="22"/>
        </w:rPr>
        <w:t>税费</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税费</w:t>
      </w:r>
      <w:r>
        <w:rPr>
          <w:rFonts w:asciiTheme="minorEastAsia" w:eastAsiaTheme="minorEastAsia" w:hAnsiTheme="minorEastAsia" w:hint="eastAsia"/>
          <w:sz w:val="22"/>
          <w:szCs w:val="22"/>
        </w:rPr>
        <w:t>在理财计划</w:t>
      </w:r>
      <w:r>
        <w:rPr>
          <w:rFonts w:asciiTheme="minorEastAsia" w:eastAsiaTheme="minorEastAsia" w:hAnsiTheme="minorEastAsia"/>
          <w:sz w:val="22"/>
          <w:szCs w:val="22"/>
        </w:rPr>
        <w:t>资产中列支</w:t>
      </w:r>
      <w:r>
        <w:rPr>
          <w:rFonts w:asciiTheme="minorEastAsia" w:eastAsiaTheme="minorEastAsia" w:hAnsiTheme="minorEastAsia" w:hint="eastAsia"/>
          <w:sz w:val="22"/>
          <w:szCs w:val="22"/>
        </w:rPr>
        <w:t>。</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除</w:t>
      </w:r>
      <w:r>
        <w:rPr>
          <w:rFonts w:asciiTheme="minorEastAsia" w:eastAsiaTheme="minorEastAsia" w:hAnsiTheme="minorEastAsia" w:hint="eastAsia"/>
          <w:sz w:val="22"/>
          <w:szCs w:val="22"/>
        </w:rPr>
        <w:t>理财计划文件</w:t>
      </w:r>
      <w:r>
        <w:rPr>
          <w:rFonts w:asciiTheme="minorEastAsia" w:eastAsiaTheme="minorEastAsia" w:hAnsiTheme="minorEastAsia"/>
          <w:sz w:val="22"/>
          <w:szCs w:val="22"/>
        </w:rPr>
        <w:t>另有约定外，</w:t>
      </w:r>
      <w:r>
        <w:rPr>
          <w:rFonts w:asciiTheme="minorEastAsia" w:eastAsiaTheme="minorEastAsia" w:hAnsiTheme="minorEastAsia" w:hint="eastAsia"/>
          <w:sz w:val="22"/>
          <w:szCs w:val="22"/>
        </w:rPr>
        <w:t>理财计划</w:t>
      </w:r>
      <w:r>
        <w:rPr>
          <w:rFonts w:asciiTheme="minorEastAsia" w:eastAsiaTheme="minorEastAsia" w:hAnsiTheme="minorEastAsia"/>
          <w:sz w:val="22"/>
          <w:szCs w:val="22"/>
        </w:rPr>
        <w:t>运作过程中涉及的各纳税主体，依照适用法律规定自行履行纳税义务。</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sz w:val="22"/>
          <w:szCs w:val="22"/>
        </w:rPr>
        <w:t>若适用法律要求</w:t>
      </w:r>
      <w:r>
        <w:rPr>
          <w:rFonts w:asciiTheme="minorEastAsia" w:eastAsiaTheme="minorEastAsia" w:hAnsiTheme="minorEastAsia" w:hint="eastAsia"/>
          <w:sz w:val="22"/>
          <w:szCs w:val="22"/>
        </w:rPr>
        <w:t>投资管理人</w:t>
      </w:r>
      <w:r>
        <w:rPr>
          <w:rFonts w:asciiTheme="minorEastAsia" w:eastAsiaTheme="minorEastAsia" w:hAnsiTheme="minorEastAsia"/>
          <w:sz w:val="22"/>
          <w:szCs w:val="22"/>
        </w:rPr>
        <w:t>代扣代缴</w:t>
      </w:r>
      <w:r>
        <w:rPr>
          <w:rFonts w:asciiTheme="minorEastAsia" w:eastAsiaTheme="minorEastAsia" w:hAnsiTheme="minorEastAsia" w:hint="eastAsia"/>
          <w:sz w:val="22"/>
          <w:szCs w:val="22"/>
        </w:rPr>
        <w:t>理财产品份额</w:t>
      </w:r>
      <w:r>
        <w:rPr>
          <w:rFonts w:asciiTheme="minorEastAsia" w:eastAsiaTheme="minorEastAsia" w:hAnsiTheme="minorEastAsia"/>
          <w:sz w:val="22"/>
          <w:szCs w:val="22"/>
        </w:rPr>
        <w:t>持有人应纳税款的，管理人将依法履行扣缴义务，</w:t>
      </w:r>
      <w:r>
        <w:rPr>
          <w:rFonts w:asciiTheme="minorEastAsia" w:eastAsiaTheme="minorEastAsia" w:hAnsiTheme="minorEastAsia" w:hint="eastAsia"/>
          <w:sz w:val="22"/>
          <w:szCs w:val="22"/>
        </w:rPr>
        <w:t>份额持有</w:t>
      </w:r>
      <w:r>
        <w:rPr>
          <w:rFonts w:asciiTheme="minorEastAsia" w:eastAsiaTheme="minorEastAsia" w:hAnsiTheme="minorEastAsia"/>
          <w:sz w:val="22"/>
          <w:szCs w:val="22"/>
        </w:rPr>
        <w:t>人对此应给予配合。</w:t>
      </w:r>
    </w:p>
    <w:p w:rsidR="003252C2" w:rsidRDefault="00F10458">
      <w:pPr>
        <w:numPr>
          <w:ilvl w:val="0"/>
          <w:numId w:val="9"/>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计划在资产管理、运作、处置过程中产生的收入，根据适用法律应缴纳增值税（含增值税附加税费）及/或其他税费的，即使</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管理人被税务机关认定为纳税义务人，该等增值税（含增值税附加税费）及/或其他税费仍属于</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计划税费，应在</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计划资产中列支</w:t>
      </w:r>
      <w:r>
        <w:rPr>
          <w:rFonts w:asciiTheme="minorEastAsia" w:eastAsiaTheme="minorEastAsia" w:hAnsiTheme="minorEastAsia" w:hint="eastAsia"/>
          <w:sz w:val="22"/>
          <w:szCs w:val="22"/>
        </w:rPr>
        <w:t>、扣除并由管理人申报和缴纳</w:t>
      </w:r>
      <w:r>
        <w:rPr>
          <w:rFonts w:asciiTheme="minorEastAsia" w:eastAsiaTheme="minorEastAsia" w:hAnsiTheme="minorEastAsia"/>
          <w:sz w:val="22"/>
          <w:szCs w:val="22"/>
        </w:rPr>
        <w:t>，</w:t>
      </w:r>
      <w:r>
        <w:rPr>
          <w:rFonts w:asciiTheme="minorEastAsia" w:eastAsiaTheme="minorEastAsia" w:hAnsiTheme="minorEastAsia" w:hint="eastAsia"/>
          <w:sz w:val="22"/>
          <w:szCs w:val="22"/>
        </w:rPr>
        <w:t>份额</w:t>
      </w:r>
      <w:r>
        <w:rPr>
          <w:rFonts w:asciiTheme="minorEastAsia" w:eastAsiaTheme="minorEastAsia" w:hAnsiTheme="minorEastAsia"/>
          <w:sz w:val="22"/>
          <w:szCs w:val="22"/>
        </w:rPr>
        <w:t>持有人对此应予同意及充分配合。但</w:t>
      </w:r>
      <w:r>
        <w:rPr>
          <w:rFonts w:asciiTheme="minorEastAsia" w:eastAsiaTheme="minorEastAsia" w:hAnsiTheme="minorEastAsia" w:hint="eastAsia"/>
          <w:sz w:val="22"/>
          <w:szCs w:val="22"/>
        </w:rPr>
        <w:t>投资</w:t>
      </w:r>
      <w:r>
        <w:rPr>
          <w:rFonts w:asciiTheme="minorEastAsia" w:eastAsiaTheme="minorEastAsia" w:hAnsiTheme="minorEastAsia"/>
          <w:sz w:val="22"/>
          <w:szCs w:val="22"/>
        </w:rPr>
        <w:t>管理人向</w:t>
      </w: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计划收取</w:t>
      </w:r>
      <w:r>
        <w:rPr>
          <w:rFonts w:asciiTheme="minorEastAsia" w:eastAsiaTheme="minorEastAsia" w:hAnsiTheme="minorEastAsia" w:hint="eastAsia"/>
          <w:sz w:val="22"/>
          <w:szCs w:val="22"/>
        </w:rPr>
        <w:t>固定投资</w:t>
      </w:r>
      <w:r>
        <w:rPr>
          <w:rFonts w:asciiTheme="minorEastAsia" w:eastAsiaTheme="minorEastAsia" w:hAnsiTheme="minorEastAsia"/>
          <w:sz w:val="22"/>
          <w:szCs w:val="22"/>
        </w:rPr>
        <w:t>管理费而产生的纳税义务履行，不适用本条。</w:t>
      </w:r>
    </w:p>
    <w:p w:rsidR="003252C2" w:rsidRDefault="003252C2">
      <w:pPr>
        <w:tabs>
          <w:tab w:val="left" w:pos="900"/>
        </w:tabs>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rPr>
          <w:rFonts w:asciiTheme="minorEastAsia" w:eastAsiaTheme="minorEastAsia" w:hAnsiTheme="minorEastAsia"/>
          <w:b/>
          <w:sz w:val="22"/>
          <w:szCs w:val="22"/>
        </w:rPr>
      </w:pPr>
      <w:r>
        <w:rPr>
          <w:rFonts w:asciiTheme="minorEastAsia" w:eastAsiaTheme="minorEastAsia" w:hAnsiTheme="minorEastAsia" w:hint="eastAsia"/>
          <w:b/>
          <w:sz w:val="22"/>
          <w:szCs w:val="22"/>
        </w:rPr>
        <w:t>信息披露</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信息披露的渠道</w:t>
      </w:r>
    </w:p>
    <w:p w:rsidR="003252C2" w:rsidRDefault="00F10458">
      <w:pPr>
        <w:adjustRightInd w:val="0"/>
        <w:snapToGrid w:val="0"/>
        <w:spacing w:line="300" w:lineRule="auto"/>
        <w:ind w:firstLine="360"/>
        <w:rPr>
          <w:rFonts w:asciiTheme="minorEastAsia" w:eastAsiaTheme="minorEastAsia" w:hAnsiTheme="minorEastAsia" w:cs="Arial"/>
          <w:sz w:val="22"/>
          <w:szCs w:val="22"/>
        </w:rPr>
      </w:pPr>
      <w:r>
        <w:rPr>
          <w:rFonts w:ascii="宋体" w:hAnsi="宋体" w:hint="eastAsia"/>
          <w:b/>
          <w:sz w:val="22"/>
          <w:szCs w:val="22"/>
        </w:rPr>
        <w:lastRenderedPageBreak/>
        <w:t>本理财计划认购期和存续期间，管理人网站（www.cmbchinawm.com)、管理人授权的招商银行的一网通（www.cmbchina.com）及/或其他销售服务机构网站、电子邮件或手机短信等一种或多种方式均作为本理财计划的信息披露场所。本理财计划认购期和存续期间，招银理财将通过上述渠道进行理财计划相关的信息披露。投资者应定期通过上述相关渠道获知有关本理财计划相关信息。以上相关信息自披露之日即视为管理人已适当披露理财计划相关信息。</w:t>
      </w:r>
    </w:p>
    <w:p w:rsidR="003252C2" w:rsidRDefault="00F10458">
      <w:pPr>
        <w:numPr>
          <w:ilvl w:val="0"/>
          <w:numId w:val="10"/>
        </w:numPr>
        <w:tabs>
          <w:tab w:val="left" w:pos="0"/>
        </w:tabs>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信息披露的内容和时间</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1）理财产品发行公告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管理人将在理财产品成立之后</w:t>
      </w:r>
      <w:r>
        <w:rPr>
          <w:rFonts w:asciiTheme="minorEastAsia" w:eastAsiaTheme="minorEastAsia" w:hAnsiTheme="minorEastAsia"/>
          <w:sz w:val="22"/>
          <w:szCs w:val="22"/>
        </w:rPr>
        <w:t>5日内披露发行公告，包括理财产品成立日期和募集规模等信息。</w:t>
      </w:r>
      <w:r>
        <w:rPr>
          <w:rFonts w:asciiTheme="minorEastAsia" w:eastAsiaTheme="minorEastAsia" w:hAnsiTheme="minorEastAsia" w:cs="Arial"/>
          <w:sz w:val="22"/>
          <w:szCs w:val="22"/>
        </w:rPr>
        <w:t>若认购期内新出台的法律、法规导致本理财计划不适宜成立运行，或理财计划认购总金额未达到认购规模下限，或出现其他经理财产品管理人合理判断认为影响本理财计划正常运作的情况，则理财产品管理人有权宣布本理财计划不能成立，并在理财计划不</w:t>
      </w:r>
      <w:r>
        <w:rPr>
          <w:rFonts w:asciiTheme="minorEastAsia" w:eastAsiaTheme="minorEastAsia" w:hAnsiTheme="minorEastAsia" w:cs="Arial" w:hint="eastAsia"/>
          <w:sz w:val="22"/>
          <w:szCs w:val="22"/>
        </w:rPr>
        <w:t>能</w:t>
      </w:r>
      <w:r>
        <w:rPr>
          <w:rFonts w:asciiTheme="minorEastAsia" w:eastAsiaTheme="minorEastAsia" w:hAnsiTheme="minorEastAsia" w:cs="Arial"/>
          <w:sz w:val="22"/>
          <w:szCs w:val="22"/>
        </w:rPr>
        <w:t>成立的2个工作日内进行披露。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2</w:t>
      </w:r>
      <w:r>
        <w:rPr>
          <w:rFonts w:asciiTheme="minorEastAsia" w:eastAsiaTheme="minorEastAsia" w:hAnsiTheme="minorEastAsia" w:hint="eastAsia"/>
          <w:sz w:val="22"/>
          <w:szCs w:val="22"/>
        </w:rPr>
        <w:t>）理财产品定期报告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理财产品管理人将在每个季度结束之日起的</w:t>
      </w:r>
      <w:r>
        <w:rPr>
          <w:rFonts w:asciiTheme="minorEastAsia" w:eastAsiaTheme="minorEastAsia" w:hAnsiTheme="minorEastAsia" w:cs="Arial"/>
          <w:kern w:val="0"/>
          <w:sz w:val="22"/>
          <w:szCs w:val="22"/>
        </w:rPr>
        <w:t>15</w:t>
      </w:r>
      <w:r>
        <w:rPr>
          <w:rFonts w:asciiTheme="minorEastAsia" w:eastAsiaTheme="minorEastAsia" w:hAnsiTheme="minorEastAsia" w:cs="Arial" w:hint="eastAsia"/>
          <w:kern w:val="0"/>
          <w:sz w:val="22"/>
          <w:szCs w:val="22"/>
        </w:rPr>
        <w:t>个工作日内、每个上半年度结束之日起的</w:t>
      </w:r>
      <w:r>
        <w:rPr>
          <w:rFonts w:asciiTheme="minorEastAsia" w:eastAsiaTheme="minorEastAsia" w:hAnsiTheme="minorEastAsia" w:cs="Arial"/>
          <w:kern w:val="0"/>
          <w:sz w:val="22"/>
          <w:szCs w:val="22"/>
        </w:rPr>
        <w:t>60</w:t>
      </w:r>
      <w:r>
        <w:rPr>
          <w:rFonts w:asciiTheme="minorEastAsia" w:eastAsiaTheme="minorEastAsia" w:hAnsiTheme="minorEastAsia" w:cs="Arial" w:hint="eastAsia"/>
          <w:kern w:val="0"/>
          <w:sz w:val="22"/>
          <w:szCs w:val="22"/>
        </w:rPr>
        <w:t>个工作日内、每个年度结束之日起的</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个工作日内向投资者披露季度、半年和年度报告等定期报告。</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hint="eastAsia"/>
          <w:kern w:val="0"/>
          <w:sz w:val="22"/>
          <w:szCs w:val="22"/>
        </w:rPr>
        <w:t>理财产品成立不足</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个工作日或者剩余存续期不超过</w:t>
      </w:r>
      <w:r>
        <w:rPr>
          <w:rFonts w:asciiTheme="minorEastAsia" w:eastAsiaTheme="minorEastAsia" w:hAnsiTheme="minorEastAsia" w:cs="Arial"/>
          <w:kern w:val="0"/>
          <w:sz w:val="22"/>
          <w:szCs w:val="22"/>
        </w:rPr>
        <w:t>90</w:t>
      </w:r>
      <w:r>
        <w:rPr>
          <w:rFonts w:asciiTheme="minorEastAsia" w:eastAsiaTheme="minorEastAsia" w:hAnsiTheme="minorEastAsia" w:cs="Arial" w:hint="eastAsia"/>
          <w:kern w:val="0"/>
          <w:sz w:val="22"/>
          <w:szCs w:val="22"/>
        </w:rPr>
        <w:t>个工作日的，管理人可以不编制理财产品当期的季度、半年和年度报告。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管理人应当在本理财产品的半年和年度报告中，披露本理财产品前10名投资者的类别、持有份额及占总份额的比例等信息。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本理财产品存续期间，如出现单一投资者持有产品份额达到或者超过本理财产品总份额20%的情形，为保障其他投资者的权益，管理人应当在定期报告中披露该投资者的类别、持有份额及占比、持有份额变化情况及产品风险等信息，</w:t>
      </w:r>
      <w:r w:rsidR="00527821">
        <w:rPr>
          <w:rFonts w:asciiTheme="minorEastAsia" w:eastAsiaTheme="minorEastAsia" w:hAnsiTheme="minorEastAsia" w:hint="eastAsia"/>
          <w:sz w:val="22"/>
          <w:szCs w:val="22"/>
        </w:rPr>
        <w:t>监管机构</w:t>
      </w:r>
      <w:r>
        <w:rPr>
          <w:rFonts w:asciiTheme="minorEastAsia" w:eastAsiaTheme="minorEastAsia" w:hAnsiTheme="minorEastAsia" w:hint="eastAsia"/>
          <w:sz w:val="22"/>
          <w:szCs w:val="22"/>
        </w:rPr>
        <w:t>认定的特殊情形除外。</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3）</w:t>
      </w:r>
      <w:r>
        <w:rPr>
          <w:rFonts w:asciiTheme="minorEastAsia" w:eastAsiaTheme="minorEastAsia" w:hAnsiTheme="minorEastAsia" w:hint="eastAsia"/>
          <w:sz w:val="22"/>
          <w:szCs w:val="22"/>
        </w:rPr>
        <w:t>理财产品临时性信息披露</w:t>
      </w:r>
    </w:p>
    <w:p w:rsidR="003252C2" w:rsidRDefault="00F10458">
      <w:pPr>
        <w:adjustRightInd w:val="0"/>
        <w:snapToGrid w:val="0"/>
        <w:spacing w:line="300" w:lineRule="auto"/>
        <w:ind w:firstLine="420"/>
        <w:rPr>
          <w:rFonts w:asciiTheme="minorEastAsia" w:eastAsiaTheme="minorEastAsia" w:hAnsiTheme="minorEastAsia" w:cs="Arial"/>
          <w:kern w:val="0"/>
          <w:sz w:val="22"/>
          <w:szCs w:val="22"/>
        </w:rPr>
      </w:pPr>
      <w:r>
        <w:rPr>
          <w:rFonts w:asciiTheme="minorEastAsia" w:eastAsiaTheme="minorEastAsia" w:hAnsiTheme="minorEastAsia" w:cs="Arial"/>
          <w:sz w:val="22"/>
          <w:szCs w:val="22"/>
        </w:rPr>
        <w:t>A</w:t>
      </w:r>
      <w:r>
        <w:rPr>
          <w:rFonts w:asciiTheme="minorEastAsia" w:eastAsiaTheme="minorEastAsia" w:hAnsiTheme="minorEastAsia" w:cs="Arial" w:hint="eastAsia"/>
          <w:kern w:val="0"/>
          <w:sz w:val="22"/>
          <w:szCs w:val="22"/>
        </w:rPr>
        <w:t>发生理财计划管理人、托管人变更的情形的，管理人将提前</w:t>
      </w:r>
      <w:r>
        <w:rPr>
          <w:rFonts w:asciiTheme="minorEastAsia" w:eastAsiaTheme="minorEastAsia" w:hAnsiTheme="minorEastAsia" w:cs="Arial"/>
          <w:kern w:val="0"/>
          <w:sz w:val="22"/>
          <w:szCs w:val="22"/>
        </w:rPr>
        <w:t>10</w:t>
      </w:r>
      <w:r>
        <w:rPr>
          <w:rFonts w:asciiTheme="minorEastAsia" w:eastAsiaTheme="minorEastAsia" w:hAnsiTheme="minorEastAsia" w:cs="Arial" w:hint="eastAsia"/>
          <w:kern w:val="0"/>
          <w:sz w:val="22"/>
          <w:szCs w:val="22"/>
        </w:rPr>
        <w:t>个工作日</w:t>
      </w:r>
      <w:r>
        <w:rPr>
          <w:rFonts w:ascii="宋体" w:hAnsi="宋体" w:hint="eastAsia"/>
          <w:sz w:val="22"/>
          <w:szCs w:val="22"/>
        </w:rPr>
        <w:t>通过</w:t>
      </w:r>
      <w:r>
        <w:rPr>
          <w:rFonts w:ascii="宋体" w:hAnsi="宋体" w:hint="eastAsia"/>
          <w:bCs/>
          <w:sz w:val="22"/>
          <w:szCs w:val="22"/>
        </w:rPr>
        <w:t>约定的</w:t>
      </w:r>
      <w:r>
        <w:rPr>
          <w:rFonts w:asciiTheme="minorEastAsia" w:eastAsiaTheme="minorEastAsia" w:hAnsiTheme="minorEastAsia" w:cs="Arial"/>
          <w:sz w:val="22"/>
          <w:szCs w:val="22"/>
        </w:rPr>
        <w:t>信息披露渠道</w:t>
      </w:r>
      <w:r>
        <w:rPr>
          <w:rFonts w:asciiTheme="minorEastAsia" w:eastAsiaTheme="minorEastAsia" w:hAnsiTheme="minorEastAsia" w:cs="Arial" w:hint="eastAsia"/>
          <w:kern w:val="0"/>
          <w:sz w:val="22"/>
          <w:szCs w:val="22"/>
        </w:rPr>
        <w:t>以临时公告形式向投资者进行信息披露。</w:t>
      </w:r>
    </w:p>
    <w:p w:rsidR="003252C2" w:rsidRDefault="00F10458">
      <w:pPr>
        <w:adjustRightInd w:val="0"/>
        <w:snapToGrid w:val="0"/>
        <w:spacing w:line="300" w:lineRule="auto"/>
        <w:ind w:firstLineChars="200" w:firstLine="440"/>
        <w:rPr>
          <w:rFonts w:asciiTheme="minorEastAsia" w:eastAsiaTheme="minorEastAsia" w:hAnsiTheme="minorEastAsia" w:cs="Arial"/>
          <w:sz w:val="22"/>
          <w:szCs w:val="22"/>
        </w:rPr>
      </w:pPr>
      <w:r>
        <w:rPr>
          <w:rFonts w:asciiTheme="minorEastAsia" w:eastAsiaTheme="minorEastAsia" w:hAnsiTheme="minorEastAsia" w:cs="Arial"/>
          <w:sz w:val="22"/>
          <w:szCs w:val="22"/>
        </w:rPr>
        <w:t>B</w:t>
      </w:r>
      <w:r>
        <w:rPr>
          <w:rFonts w:asciiTheme="minorEastAsia" w:eastAsiaTheme="minorEastAsia" w:hAnsiTheme="minorEastAsia" w:cs="Arial" w:hint="eastAsia"/>
          <w:bCs/>
          <w:sz w:val="22"/>
          <w:szCs w:val="22"/>
        </w:rPr>
        <w:t>在本理财计划存续期间，</w:t>
      </w:r>
      <w:r>
        <w:rPr>
          <w:rFonts w:asciiTheme="minorEastAsia" w:eastAsiaTheme="minorEastAsia" w:hAnsiTheme="minorEastAsia" w:cs="Arial" w:hint="eastAsia"/>
          <w:sz w:val="22"/>
          <w:szCs w:val="22"/>
        </w:rPr>
        <w:t>管理人</w:t>
      </w:r>
      <w:r>
        <w:rPr>
          <w:rFonts w:asciiTheme="minorEastAsia" w:eastAsiaTheme="minorEastAsia" w:hAnsiTheme="minorEastAsia" w:cs="Arial" w:hint="eastAsia"/>
          <w:bCs/>
          <w:sz w:val="22"/>
          <w:szCs w:val="22"/>
        </w:rPr>
        <w:t>可以提前</w:t>
      </w:r>
      <w:r>
        <w:rPr>
          <w:rFonts w:asciiTheme="minorEastAsia" w:eastAsiaTheme="minorEastAsia" w:hAnsiTheme="minorEastAsia" w:cs="Arial" w:hint="eastAsia"/>
          <w:sz w:val="22"/>
          <w:szCs w:val="22"/>
        </w:rPr>
        <w:t>2</w:t>
      </w:r>
      <w:r>
        <w:rPr>
          <w:rFonts w:asciiTheme="minorEastAsia" w:eastAsiaTheme="minorEastAsia" w:hAnsiTheme="minorEastAsia" w:cs="Arial" w:hint="eastAsia"/>
          <w:bCs/>
          <w:sz w:val="22"/>
          <w:szCs w:val="22"/>
        </w:rPr>
        <w:t>个工作日通过</w:t>
      </w:r>
      <w:bookmarkStart w:id="9" w:name="_Hlk104490873"/>
      <w:r>
        <w:rPr>
          <w:rFonts w:ascii="宋体" w:hAnsi="宋体" w:hint="eastAsia"/>
          <w:bCs/>
          <w:sz w:val="22"/>
          <w:szCs w:val="22"/>
        </w:rPr>
        <w:t>约定的</w:t>
      </w:r>
      <w:r>
        <w:rPr>
          <w:rFonts w:asciiTheme="minorEastAsia" w:eastAsiaTheme="minorEastAsia" w:hAnsiTheme="minorEastAsia" w:cs="Arial"/>
          <w:sz w:val="22"/>
          <w:szCs w:val="22"/>
        </w:rPr>
        <w:t>信息披露渠道</w:t>
      </w:r>
      <w:bookmarkEnd w:id="9"/>
      <w:r>
        <w:rPr>
          <w:rFonts w:asciiTheme="minorEastAsia" w:eastAsiaTheme="minorEastAsia" w:hAnsiTheme="minorEastAsia" w:cs="Arial"/>
          <w:sz w:val="22"/>
          <w:szCs w:val="22"/>
        </w:rPr>
        <w:t>进行信息披露，对理财计划投资范围</w:t>
      </w:r>
      <w:r>
        <w:rPr>
          <w:rFonts w:asciiTheme="minorEastAsia" w:eastAsiaTheme="minorEastAsia" w:hAnsiTheme="minorEastAsia" w:cs="Arial" w:hint="eastAsia"/>
          <w:sz w:val="22"/>
          <w:szCs w:val="22"/>
        </w:rPr>
        <w:t>、投资品种、投资</w:t>
      </w:r>
      <w:r>
        <w:rPr>
          <w:rFonts w:asciiTheme="minorEastAsia" w:eastAsiaTheme="minorEastAsia" w:hAnsiTheme="minorEastAsia" w:cs="Arial"/>
          <w:sz w:val="22"/>
          <w:szCs w:val="22"/>
        </w:rPr>
        <w:t>比例、费率标准或计提方式、规模上限或其他经管理人判断可能对理财产品份额持有人权益产生影响的条款进行补充、说明和修改。其中，涉及投资范围、投资品种、投资比例调整导致其超出销售文件约定比例的，除超出比例投资比本理财计划风险更低的资产外，</w:t>
      </w:r>
      <w:r>
        <w:rPr>
          <w:rFonts w:asciiTheme="minorEastAsia" w:eastAsiaTheme="minorEastAsia" w:hAnsiTheme="minorEastAsia" w:cs="Arial" w:hint="eastAsia"/>
          <w:sz w:val="22"/>
          <w:szCs w:val="22"/>
        </w:rPr>
        <w:t>需取得投资者书面同意。</w:t>
      </w:r>
      <w:r>
        <w:rPr>
          <w:rFonts w:asciiTheme="minorEastAsia" w:eastAsiaTheme="minorEastAsia" w:hAnsiTheme="minorEastAsia" w:cs="Arial" w:hint="eastAsia"/>
          <w:b/>
          <w:sz w:val="22"/>
          <w:szCs w:val="22"/>
        </w:rPr>
        <w:t>对于投资者利益产生实质影响的事项（如对投资范围、投资品种、投资比例进行调整，增加费用名目、提高收费标准等），</w:t>
      </w:r>
      <w:r>
        <w:rPr>
          <w:rFonts w:asciiTheme="minorEastAsia" w:eastAsiaTheme="minorEastAsia" w:hAnsiTheme="minorEastAsia" w:cs="Arial"/>
          <w:sz w:val="22"/>
          <w:szCs w:val="22"/>
        </w:rPr>
        <w:t>投资者如不同意相关调整的，可在招银理财披露的相关调整生效前赎回本理财计划【此种情况下招银理财将可能开放特殊赎回期间，具体以届时招银理财的公告为准】，投资者本金和收益（如有）将在</w:t>
      </w:r>
      <w:r>
        <w:rPr>
          <w:rFonts w:asciiTheme="minorEastAsia" w:eastAsiaTheme="minorEastAsia" w:hAnsiTheme="minorEastAsia" w:cs="Arial" w:hint="eastAsia"/>
          <w:sz w:val="22"/>
          <w:szCs w:val="22"/>
        </w:rPr>
        <w:t>申购、</w:t>
      </w:r>
      <w:r>
        <w:rPr>
          <w:rFonts w:asciiTheme="minorEastAsia" w:eastAsiaTheme="minorEastAsia" w:hAnsiTheme="minorEastAsia" w:cs="Arial"/>
          <w:sz w:val="22"/>
          <w:szCs w:val="22"/>
        </w:rPr>
        <w:t>赎回确认日后5个</w:t>
      </w:r>
      <w:r>
        <w:rPr>
          <w:rFonts w:asciiTheme="minorEastAsia" w:eastAsiaTheme="minorEastAsia" w:hAnsiTheme="minorEastAsia" w:cs="Arial" w:hint="eastAsia"/>
          <w:sz w:val="22"/>
          <w:szCs w:val="22"/>
        </w:rPr>
        <w:t>交易日</w:t>
      </w:r>
      <w:r>
        <w:rPr>
          <w:rFonts w:asciiTheme="minorEastAsia" w:eastAsiaTheme="minorEastAsia" w:hAnsiTheme="minorEastAsia" w:cs="Arial"/>
          <w:sz w:val="22"/>
          <w:szCs w:val="22"/>
        </w:rPr>
        <w:t>内划转至投资者账户。</w:t>
      </w:r>
      <w:r>
        <w:rPr>
          <w:rFonts w:asciiTheme="minorEastAsia" w:eastAsiaTheme="minorEastAsia" w:hAnsiTheme="minorEastAsia" w:cs="Arial"/>
          <w:b/>
          <w:bCs/>
          <w:sz w:val="22"/>
          <w:szCs w:val="22"/>
        </w:rPr>
        <w:t>逾期未赎回的视为投资者书面同意相关调整并继续持有本理财计划。</w:t>
      </w:r>
    </w:p>
    <w:p w:rsidR="003252C2" w:rsidRDefault="00F10458">
      <w:pPr>
        <w:adjustRightInd w:val="0"/>
        <w:snapToGrid w:val="0"/>
        <w:spacing w:line="300" w:lineRule="auto"/>
        <w:ind w:firstLine="420"/>
        <w:rPr>
          <w:rFonts w:ascii="宋体" w:hAnsi="宋体"/>
          <w:sz w:val="22"/>
          <w:szCs w:val="21"/>
        </w:rPr>
      </w:pPr>
      <w:r>
        <w:rPr>
          <w:rFonts w:ascii="宋体" w:hAnsi="宋体" w:hint="eastAsia"/>
          <w:sz w:val="22"/>
          <w:szCs w:val="21"/>
        </w:rPr>
        <w:lastRenderedPageBreak/>
        <w:t>C、</w:t>
      </w:r>
      <w:r>
        <w:rPr>
          <w:rFonts w:ascii="宋体" w:hAnsi="宋体"/>
          <w:sz w:val="22"/>
          <w:szCs w:val="21"/>
        </w:rPr>
        <w:t>如管理人决定运用</w:t>
      </w:r>
      <w:r>
        <w:rPr>
          <w:rFonts w:ascii="宋体" w:hAnsi="宋体" w:hint="eastAsia"/>
          <w:sz w:val="22"/>
          <w:szCs w:val="21"/>
        </w:rPr>
        <w:t>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申购、延期办理巨额赎回申请、暂停接受赎回申请、延缓支付赎回款项、暂停理财产品估值等流动性风险应对措施的，将在运用以上流动性风险应对措施后的3个交易日内通过约定的</w:t>
      </w:r>
      <w:r>
        <w:rPr>
          <w:rFonts w:ascii="宋体" w:hAnsi="宋体"/>
          <w:sz w:val="22"/>
          <w:szCs w:val="21"/>
        </w:rPr>
        <w:t>信息披露渠道</w:t>
      </w:r>
      <w:r>
        <w:rPr>
          <w:rFonts w:ascii="宋体" w:hAnsi="宋体" w:hint="eastAsia"/>
          <w:sz w:val="22"/>
          <w:szCs w:val="21"/>
        </w:rPr>
        <w:t>进行信息披露。对于运用暂停认</w:t>
      </w:r>
      <w:r>
        <w:rPr>
          <w:rFonts w:ascii="宋体" w:hAnsi="宋体"/>
          <w:sz w:val="22"/>
          <w:szCs w:val="21"/>
        </w:rPr>
        <w:t>/</w:t>
      </w:r>
      <w:r>
        <w:rPr>
          <w:rFonts w:ascii="宋体" w:hAnsi="宋体" w:hint="eastAsia"/>
          <w:sz w:val="22"/>
          <w:szCs w:val="21"/>
        </w:rPr>
        <w:t>申购、延期办理巨额赎回申请、暂停接受赎回申请、延缓支付赎回款项、暂停理财产品估值等措施的，管理人还将说明运用相关措施的原因、拟采取的应对安排等。</w:t>
      </w:r>
    </w:p>
    <w:p w:rsidR="003252C2" w:rsidRDefault="00F10458">
      <w:pPr>
        <w:autoSpaceDE w:val="0"/>
        <w:autoSpaceDN w:val="0"/>
        <w:adjustRightInd w:val="0"/>
        <w:snapToGrid w:val="0"/>
        <w:spacing w:line="300" w:lineRule="auto"/>
        <w:ind w:firstLineChars="200" w:firstLine="420"/>
        <w:rPr>
          <w:rFonts w:ascii="Arial" w:eastAsiaTheme="minorEastAsia" w:hAnsi="Arial" w:cs="Arial"/>
          <w:sz w:val="22"/>
        </w:rPr>
      </w:pPr>
      <w:r>
        <w:rPr>
          <w:rFonts w:hint="eastAsia"/>
        </w:rPr>
        <w:t>D</w:t>
      </w:r>
      <w:r>
        <w:t xml:space="preserve"> </w:t>
      </w:r>
      <w:r>
        <w:rPr>
          <w:rFonts w:hint="eastAsia"/>
        </w:rPr>
        <w:t>发生涉及理财产品申购、赎回事项调整或潜在影响投资者赎回等事项时，产品管理人将根据法律法规规定及时进行临时信息披露。</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4）理财产品</w:t>
      </w:r>
      <w:r>
        <w:rPr>
          <w:rFonts w:asciiTheme="minorEastAsia" w:eastAsiaTheme="minorEastAsia" w:hAnsiTheme="minorEastAsia" w:hint="eastAsia"/>
          <w:sz w:val="22"/>
          <w:szCs w:val="22"/>
        </w:rPr>
        <w:t>重大事项公告</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asciiTheme="minorEastAsia" w:eastAsiaTheme="minorEastAsia" w:hAnsiTheme="minorEastAsia" w:hint="eastAsia"/>
          <w:sz w:val="22"/>
          <w:szCs w:val="22"/>
        </w:rPr>
        <w:t>理财</w:t>
      </w:r>
      <w:r>
        <w:rPr>
          <w:rFonts w:asciiTheme="minorEastAsia" w:eastAsiaTheme="minorEastAsia" w:hAnsiTheme="minorEastAsia"/>
          <w:sz w:val="22"/>
          <w:szCs w:val="22"/>
        </w:rPr>
        <w:t>计划</w:t>
      </w:r>
      <w:r>
        <w:rPr>
          <w:rFonts w:asciiTheme="minorEastAsia" w:eastAsiaTheme="minorEastAsia" w:hAnsiTheme="minorEastAsia" w:hint="eastAsia"/>
          <w:sz w:val="22"/>
          <w:szCs w:val="22"/>
        </w:rPr>
        <w:t>存续期间，如果发生</w:t>
      </w:r>
      <w:r>
        <w:rPr>
          <w:rFonts w:asciiTheme="minorEastAsia" w:eastAsiaTheme="minorEastAsia" w:hAnsiTheme="minorEastAsia" w:cs="Arial" w:hint="eastAsia"/>
          <w:sz w:val="22"/>
          <w:szCs w:val="22"/>
        </w:rPr>
        <w:t>招银理财</w:t>
      </w:r>
      <w:r>
        <w:rPr>
          <w:rFonts w:asciiTheme="minorEastAsia" w:eastAsiaTheme="minorEastAsia" w:hAnsiTheme="minorEastAsia"/>
          <w:sz w:val="22"/>
          <w:szCs w:val="22"/>
        </w:rPr>
        <w:t>认为可能影响产品运作的重大不利</w:t>
      </w:r>
      <w:r>
        <w:rPr>
          <w:rFonts w:asciiTheme="minorEastAsia" w:eastAsiaTheme="minorEastAsia" w:hAnsiTheme="minorEastAsia" w:hint="eastAsia"/>
          <w:sz w:val="22"/>
          <w:szCs w:val="22"/>
        </w:rPr>
        <w:t>事项</w:t>
      </w:r>
      <w:r>
        <w:rPr>
          <w:rFonts w:asciiTheme="minorEastAsia" w:eastAsiaTheme="minorEastAsia" w:hAnsiTheme="minorEastAsia"/>
          <w:sz w:val="22"/>
          <w:szCs w:val="22"/>
        </w:rPr>
        <w:t>时</w:t>
      </w:r>
      <w:r>
        <w:rPr>
          <w:rFonts w:asciiTheme="minorEastAsia" w:eastAsiaTheme="minorEastAsia" w:hAnsiTheme="minorEastAsia" w:hint="eastAsia"/>
          <w:sz w:val="22"/>
          <w:szCs w:val="22"/>
        </w:rPr>
        <w:t>，</w:t>
      </w:r>
      <w:r>
        <w:rPr>
          <w:rFonts w:asciiTheme="minorEastAsia" w:eastAsiaTheme="minorEastAsia" w:hAnsiTheme="minorEastAsia"/>
          <w:sz w:val="22"/>
          <w:szCs w:val="22"/>
        </w:rPr>
        <w:t>包括但不限于</w:t>
      </w:r>
      <w:r>
        <w:rPr>
          <w:rFonts w:asciiTheme="minorEastAsia" w:eastAsiaTheme="minorEastAsia" w:hAnsiTheme="minorEastAsia" w:hint="eastAsia"/>
          <w:sz w:val="22"/>
          <w:szCs w:val="22"/>
        </w:rPr>
        <w:t>未按照产品说明书约定分配收益；理财计划所投资产出现重大损失；市场发生重大变化、投资的资产质量发生重大变化或者其它可能对投资者权益产生重大影响的突发事件等经</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判断对理财投资价值有实质性影响的重大事件，</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sz w:val="22"/>
          <w:szCs w:val="22"/>
        </w:rPr>
        <w:t>将在该事件发生后</w:t>
      </w:r>
      <w:r>
        <w:rPr>
          <w:rFonts w:asciiTheme="minorEastAsia" w:eastAsiaTheme="minorEastAsia" w:hAnsiTheme="minorEastAsia"/>
          <w:sz w:val="22"/>
          <w:szCs w:val="22"/>
        </w:rPr>
        <w:t>2日内</w:t>
      </w:r>
      <w:r>
        <w:rPr>
          <w:rFonts w:asciiTheme="minorEastAsia" w:eastAsiaTheme="minorEastAsia" w:hAnsiTheme="minorEastAsia" w:hint="eastAsia"/>
          <w:sz w:val="22"/>
          <w:szCs w:val="22"/>
        </w:rPr>
        <w:t>向投资者披露相关信息。</w:t>
      </w:r>
    </w:p>
    <w:p w:rsidR="003252C2" w:rsidRDefault="00F10458">
      <w:pPr>
        <w:adjustRightInd w:val="0"/>
        <w:snapToGrid w:val="0"/>
        <w:spacing w:line="300" w:lineRule="auto"/>
        <w:ind w:firstLine="420"/>
        <w:rPr>
          <w:rFonts w:asciiTheme="minorEastAsia" w:eastAsiaTheme="minorEastAsia" w:hAnsiTheme="minorEastAsia"/>
          <w:sz w:val="22"/>
          <w:szCs w:val="22"/>
        </w:rPr>
      </w:pPr>
      <w:r>
        <w:rPr>
          <w:rFonts w:hint="eastAsia"/>
        </w:rPr>
        <w:t>理财计划</w:t>
      </w:r>
      <w:r>
        <w:t>拟投资于主体信用评级低于</w:t>
      </w:r>
      <w:r>
        <w:t>AA</w:t>
      </w:r>
      <w:r>
        <w:t>＋的商业银行的银行存款与同业存单的，</w:t>
      </w:r>
      <w:r>
        <w:rPr>
          <w:rFonts w:hint="eastAsia"/>
        </w:rPr>
        <w:t>管理人</w:t>
      </w:r>
      <w:r>
        <w:t>将作为重大事项履行信息披露程序。</w:t>
      </w:r>
    </w:p>
    <w:p w:rsidR="003252C2" w:rsidRDefault="00F10458">
      <w:pPr>
        <w:adjustRightInd w:val="0"/>
        <w:snapToGrid w:val="0"/>
        <w:spacing w:line="300" w:lineRule="auto"/>
        <w:rPr>
          <w:rFonts w:asciiTheme="minorEastAsia" w:eastAsiaTheme="minorEastAsia" w:hAnsiTheme="minorEastAsia"/>
          <w:sz w:val="22"/>
          <w:szCs w:val="22"/>
        </w:rPr>
      </w:pPr>
      <w:r>
        <w:rPr>
          <w:rFonts w:asciiTheme="minorEastAsia" w:eastAsiaTheme="minorEastAsia" w:hAnsiTheme="minorEastAsia" w:hint="eastAsia"/>
          <w:sz w:val="22"/>
          <w:szCs w:val="22"/>
        </w:rPr>
        <w:t>（</w:t>
      </w:r>
      <w:r>
        <w:rPr>
          <w:rFonts w:asciiTheme="minorEastAsia" w:eastAsiaTheme="minorEastAsia" w:hAnsiTheme="minorEastAsia"/>
          <w:sz w:val="22"/>
          <w:szCs w:val="22"/>
        </w:rPr>
        <w:t>5）理财产品</w:t>
      </w:r>
      <w:r>
        <w:rPr>
          <w:rFonts w:asciiTheme="minorEastAsia" w:eastAsiaTheme="minorEastAsia" w:hAnsiTheme="minorEastAsia" w:hint="eastAsia"/>
          <w:sz w:val="22"/>
          <w:szCs w:val="22"/>
        </w:rPr>
        <w:t>终止</w:t>
      </w:r>
      <w:r>
        <w:rPr>
          <w:rFonts w:asciiTheme="minorEastAsia" w:eastAsiaTheme="minorEastAsia" w:hAnsiTheme="minorEastAsia"/>
          <w:sz w:val="22"/>
          <w:szCs w:val="22"/>
        </w:rPr>
        <w:t>公告</w:t>
      </w:r>
    </w:p>
    <w:p w:rsidR="003252C2" w:rsidRDefault="00F10458">
      <w:pPr>
        <w:adjustRightInd w:val="0"/>
        <w:snapToGrid w:val="0"/>
        <w:spacing w:line="300" w:lineRule="auto"/>
        <w:ind w:firstLine="420"/>
        <w:rPr>
          <w:rFonts w:asciiTheme="minorEastAsia" w:eastAsiaTheme="minorEastAsia" w:hAnsiTheme="minorEastAsia" w:cs="Arial"/>
          <w:sz w:val="22"/>
          <w:szCs w:val="22"/>
        </w:rPr>
      </w:pPr>
      <w:r>
        <w:rPr>
          <w:rFonts w:asciiTheme="minorEastAsia" w:eastAsiaTheme="minorEastAsia" w:hAnsiTheme="minorEastAsia" w:cs="Arial" w:hint="eastAsia"/>
          <w:sz w:val="22"/>
          <w:szCs w:val="22"/>
        </w:rPr>
        <w:t>管理人</w:t>
      </w:r>
      <w:r>
        <w:rPr>
          <w:rFonts w:asciiTheme="minorEastAsia" w:eastAsiaTheme="minorEastAsia" w:hAnsiTheme="minorEastAsia" w:cs="Arial"/>
          <w:sz w:val="22"/>
          <w:szCs w:val="22"/>
        </w:rPr>
        <w:t>将在理财计划终止后的5个工作日内披露。终止公告的内容包括理财产品的存续期限、终止日期、收费情况和收益分配情况等信息。</w:t>
      </w:r>
    </w:p>
    <w:p w:rsidR="003252C2" w:rsidRDefault="00F10458">
      <w:pPr>
        <w:adjustRightInd w:val="0"/>
        <w:snapToGrid w:val="0"/>
        <w:spacing w:line="300" w:lineRule="auto"/>
        <w:rPr>
          <w:rFonts w:asciiTheme="minorEastAsia" w:eastAsiaTheme="minorEastAsia" w:hAnsiTheme="minorEastAsia" w:cs="Arial"/>
          <w:sz w:val="22"/>
          <w:szCs w:val="22"/>
        </w:rPr>
      </w:pPr>
      <w:r>
        <w:rPr>
          <w:rFonts w:asciiTheme="minorEastAsia" w:eastAsiaTheme="minorEastAsia" w:hAnsiTheme="minorEastAsia" w:cs="Arial"/>
          <w:sz w:val="22"/>
          <w:szCs w:val="22"/>
        </w:rPr>
        <w:t>（6）产品存续期间，投资者应定期通过本条第1款“信息披露的</w:t>
      </w:r>
      <w:r>
        <w:rPr>
          <w:rFonts w:asciiTheme="minorEastAsia" w:eastAsiaTheme="minorEastAsia" w:hAnsiTheme="minorEastAsia" w:cs="Arial" w:hint="eastAsia"/>
          <w:sz w:val="22"/>
          <w:szCs w:val="22"/>
        </w:rPr>
        <w:t>渠道</w:t>
      </w:r>
      <w:r>
        <w:rPr>
          <w:rFonts w:asciiTheme="minorEastAsia" w:eastAsiaTheme="minorEastAsia" w:hAnsiTheme="minorEastAsia" w:cs="Arial"/>
          <w:sz w:val="22"/>
          <w:szCs w:val="22"/>
        </w:rPr>
        <w:t>”获取与本理财计划相关的信息。</w:t>
      </w:r>
    </w:p>
    <w:p w:rsidR="003252C2" w:rsidRDefault="003252C2">
      <w:pPr>
        <w:adjustRightInd w:val="0"/>
        <w:snapToGrid w:val="0"/>
        <w:spacing w:line="300" w:lineRule="auto"/>
        <w:rPr>
          <w:rFonts w:asciiTheme="minorEastAsia" w:eastAsiaTheme="minorEastAsia" w:hAnsiTheme="minorEastAsia"/>
          <w:sz w:val="22"/>
          <w:szCs w:val="22"/>
        </w:rPr>
      </w:pPr>
    </w:p>
    <w:p w:rsidR="003252C2" w:rsidRDefault="00F10458">
      <w:pPr>
        <w:adjustRightInd w:val="0"/>
        <w:snapToGrid w:val="0"/>
        <w:spacing w:line="300" w:lineRule="auto"/>
        <w:ind w:firstLine="420"/>
        <w:rPr>
          <w:rFonts w:asciiTheme="minorEastAsia" w:eastAsiaTheme="minorEastAsia" w:hAnsiTheme="minorEastAsia"/>
          <w:b/>
          <w:sz w:val="22"/>
          <w:szCs w:val="22"/>
        </w:rPr>
      </w:pPr>
      <w:r>
        <w:rPr>
          <w:rFonts w:asciiTheme="minorEastAsia" w:eastAsiaTheme="minorEastAsia" w:hAnsiTheme="minorEastAsia" w:hint="eastAsia"/>
          <w:b/>
          <w:sz w:val="22"/>
          <w:szCs w:val="22"/>
        </w:rPr>
        <w:t>在本理财计划存续期内，如出于维持本理财计划正常运营的需要且在不损害投资者利益的前提下，或因国家法律法规、监管规定发生变化，</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b/>
          <w:sz w:val="22"/>
          <w:szCs w:val="22"/>
        </w:rPr>
        <w:t>有权单方对本理财计划合同进行修订。招银理财决定对理财计划合同进行修订的，将提前两个工作日通过信息披露章节约定的信息披露渠道</w:t>
      </w:r>
      <w:r>
        <w:rPr>
          <w:rFonts w:asciiTheme="minorEastAsia" w:eastAsiaTheme="minorEastAsia" w:hAnsiTheme="minorEastAsia"/>
          <w:b/>
          <w:sz w:val="22"/>
          <w:szCs w:val="22"/>
        </w:rPr>
        <w:t>发布相关信息公告通知投资者。修订后的</w:t>
      </w:r>
      <w:r>
        <w:rPr>
          <w:rFonts w:asciiTheme="minorEastAsia" w:eastAsiaTheme="minorEastAsia" w:hAnsiTheme="minorEastAsia" w:hint="eastAsia"/>
          <w:b/>
          <w:sz w:val="22"/>
          <w:szCs w:val="22"/>
        </w:rPr>
        <w:t>理财计划合同</w:t>
      </w:r>
      <w:r>
        <w:rPr>
          <w:rFonts w:asciiTheme="minorEastAsia" w:eastAsiaTheme="minorEastAsia" w:hAnsiTheme="minorEastAsia"/>
          <w:b/>
          <w:sz w:val="22"/>
          <w:szCs w:val="22"/>
        </w:rPr>
        <w:t>对投资者具有法律约束力。</w:t>
      </w:r>
    </w:p>
    <w:p w:rsidR="003252C2" w:rsidRDefault="003252C2">
      <w:pPr>
        <w:adjustRightInd w:val="0"/>
        <w:snapToGrid w:val="0"/>
        <w:spacing w:line="300" w:lineRule="auto"/>
        <w:ind w:firstLine="420"/>
        <w:rPr>
          <w:rFonts w:asciiTheme="minorEastAsia" w:eastAsiaTheme="minorEastAsia" w:hAnsiTheme="minorEastAsia"/>
          <w:b/>
          <w:sz w:val="22"/>
          <w:szCs w:val="22"/>
        </w:rPr>
      </w:pPr>
    </w:p>
    <w:p w:rsidR="003252C2" w:rsidRDefault="00F10458">
      <w:pPr>
        <w:adjustRightInd w:val="0"/>
        <w:snapToGrid w:val="0"/>
        <w:spacing w:line="300" w:lineRule="auto"/>
        <w:rPr>
          <w:rFonts w:asciiTheme="minorEastAsia" w:eastAsiaTheme="minorEastAsia" w:hAnsiTheme="minorEastAsia"/>
          <w:b/>
          <w:color w:val="333333"/>
          <w:kern w:val="0"/>
          <w:sz w:val="22"/>
          <w:szCs w:val="22"/>
        </w:rPr>
      </w:pPr>
      <w:r>
        <w:rPr>
          <w:rFonts w:asciiTheme="minorEastAsia" w:eastAsiaTheme="minorEastAsia" w:hAnsiTheme="minorEastAsia" w:hint="eastAsia"/>
          <w:b/>
          <w:color w:val="333333"/>
          <w:kern w:val="0"/>
          <w:sz w:val="22"/>
          <w:szCs w:val="22"/>
        </w:rPr>
        <w:t>相关事项说明</w:t>
      </w:r>
    </w:p>
    <w:p w:rsidR="003252C2" w:rsidRDefault="00F10458">
      <w:pPr>
        <w:numPr>
          <w:ilvl w:val="0"/>
          <w:numId w:val="11"/>
        </w:numPr>
        <w:tabs>
          <w:tab w:val="left" w:pos="0"/>
        </w:tabs>
        <w:adjustRightInd w:val="0"/>
        <w:snapToGrid w:val="0"/>
        <w:spacing w:line="300" w:lineRule="auto"/>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本理财计划中示例均采用假设数据，并不代表投资者实际可获得的收益。</w:t>
      </w:r>
    </w:p>
    <w:p w:rsidR="003252C2" w:rsidRDefault="00F10458">
      <w:pPr>
        <w:tabs>
          <w:tab w:val="left" w:pos="0"/>
          <w:tab w:val="left" w:pos="360"/>
        </w:tabs>
        <w:adjustRightInd w:val="0"/>
        <w:snapToGrid w:val="0"/>
        <w:spacing w:line="300" w:lineRule="auto"/>
        <w:jc w:val="left"/>
        <w:rPr>
          <w:rFonts w:asciiTheme="minorEastAsia" w:eastAsiaTheme="minorEastAsia" w:hAnsiTheme="minorEastAsia"/>
          <w:kern w:val="0"/>
          <w:sz w:val="22"/>
          <w:szCs w:val="22"/>
        </w:rPr>
      </w:pPr>
      <w:r>
        <w:rPr>
          <w:rFonts w:asciiTheme="minorEastAsia" w:eastAsiaTheme="minorEastAsia" w:hAnsiTheme="minorEastAsia"/>
          <w:kern w:val="0"/>
          <w:sz w:val="22"/>
          <w:szCs w:val="22"/>
        </w:rPr>
        <w:t xml:space="preserve">2. </w:t>
      </w:r>
      <w:r>
        <w:rPr>
          <w:rFonts w:asciiTheme="minorEastAsia" w:eastAsiaTheme="minorEastAsia" w:hAnsiTheme="minorEastAsia" w:hint="eastAsia"/>
          <w:kern w:val="0"/>
          <w:sz w:val="22"/>
          <w:szCs w:val="22"/>
        </w:rPr>
        <w:t>受理时间、信息公布的相关时间以</w:t>
      </w:r>
      <w:r>
        <w:rPr>
          <w:rFonts w:asciiTheme="minorEastAsia" w:eastAsiaTheme="minorEastAsia" w:hAnsiTheme="minorEastAsia" w:cs="Arial" w:hint="eastAsia"/>
          <w:sz w:val="22"/>
          <w:szCs w:val="22"/>
        </w:rPr>
        <w:t>招银理财</w:t>
      </w:r>
      <w:r>
        <w:rPr>
          <w:rFonts w:asciiTheme="minorEastAsia" w:eastAsiaTheme="minorEastAsia" w:hAnsiTheme="minorEastAsia" w:hint="eastAsia"/>
          <w:kern w:val="0"/>
          <w:sz w:val="22"/>
          <w:szCs w:val="22"/>
        </w:rPr>
        <w:t>业务处理系统记录的北京时间为准。</w:t>
      </w:r>
    </w:p>
    <w:p w:rsidR="003252C2" w:rsidRDefault="00F10458">
      <w:pPr>
        <w:tabs>
          <w:tab w:val="left" w:pos="0"/>
          <w:tab w:val="left" w:pos="360"/>
        </w:tabs>
        <w:adjustRightInd w:val="0"/>
        <w:snapToGrid w:val="0"/>
        <w:spacing w:line="300" w:lineRule="auto"/>
        <w:jc w:val="left"/>
      </w:pPr>
      <w:r>
        <w:rPr>
          <w:rFonts w:asciiTheme="minorEastAsia" w:eastAsiaTheme="minorEastAsia" w:hAnsiTheme="minorEastAsia"/>
          <w:kern w:val="0"/>
          <w:sz w:val="22"/>
          <w:szCs w:val="22"/>
        </w:rPr>
        <w:t>3.</w:t>
      </w:r>
      <w:r>
        <w:rPr>
          <w:rFonts w:asciiTheme="minorEastAsia" w:eastAsiaTheme="minorEastAsia" w:hAnsiTheme="minorEastAsia"/>
          <w:b/>
          <w:kern w:val="0"/>
          <w:sz w:val="22"/>
          <w:szCs w:val="22"/>
        </w:rPr>
        <w:t xml:space="preserve"> </w:t>
      </w:r>
      <w:r>
        <w:rPr>
          <w:rFonts w:asciiTheme="minorEastAsia" w:eastAsiaTheme="minorEastAsia" w:hAnsiTheme="minorEastAsia" w:hint="eastAsia"/>
          <w:kern w:val="0"/>
          <w:sz w:val="22"/>
          <w:szCs w:val="22"/>
        </w:rPr>
        <w:t>如投资者对本理财计划有任何异议或意见，请联系本理财计划的销售服务机构的理财经理或反馈至销售服务机构各营业网点，也可致电销售服务机构全国统一客户服务热线。</w:t>
      </w:r>
    </w:p>
    <w:p w:rsidR="003252C2" w:rsidRDefault="003252C2">
      <w:pPr>
        <w:adjustRightInd w:val="0"/>
        <w:spacing w:afterLines="50" w:after="156"/>
        <w:rPr>
          <w:rFonts w:ascii="宋体" w:hAnsi="宋体"/>
          <w:b/>
          <w:sz w:val="22"/>
          <w:szCs w:val="22"/>
        </w:rPr>
      </w:pPr>
      <w:bookmarkStart w:id="10" w:name="_Hlt92601186"/>
      <w:bookmarkStart w:id="11" w:name="_Hlt76182362"/>
      <w:bookmarkStart w:id="12" w:name="_Hlt80434931"/>
      <w:bookmarkStart w:id="13" w:name="_Hlt97867783"/>
      <w:bookmarkStart w:id="14" w:name="_Hlt86217539"/>
      <w:bookmarkStart w:id="15" w:name="_Hlt86217622"/>
      <w:bookmarkStart w:id="16" w:name="_Hlt86984501"/>
      <w:bookmarkStart w:id="17" w:name="_Hlt97867794"/>
      <w:bookmarkStart w:id="18" w:name="_Hlt86329729"/>
      <w:bookmarkStart w:id="19" w:name="_Hlt100242476"/>
      <w:bookmarkEnd w:id="10"/>
      <w:bookmarkEnd w:id="11"/>
      <w:bookmarkEnd w:id="12"/>
      <w:bookmarkEnd w:id="13"/>
      <w:bookmarkEnd w:id="14"/>
      <w:bookmarkEnd w:id="15"/>
      <w:bookmarkEnd w:id="16"/>
      <w:bookmarkEnd w:id="17"/>
      <w:bookmarkEnd w:id="18"/>
      <w:bookmarkEnd w:id="19"/>
    </w:p>
    <w:p w:rsidR="003252C2" w:rsidRDefault="003252C2">
      <w:pPr>
        <w:wordWrap w:val="0"/>
        <w:jc w:val="right"/>
        <w:rPr>
          <w:rFonts w:ascii="宋体" w:hAnsi="宋体"/>
          <w:sz w:val="22"/>
          <w:szCs w:val="22"/>
        </w:rPr>
      </w:pPr>
    </w:p>
    <w:sectPr w:rsidR="003252C2">
      <w:footerReference w:type="even" r:id="rId9"/>
      <w:footerReference w:type="default" r:id="rId10"/>
      <w:pgSz w:w="11906" w:h="16838"/>
      <w:pgMar w:top="1440" w:right="1760" w:bottom="1440" w:left="176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076" w:rsidRDefault="00DE2076">
      <w:r>
        <w:separator/>
      </w:r>
    </w:p>
  </w:endnote>
  <w:endnote w:type="continuationSeparator" w:id="0">
    <w:p w:rsidR="00DE2076" w:rsidRDefault="00DE2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default"/>
    <w:sig w:usb0="00000000" w:usb1="00000000" w:usb2="00000010" w:usb3="00000000" w:csb0="00100000" w:csb1="00000000"/>
  </w:font>
  <w:font w:name="ˎ̥">
    <w:altName w:val="Times New Roman"/>
    <w:charset w:val="00"/>
    <w:family w:val="roman"/>
    <w:pitch w:val="default"/>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end"/>
    </w:r>
  </w:p>
  <w:p w:rsidR="00241507" w:rsidRDefault="00241507">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507" w:rsidRDefault="00241507">
    <w:pPr>
      <w:pStyle w:val="ab"/>
      <w:framePr w:wrap="around" w:vAnchor="text" w:hAnchor="margin" w:xAlign="center" w:y="1"/>
      <w:rPr>
        <w:rStyle w:val="af2"/>
      </w:rPr>
    </w:pPr>
    <w:r>
      <w:fldChar w:fldCharType="begin"/>
    </w:r>
    <w:r>
      <w:rPr>
        <w:rStyle w:val="af2"/>
      </w:rPr>
      <w:instrText xml:space="preserve">PAGE  </w:instrText>
    </w:r>
    <w:r>
      <w:fldChar w:fldCharType="separate"/>
    </w:r>
    <w:r w:rsidR="003719F9">
      <w:rPr>
        <w:rStyle w:val="af2"/>
        <w:noProof/>
      </w:rPr>
      <w:t>34</w:t>
    </w:r>
    <w:r>
      <w:fldChar w:fldCharType="end"/>
    </w:r>
  </w:p>
  <w:p w:rsidR="00241507" w:rsidRDefault="0024150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076" w:rsidRDefault="00DE2076">
      <w:r>
        <w:separator/>
      </w:r>
    </w:p>
  </w:footnote>
  <w:footnote w:type="continuationSeparator" w:id="0">
    <w:p w:rsidR="00DE2076" w:rsidRDefault="00DE20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7751C"/>
    <w:multiLevelType w:val="multilevel"/>
    <w:tmpl w:val="08C7751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62E211B"/>
    <w:multiLevelType w:val="multilevel"/>
    <w:tmpl w:val="162E211B"/>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 w15:restartNumberingAfterBreak="0">
    <w:nsid w:val="1A6B1F33"/>
    <w:multiLevelType w:val="multilevel"/>
    <w:tmpl w:val="1A6B1F33"/>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1BB65CC2"/>
    <w:multiLevelType w:val="multilevel"/>
    <w:tmpl w:val="1BB65CC2"/>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15:restartNumberingAfterBreak="0">
    <w:nsid w:val="1C620D75"/>
    <w:multiLevelType w:val="multilevel"/>
    <w:tmpl w:val="1C620D7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15:restartNumberingAfterBreak="0">
    <w:nsid w:val="26BC2850"/>
    <w:multiLevelType w:val="multilevel"/>
    <w:tmpl w:val="26BC2850"/>
    <w:lvl w:ilvl="0">
      <w:start w:val="1"/>
      <w:numFmt w:val="decimal"/>
      <w:lvlText w:val="%1."/>
      <w:lvlJc w:val="left"/>
      <w:pPr>
        <w:tabs>
          <w:tab w:val="left" w:pos="360"/>
        </w:tabs>
        <w:ind w:left="360" w:hanging="360"/>
      </w:pPr>
      <w:rPr>
        <w:rFonts w:cs="Times New Roman" w:hint="default"/>
        <w:b/>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15:restartNumberingAfterBreak="0">
    <w:nsid w:val="3B921C05"/>
    <w:multiLevelType w:val="multilevel"/>
    <w:tmpl w:val="3B921C05"/>
    <w:lvl w:ilvl="0">
      <w:start w:val="1"/>
      <w:numFmt w:val="decimal"/>
      <w:lvlText w:val="%1."/>
      <w:lvlJc w:val="left"/>
      <w:pPr>
        <w:tabs>
          <w:tab w:val="left" w:pos="360"/>
        </w:tabs>
        <w:ind w:left="360" w:hanging="360"/>
      </w:pPr>
      <w:rPr>
        <w:rFonts w:cs="Times New Roman" w:hint="default"/>
        <w:b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15:restartNumberingAfterBreak="0">
    <w:nsid w:val="48577B89"/>
    <w:multiLevelType w:val="multilevel"/>
    <w:tmpl w:val="48577B89"/>
    <w:lvl w:ilvl="0">
      <w:start w:val="1"/>
      <w:numFmt w:val="decimal"/>
      <w:lvlText w:val="%1."/>
      <w:lvlJc w:val="left"/>
      <w:pPr>
        <w:tabs>
          <w:tab w:val="left" w:pos="360"/>
        </w:tabs>
        <w:ind w:left="360" w:hanging="360"/>
      </w:pPr>
      <w:rPr>
        <w:rFonts w:cs="Times New Roman" w:hint="default"/>
        <w:b w:val="0"/>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15:restartNumberingAfterBreak="0">
    <w:nsid w:val="65C5706F"/>
    <w:multiLevelType w:val="multilevel"/>
    <w:tmpl w:val="65C5706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2FD2758"/>
    <w:multiLevelType w:val="multilevel"/>
    <w:tmpl w:val="72FD275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7CC15C50"/>
    <w:multiLevelType w:val="multilevel"/>
    <w:tmpl w:val="7CC15C50"/>
    <w:lvl w:ilvl="0">
      <w:start w:val="1"/>
      <w:numFmt w:val="decimal"/>
      <w:lvlText w:val="%1."/>
      <w:lvlJc w:val="left"/>
      <w:pPr>
        <w:tabs>
          <w:tab w:val="left" w:pos="360"/>
        </w:tabs>
        <w:ind w:left="360" w:hanging="360"/>
      </w:pPr>
      <w:rPr>
        <w:rFonts w:cs="Times New Roman" w:hint="default"/>
        <w:b/>
        <w:bCs w:val="0"/>
        <w:color w:val="auto"/>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num w:numId="1">
    <w:abstractNumId w:val="9"/>
  </w:num>
  <w:num w:numId="2">
    <w:abstractNumId w:val="2"/>
  </w:num>
  <w:num w:numId="3">
    <w:abstractNumId w:val="7"/>
  </w:num>
  <w:num w:numId="4">
    <w:abstractNumId w:val="0"/>
  </w:num>
  <w:num w:numId="5">
    <w:abstractNumId w:val="8"/>
  </w:num>
  <w:num w:numId="6">
    <w:abstractNumId w:val="5"/>
  </w:num>
  <w:num w:numId="7">
    <w:abstractNumId w:val="10"/>
  </w:num>
  <w:num w:numId="8">
    <w:abstractNumId w:val="1"/>
  </w:num>
  <w:num w:numId="9">
    <w:abstractNumId w:val="4"/>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yYmY2YjU5ZDNmZTJkZTk1NTY1Mjk3MGFjMTAyNDMifQ=="/>
  </w:docVars>
  <w:rsids>
    <w:rsidRoot w:val="001E18E7"/>
    <w:rsid w:val="0000266F"/>
    <w:rsid w:val="0000286B"/>
    <w:rsid w:val="00002FDE"/>
    <w:rsid w:val="00003794"/>
    <w:rsid w:val="00004033"/>
    <w:rsid w:val="0000409E"/>
    <w:rsid w:val="0000495F"/>
    <w:rsid w:val="000062FD"/>
    <w:rsid w:val="000066D9"/>
    <w:rsid w:val="000105D7"/>
    <w:rsid w:val="000128B9"/>
    <w:rsid w:val="000130CB"/>
    <w:rsid w:val="00014709"/>
    <w:rsid w:val="000148D9"/>
    <w:rsid w:val="00016675"/>
    <w:rsid w:val="00016C39"/>
    <w:rsid w:val="00020200"/>
    <w:rsid w:val="00020C74"/>
    <w:rsid w:val="000224C9"/>
    <w:rsid w:val="000232D7"/>
    <w:rsid w:val="0002334D"/>
    <w:rsid w:val="0002377C"/>
    <w:rsid w:val="00024593"/>
    <w:rsid w:val="00024EEC"/>
    <w:rsid w:val="000251A5"/>
    <w:rsid w:val="00030166"/>
    <w:rsid w:val="000305A6"/>
    <w:rsid w:val="00030B43"/>
    <w:rsid w:val="000317B4"/>
    <w:rsid w:val="00032725"/>
    <w:rsid w:val="0003416D"/>
    <w:rsid w:val="00035C20"/>
    <w:rsid w:val="00040023"/>
    <w:rsid w:val="000403A0"/>
    <w:rsid w:val="00040B74"/>
    <w:rsid w:val="00042880"/>
    <w:rsid w:val="00043C38"/>
    <w:rsid w:val="00044088"/>
    <w:rsid w:val="0004421C"/>
    <w:rsid w:val="00044420"/>
    <w:rsid w:val="000461A0"/>
    <w:rsid w:val="00051CF4"/>
    <w:rsid w:val="000527FA"/>
    <w:rsid w:val="00053B0B"/>
    <w:rsid w:val="00056353"/>
    <w:rsid w:val="0005677C"/>
    <w:rsid w:val="00057291"/>
    <w:rsid w:val="00060B5C"/>
    <w:rsid w:val="00060DD7"/>
    <w:rsid w:val="00061A5B"/>
    <w:rsid w:val="00062FD5"/>
    <w:rsid w:val="000640F4"/>
    <w:rsid w:val="00064768"/>
    <w:rsid w:val="00064D56"/>
    <w:rsid w:val="00065096"/>
    <w:rsid w:val="00065599"/>
    <w:rsid w:val="000676AD"/>
    <w:rsid w:val="00067884"/>
    <w:rsid w:val="00067CDC"/>
    <w:rsid w:val="00071069"/>
    <w:rsid w:val="00071E74"/>
    <w:rsid w:val="0007220F"/>
    <w:rsid w:val="000733CB"/>
    <w:rsid w:val="00074E68"/>
    <w:rsid w:val="000757C0"/>
    <w:rsid w:val="00076134"/>
    <w:rsid w:val="000776D8"/>
    <w:rsid w:val="00083030"/>
    <w:rsid w:val="00085AAF"/>
    <w:rsid w:val="0008658B"/>
    <w:rsid w:val="00086E72"/>
    <w:rsid w:val="00090BE7"/>
    <w:rsid w:val="000918A8"/>
    <w:rsid w:val="000919EE"/>
    <w:rsid w:val="00095463"/>
    <w:rsid w:val="000954B2"/>
    <w:rsid w:val="00097319"/>
    <w:rsid w:val="000A047A"/>
    <w:rsid w:val="000A15DC"/>
    <w:rsid w:val="000A2A70"/>
    <w:rsid w:val="000A39BB"/>
    <w:rsid w:val="000A48FC"/>
    <w:rsid w:val="000A5AFA"/>
    <w:rsid w:val="000B17E2"/>
    <w:rsid w:val="000B20BE"/>
    <w:rsid w:val="000B2768"/>
    <w:rsid w:val="000B2899"/>
    <w:rsid w:val="000B3E3E"/>
    <w:rsid w:val="000B3EB9"/>
    <w:rsid w:val="000B604E"/>
    <w:rsid w:val="000B7228"/>
    <w:rsid w:val="000C02C3"/>
    <w:rsid w:val="000C1DD2"/>
    <w:rsid w:val="000C30D8"/>
    <w:rsid w:val="000C39C2"/>
    <w:rsid w:val="000C3E51"/>
    <w:rsid w:val="000C5355"/>
    <w:rsid w:val="000C6ABC"/>
    <w:rsid w:val="000C726E"/>
    <w:rsid w:val="000C788F"/>
    <w:rsid w:val="000D0DF8"/>
    <w:rsid w:val="000D1D19"/>
    <w:rsid w:val="000D4147"/>
    <w:rsid w:val="000D426D"/>
    <w:rsid w:val="000D6DBA"/>
    <w:rsid w:val="000D738A"/>
    <w:rsid w:val="000E0834"/>
    <w:rsid w:val="000E2C62"/>
    <w:rsid w:val="000E34D1"/>
    <w:rsid w:val="000E3691"/>
    <w:rsid w:val="000E4909"/>
    <w:rsid w:val="000E4A7E"/>
    <w:rsid w:val="000E571E"/>
    <w:rsid w:val="000E5DB3"/>
    <w:rsid w:val="000E5F56"/>
    <w:rsid w:val="000E6096"/>
    <w:rsid w:val="000E6222"/>
    <w:rsid w:val="000E64F7"/>
    <w:rsid w:val="000E6CDC"/>
    <w:rsid w:val="000E70A7"/>
    <w:rsid w:val="000F0DDC"/>
    <w:rsid w:val="000F2756"/>
    <w:rsid w:val="000F48E9"/>
    <w:rsid w:val="000F6701"/>
    <w:rsid w:val="000F75D3"/>
    <w:rsid w:val="000F7845"/>
    <w:rsid w:val="0010042D"/>
    <w:rsid w:val="0010082C"/>
    <w:rsid w:val="00101269"/>
    <w:rsid w:val="0010226A"/>
    <w:rsid w:val="00103F1D"/>
    <w:rsid w:val="00105B0D"/>
    <w:rsid w:val="0010666E"/>
    <w:rsid w:val="001076AD"/>
    <w:rsid w:val="00107A60"/>
    <w:rsid w:val="00111634"/>
    <w:rsid w:val="00115A49"/>
    <w:rsid w:val="00115FEA"/>
    <w:rsid w:val="001162A3"/>
    <w:rsid w:val="001169D0"/>
    <w:rsid w:val="001224DA"/>
    <w:rsid w:val="00122FAB"/>
    <w:rsid w:val="0012358B"/>
    <w:rsid w:val="001252F6"/>
    <w:rsid w:val="00126EBB"/>
    <w:rsid w:val="00127D41"/>
    <w:rsid w:val="00131E3C"/>
    <w:rsid w:val="00132202"/>
    <w:rsid w:val="001323CA"/>
    <w:rsid w:val="00132654"/>
    <w:rsid w:val="00133152"/>
    <w:rsid w:val="0013479B"/>
    <w:rsid w:val="0013526B"/>
    <w:rsid w:val="001371EC"/>
    <w:rsid w:val="00137699"/>
    <w:rsid w:val="00140133"/>
    <w:rsid w:val="001403DD"/>
    <w:rsid w:val="00143361"/>
    <w:rsid w:val="0014698D"/>
    <w:rsid w:val="00147A15"/>
    <w:rsid w:val="00150662"/>
    <w:rsid w:val="00150BC7"/>
    <w:rsid w:val="001519B4"/>
    <w:rsid w:val="0015307A"/>
    <w:rsid w:val="001557EC"/>
    <w:rsid w:val="00155A69"/>
    <w:rsid w:val="0015615D"/>
    <w:rsid w:val="0015706C"/>
    <w:rsid w:val="00157806"/>
    <w:rsid w:val="00157826"/>
    <w:rsid w:val="00160168"/>
    <w:rsid w:val="0016092C"/>
    <w:rsid w:val="00160FB3"/>
    <w:rsid w:val="00163E5C"/>
    <w:rsid w:val="00166595"/>
    <w:rsid w:val="001667C9"/>
    <w:rsid w:val="00166816"/>
    <w:rsid w:val="00167CE4"/>
    <w:rsid w:val="00170575"/>
    <w:rsid w:val="0017070F"/>
    <w:rsid w:val="0017194A"/>
    <w:rsid w:val="0017267A"/>
    <w:rsid w:val="00172BA1"/>
    <w:rsid w:val="00172ED9"/>
    <w:rsid w:val="001737B1"/>
    <w:rsid w:val="00173A39"/>
    <w:rsid w:val="00175EC9"/>
    <w:rsid w:val="00176162"/>
    <w:rsid w:val="001775F2"/>
    <w:rsid w:val="00177D39"/>
    <w:rsid w:val="00177EE6"/>
    <w:rsid w:val="00181502"/>
    <w:rsid w:val="001832AB"/>
    <w:rsid w:val="00183B84"/>
    <w:rsid w:val="001844E4"/>
    <w:rsid w:val="0018468B"/>
    <w:rsid w:val="001863DA"/>
    <w:rsid w:val="00186585"/>
    <w:rsid w:val="00187799"/>
    <w:rsid w:val="00187D66"/>
    <w:rsid w:val="00191381"/>
    <w:rsid w:val="00191C41"/>
    <w:rsid w:val="00192C11"/>
    <w:rsid w:val="00196C98"/>
    <w:rsid w:val="001A3409"/>
    <w:rsid w:val="001A47B9"/>
    <w:rsid w:val="001A5507"/>
    <w:rsid w:val="001B097E"/>
    <w:rsid w:val="001B1747"/>
    <w:rsid w:val="001B3A82"/>
    <w:rsid w:val="001B4E35"/>
    <w:rsid w:val="001B5F33"/>
    <w:rsid w:val="001B670A"/>
    <w:rsid w:val="001C0352"/>
    <w:rsid w:val="001C0520"/>
    <w:rsid w:val="001C08B1"/>
    <w:rsid w:val="001C2110"/>
    <w:rsid w:val="001C2D0F"/>
    <w:rsid w:val="001C323B"/>
    <w:rsid w:val="001C40EF"/>
    <w:rsid w:val="001C640A"/>
    <w:rsid w:val="001C79C1"/>
    <w:rsid w:val="001D1374"/>
    <w:rsid w:val="001D2870"/>
    <w:rsid w:val="001D33EC"/>
    <w:rsid w:val="001D416F"/>
    <w:rsid w:val="001D45B3"/>
    <w:rsid w:val="001D5575"/>
    <w:rsid w:val="001D55B0"/>
    <w:rsid w:val="001D5ECC"/>
    <w:rsid w:val="001D621B"/>
    <w:rsid w:val="001D7DD3"/>
    <w:rsid w:val="001E17B1"/>
    <w:rsid w:val="001E18E7"/>
    <w:rsid w:val="001E29A9"/>
    <w:rsid w:val="001E2BFD"/>
    <w:rsid w:val="001E4476"/>
    <w:rsid w:val="001E4980"/>
    <w:rsid w:val="001E4D25"/>
    <w:rsid w:val="001F0ED7"/>
    <w:rsid w:val="001F382B"/>
    <w:rsid w:val="001F3B3F"/>
    <w:rsid w:val="001F584D"/>
    <w:rsid w:val="00200398"/>
    <w:rsid w:val="002006BF"/>
    <w:rsid w:val="002015DD"/>
    <w:rsid w:val="00203F09"/>
    <w:rsid w:val="00205E1F"/>
    <w:rsid w:val="00211944"/>
    <w:rsid w:val="002122AB"/>
    <w:rsid w:val="002124BF"/>
    <w:rsid w:val="00212655"/>
    <w:rsid w:val="00213F10"/>
    <w:rsid w:val="00215A25"/>
    <w:rsid w:val="00216A82"/>
    <w:rsid w:val="0022037E"/>
    <w:rsid w:val="00220576"/>
    <w:rsid w:val="002206AB"/>
    <w:rsid w:val="002210C1"/>
    <w:rsid w:val="00221DFE"/>
    <w:rsid w:val="00223332"/>
    <w:rsid w:val="00225202"/>
    <w:rsid w:val="0022675C"/>
    <w:rsid w:val="00227E67"/>
    <w:rsid w:val="002327C9"/>
    <w:rsid w:val="00232E96"/>
    <w:rsid w:val="00234516"/>
    <w:rsid w:val="002351F3"/>
    <w:rsid w:val="00235B04"/>
    <w:rsid w:val="00235B74"/>
    <w:rsid w:val="00236EBE"/>
    <w:rsid w:val="00237749"/>
    <w:rsid w:val="00237E3A"/>
    <w:rsid w:val="002403E5"/>
    <w:rsid w:val="00240A11"/>
    <w:rsid w:val="00240A9D"/>
    <w:rsid w:val="00240E2F"/>
    <w:rsid w:val="00241507"/>
    <w:rsid w:val="00242062"/>
    <w:rsid w:val="00242B7D"/>
    <w:rsid w:val="0024339F"/>
    <w:rsid w:val="00243F96"/>
    <w:rsid w:val="0024497F"/>
    <w:rsid w:val="00245C4F"/>
    <w:rsid w:val="00247DD8"/>
    <w:rsid w:val="002508B6"/>
    <w:rsid w:val="00251407"/>
    <w:rsid w:val="0025157C"/>
    <w:rsid w:val="0025186A"/>
    <w:rsid w:val="00251F2D"/>
    <w:rsid w:val="0025215E"/>
    <w:rsid w:val="00253AA5"/>
    <w:rsid w:val="00255AB1"/>
    <w:rsid w:val="00255B11"/>
    <w:rsid w:val="00255CFF"/>
    <w:rsid w:val="00260C46"/>
    <w:rsid w:val="00263F00"/>
    <w:rsid w:val="00264989"/>
    <w:rsid w:val="00264B73"/>
    <w:rsid w:val="002660AE"/>
    <w:rsid w:val="00266775"/>
    <w:rsid w:val="00267388"/>
    <w:rsid w:val="00267BB8"/>
    <w:rsid w:val="00270CE2"/>
    <w:rsid w:val="002721A9"/>
    <w:rsid w:val="00272340"/>
    <w:rsid w:val="00272B64"/>
    <w:rsid w:val="00273BF6"/>
    <w:rsid w:val="002744EC"/>
    <w:rsid w:val="00274B76"/>
    <w:rsid w:val="002763AB"/>
    <w:rsid w:val="00277FE4"/>
    <w:rsid w:val="00280DE6"/>
    <w:rsid w:val="0028152D"/>
    <w:rsid w:val="00283C8F"/>
    <w:rsid w:val="0028493D"/>
    <w:rsid w:val="0028500D"/>
    <w:rsid w:val="00285016"/>
    <w:rsid w:val="0028750E"/>
    <w:rsid w:val="00287771"/>
    <w:rsid w:val="00291F9C"/>
    <w:rsid w:val="00292C10"/>
    <w:rsid w:val="002930A3"/>
    <w:rsid w:val="002A0C7C"/>
    <w:rsid w:val="002A1613"/>
    <w:rsid w:val="002A3964"/>
    <w:rsid w:val="002A4586"/>
    <w:rsid w:val="002A482B"/>
    <w:rsid w:val="002A56AC"/>
    <w:rsid w:val="002A6377"/>
    <w:rsid w:val="002A6FB2"/>
    <w:rsid w:val="002A787E"/>
    <w:rsid w:val="002B2AD5"/>
    <w:rsid w:val="002B3756"/>
    <w:rsid w:val="002B409D"/>
    <w:rsid w:val="002B5178"/>
    <w:rsid w:val="002B5B52"/>
    <w:rsid w:val="002B5D2E"/>
    <w:rsid w:val="002B7494"/>
    <w:rsid w:val="002C1AA1"/>
    <w:rsid w:val="002C2424"/>
    <w:rsid w:val="002C2C5B"/>
    <w:rsid w:val="002C2E78"/>
    <w:rsid w:val="002C3590"/>
    <w:rsid w:val="002C6090"/>
    <w:rsid w:val="002C6199"/>
    <w:rsid w:val="002C7279"/>
    <w:rsid w:val="002D06E0"/>
    <w:rsid w:val="002D0B6F"/>
    <w:rsid w:val="002D2732"/>
    <w:rsid w:val="002D2F97"/>
    <w:rsid w:val="002D3045"/>
    <w:rsid w:val="002D3879"/>
    <w:rsid w:val="002D517C"/>
    <w:rsid w:val="002D6664"/>
    <w:rsid w:val="002D6DA2"/>
    <w:rsid w:val="002D6EED"/>
    <w:rsid w:val="002E2173"/>
    <w:rsid w:val="002E359D"/>
    <w:rsid w:val="002E3798"/>
    <w:rsid w:val="002E3948"/>
    <w:rsid w:val="002E3EFC"/>
    <w:rsid w:val="002E6411"/>
    <w:rsid w:val="002E72DA"/>
    <w:rsid w:val="002F093F"/>
    <w:rsid w:val="002F10BA"/>
    <w:rsid w:val="002F1B63"/>
    <w:rsid w:val="002F52BC"/>
    <w:rsid w:val="002F7259"/>
    <w:rsid w:val="00300AEE"/>
    <w:rsid w:val="00300FC9"/>
    <w:rsid w:val="00301996"/>
    <w:rsid w:val="00304752"/>
    <w:rsid w:val="00305795"/>
    <w:rsid w:val="00306E9F"/>
    <w:rsid w:val="00310564"/>
    <w:rsid w:val="00311CE9"/>
    <w:rsid w:val="003126DC"/>
    <w:rsid w:val="00312BC2"/>
    <w:rsid w:val="00312ECE"/>
    <w:rsid w:val="0031323E"/>
    <w:rsid w:val="00314634"/>
    <w:rsid w:val="00315468"/>
    <w:rsid w:val="00315994"/>
    <w:rsid w:val="00317E87"/>
    <w:rsid w:val="003207C1"/>
    <w:rsid w:val="00322C42"/>
    <w:rsid w:val="00322CF7"/>
    <w:rsid w:val="003236F3"/>
    <w:rsid w:val="003237B9"/>
    <w:rsid w:val="00324B5A"/>
    <w:rsid w:val="003252C2"/>
    <w:rsid w:val="00325F63"/>
    <w:rsid w:val="003269B1"/>
    <w:rsid w:val="003309BD"/>
    <w:rsid w:val="0033431C"/>
    <w:rsid w:val="0033479C"/>
    <w:rsid w:val="00334ACF"/>
    <w:rsid w:val="00334B3A"/>
    <w:rsid w:val="0033546A"/>
    <w:rsid w:val="003354A4"/>
    <w:rsid w:val="0033570A"/>
    <w:rsid w:val="00335E68"/>
    <w:rsid w:val="00336922"/>
    <w:rsid w:val="003428DB"/>
    <w:rsid w:val="00342D8E"/>
    <w:rsid w:val="00342E36"/>
    <w:rsid w:val="003439B5"/>
    <w:rsid w:val="0034510A"/>
    <w:rsid w:val="003453F5"/>
    <w:rsid w:val="003454EC"/>
    <w:rsid w:val="003463BC"/>
    <w:rsid w:val="00346B96"/>
    <w:rsid w:val="00347B8B"/>
    <w:rsid w:val="00347E9D"/>
    <w:rsid w:val="003509FC"/>
    <w:rsid w:val="00350EF3"/>
    <w:rsid w:val="0035322F"/>
    <w:rsid w:val="00355345"/>
    <w:rsid w:val="00355854"/>
    <w:rsid w:val="00355908"/>
    <w:rsid w:val="00355E32"/>
    <w:rsid w:val="00357275"/>
    <w:rsid w:val="0036075B"/>
    <w:rsid w:val="003633B9"/>
    <w:rsid w:val="00363412"/>
    <w:rsid w:val="00363BA7"/>
    <w:rsid w:val="00365DBE"/>
    <w:rsid w:val="00367815"/>
    <w:rsid w:val="00367A83"/>
    <w:rsid w:val="00371966"/>
    <w:rsid w:val="003719F9"/>
    <w:rsid w:val="00372607"/>
    <w:rsid w:val="00374019"/>
    <w:rsid w:val="00374143"/>
    <w:rsid w:val="003743FA"/>
    <w:rsid w:val="00374598"/>
    <w:rsid w:val="00375DC0"/>
    <w:rsid w:val="00376698"/>
    <w:rsid w:val="0038060D"/>
    <w:rsid w:val="00381370"/>
    <w:rsid w:val="00381CFF"/>
    <w:rsid w:val="00382186"/>
    <w:rsid w:val="003826E2"/>
    <w:rsid w:val="0038338A"/>
    <w:rsid w:val="0038373B"/>
    <w:rsid w:val="00386618"/>
    <w:rsid w:val="00387E33"/>
    <w:rsid w:val="00390F34"/>
    <w:rsid w:val="003920D8"/>
    <w:rsid w:val="003928FB"/>
    <w:rsid w:val="00395C91"/>
    <w:rsid w:val="00395D7C"/>
    <w:rsid w:val="003965ED"/>
    <w:rsid w:val="0039725A"/>
    <w:rsid w:val="003A2077"/>
    <w:rsid w:val="003A20A7"/>
    <w:rsid w:val="003A603C"/>
    <w:rsid w:val="003A6734"/>
    <w:rsid w:val="003A7995"/>
    <w:rsid w:val="003B1732"/>
    <w:rsid w:val="003B17FB"/>
    <w:rsid w:val="003B24BF"/>
    <w:rsid w:val="003B2989"/>
    <w:rsid w:val="003B38A3"/>
    <w:rsid w:val="003B43A7"/>
    <w:rsid w:val="003B6694"/>
    <w:rsid w:val="003B6827"/>
    <w:rsid w:val="003B76FA"/>
    <w:rsid w:val="003C03DA"/>
    <w:rsid w:val="003C160B"/>
    <w:rsid w:val="003C3FD7"/>
    <w:rsid w:val="003C4834"/>
    <w:rsid w:val="003C7F4D"/>
    <w:rsid w:val="003D0F16"/>
    <w:rsid w:val="003D1211"/>
    <w:rsid w:val="003D2A27"/>
    <w:rsid w:val="003D2B80"/>
    <w:rsid w:val="003D36DE"/>
    <w:rsid w:val="003D3A83"/>
    <w:rsid w:val="003D5AFF"/>
    <w:rsid w:val="003E0801"/>
    <w:rsid w:val="003E084A"/>
    <w:rsid w:val="003E33DF"/>
    <w:rsid w:val="003E3BAF"/>
    <w:rsid w:val="003E43A3"/>
    <w:rsid w:val="003E457C"/>
    <w:rsid w:val="003E5551"/>
    <w:rsid w:val="003F1083"/>
    <w:rsid w:val="003F2956"/>
    <w:rsid w:val="003F6A5D"/>
    <w:rsid w:val="004028AC"/>
    <w:rsid w:val="0040298A"/>
    <w:rsid w:val="00403C9F"/>
    <w:rsid w:val="004076E6"/>
    <w:rsid w:val="004077BE"/>
    <w:rsid w:val="0040797C"/>
    <w:rsid w:val="004079B1"/>
    <w:rsid w:val="004117E0"/>
    <w:rsid w:val="00413515"/>
    <w:rsid w:val="0041483E"/>
    <w:rsid w:val="00415116"/>
    <w:rsid w:val="0041533F"/>
    <w:rsid w:val="00415422"/>
    <w:rsid w:val="004173F3"/>
    <w:rsid w:val="00420180"/>
    <w:rsid w:val="00421BD8"/>
    <w:rsid w:val="004237AE"/>
    <w:rsid w:val="00423CCB"/>
    <w:rsid w:val="004254C5"/>
    <w:rsid w:val="0042658C"/>
    <w:rsid w:val="00426D3E"/>
    <w:rsid w:val="004275CC"/>
    <w:rsid w:val="004308F3"/>
    <w:rsid w:val="004315FA"/>
    <w:rsid w:val="00431E79"/>
    <w:rsid w:val="00431ED2"/>
    <w:rsid w:val="00433482"/>
    <w:rsid w:val="004345FB"/>
    <w:rsid w:val="00435049"/>
    <w:rsid w:val="0043562B"/>
    <w:rsid w:val="00435DA6"/>
    <w:rsid w:val="0043609B"/>
    <w:rsid w:val="00436443"/>
    <w:rsid w:val="00440D16"/>
    <w:rsid w:val="0044208B"/>
    <w:rsid w:val="00442E30"/>
    <w:rsid w:val="0044320D"/>
    <w:rsid w:val="00445BCC"/>
    <w:rsid w:val="00451244"/>
    <w:rsid w:val="00451A4C"/>
    <w:rsid w:val="00451FD7"/>
    <w:rsid w:val="00452561"/>
    <w:rsid w:val="0045284E"/>
    <w:rsid w:val="0045326A"/>
    <w:rsid w:val="00453796"/>
    <w:rsid w:val="0045381F"/>
    <w:rsid w:val="0045387F"/>
    <w:rsid w:val="0046087E"/>
    <w:rsid w:val="00460B9B"/>
    <w:rsid w:val="00461409"/>
    <w:rsid w:val="00463424"/>
    <w:rsid w:val="00463F54"/>
    <w:rsid w:val="00464E71"/>
    <w:rsid w:val="00465746"/>
    <w:rsid w:val="00465DF1"/>
    <w:rsid w:val="00467287"/>
    <w:rsid w:val="00467FCA"/>
    <w:rsid w:val="004726A4"/>
    <w:rsid w:val="00476A47"/>
    <w:rsid w:val="00476AFD"/>
    <w:rsid w:val="00480821"/>
    <w:rsid w:val="004823D8"/>
    <w:rsid w:val="00487A3E"/>
    <w:rsid w:val="004906DF"/>
    <w:rsid w:val="00491D39"/>
    <w:rsid w:val="00493A8D"/>
    <w:rsid w:val="0049676D"/>
    <w:rsid w:val="0049752B"/>
    <w:rsid w:val="004A03F5"/>
    <w:rsid w:val="004A07B4"/>
    <w:rsid w:val="004A0A44"/>
    <w:rsid w:val="004A1D03"/>
    <w:rsid w:val="004A2DAD"/>
    <w:rsid w:val="004A3457"/>
    <w:rsid w:val="004A3E0C"/>
    <w:rsid w:val="004A44AF"/>
    <w:rsid w:val="004A4883"/>
    <w:rsid w:val="004A4C11"/>
    <w:rsid w:val="004A4C63"/>
    <w:rsid w:val="004A7072"/>
    <w:rsid w:val="004A7FA8"/>
    <w:rsid w:val="004B2073"/>
    <w:rsid w:val="004B34CD"/>
    <w:rsid w:val="004B4BD4"/>
    <w:rsid w:val="004B6B13"/>
    <w:rsid w:val="004C0521"/>
    <w:rsid w:val="004C2E64"/>
    <w:rsid w:val="004C3283"/>
    <w:rsid w:val="004C480C"/>
    <w:rsid w:val="004C6339"/>
    <w:rsid w:val="004D0F45"/>
    <w:rsid w:val="004D1A69"/>
    <w:rsid w:val="004D2D45"/>
    <w:rsid w:val="004D3C47"/>
    <w:rsid w:val="004D527D"/>
    <w:rsid w:val="004D598C"/>
    <w:rsid w:val="004D5C51"/>
    <w:rsid w:val="004D631A"/>
    <w:rsid w:val="004D75AB"/>
    <w:rsid w:val="004E0DA6"/>
    <w:rsid w:val="004E2CAD"/>
    <w:rsid w:val="004E2FBD"/>
    <w:rsid w:val="004E3DED"/>
    <w:rsid w:val="004E555C"/>
    <w:rsid w:val="004E6098"/>
    <w:rsid w:val="004E6F69"/>
    <w:rsid w:val="004F1316"/>
    <w:rsid w:val="004F19E7"/>
    <w:rsid w:val="004F4164"/>
    <w:rsid w:val="004F42D1"/>
    <w:rsid w:val="004F4E03"/>
    <w:rsid w:val="004F68BF"/>
    <w:rsid w:val="004F7EAF"/>
    <w:rsid w:val="005022BF"/>
    <w:rsid w:val="00502B13"/>
    <w:rsid w:val="005055D1"/>
    <w:rsid w:val="00505983"/>
    <w:rsid w:val="00510893"/>
    <w:rsid w:val="00510AEF"/>
    <w:rsid w:val="00511CB1"/>
    <w:rsid w:val="0051357F"/>
    <w:rsid w:val="00514D49"/>
    <w:rsid w:val="0051592C"/>
    <w:rsid w:val="00520136"/>
    <w:rsid w:val="0052188A"/>
    <w:rsid w:val="00524C4D"/>
    <w:rsid w:val="00524E08"/>
    <w:rsid w:val="0052697B"/>
    <w:rsid w:val="0052720F"/>
    <w:rsid w:val="00527821"/>
    <w:rsid w:val="00531E29"/>
    <w:rsid w:val="0053322D"/>
    <w:rsid w:val="00534BF7"/>
    <w:rsid w:val="005350D3"/>
    <w:rsid w:val="00535E1C"/>
    <w:rsid w:val="00537523"/>
    <w:rsid w:val="0054263F"/>
    <w:rsid w:val="005428B3"/>
    <w:rsid w:val="00544160"/>
    <w:rsid w:val="0054494A"/>
    <w:rsid w:val="005449C7"/>
    <w:rsid w:val="005461C6"/>
    <w:rsid w:val="0054655A"/>
    <w:rsid w:val="00546B0A"/>
    <w:rsid w:val="005475C1"/>
    <w:rsid w:val="005532F3"/>
    <w:rsid w:val="0055566B"/>
    <w:rsid w:val="005559E2"/>
    <w:rsid w:val="005569AF"/>
    <w:rsid w:val="00556DA4"/>
    <w:rsid w:val="005570D3"/>
    <w:rsid w:val="005574A1"/>
    <w:rsid w:val="005578D0"/>
    <w:rsid w:val="0056150E"/>
    <w:rsid w:val="00562A35"/>
    <w:rsid w:val="005635B0"/>
    <w:rsid w:val="005640B3"/>
    <w:rsid w:val="00564484"/>
    <w:rsid w:val="00565EF3"/>
    <w:rsid w:val="0056607B"/>
    <w:rsid w:val="00567132"/>
    <w:rsid w:val="00570B97"/>
    <w:rsid w:val="00571C60"/>
    <w:rsid w:val="00572320"/>
    <w:rsid w:val="00575336"/>
    <w:rsid w:val="005757EE"/>
    <w:rsid w:val="00575F26"/>
    <w:rsid w:val="005761F1"/>
    <w:rsid w:val="005763D2"/>
    <w:rsid w:val="00577B18"/>
    <w:rsid w:val="005814BC"/>
    <w:rsid w:val="00581DFF"/>
    <w:rsid w:val="00581FCC"/>
    <w:rsid w:val="0058406D"/>
    <w:rsid w:val="00585B26"/>
    <w:rsid w:val="0058651B"/>
    <w:rsid w:val="005877F1"/>
    <w:rsid w:val="0059013E"/>
    <w:rsid w:val="00590C5B"/>
    <w:rsid w:val="005917E7"/>
    <w:rsid w:val="00591861"/>
    <w:rsid w:val="00592182"/>
    <w:rsid w:val="00593945"/>
    <w:rsid w:val="00593E4F"/>
    <w:rsid w:val="00593FDC"/>
    <w:rsid w:val="005940A1"/>
    <w:rsid w:val="00596AF6"/>
    <w:rsid w:val="0059733E"/>
    <w:rsid w:val="005979FF"/>
    <w:rsid w:val="005A18D1"/>
    <w:rsid w:val="005A3316"/>
    <w:rsid w:val="005A5738"/>
    <w:rsid w:val="005A5BA9"/>
    <w:rsid w:val="005A6EF8"/>
    <w:rsid w:val="005B3952"/>
    <w:rsid w:val="005B48D5"/>
    <w:rsid w:val="005B5335"/>
    <w:rsid w:val="005B572B"/>
    <w:rsid w:val="005B6950"/>
    <w:rsid w:val="005B765F"/>
    <w:rsid w:val="005B79CA"/>
    <w:rsid w:val="005C403B"/>
    <w:rsid w:val="005C4BDA"/>
    <w:rsid w:val="005C5678"/>
    <w:rsid w:val="005D015B"/>
    <w:rsid w:val="005D0F4A"/>
    <w:rsid w:val="005D3BE2"/>
    <w:rsid w:val="005D473A"/>
    <w:rsid w:val="005D5626"/>
    <w:rsid w:val="005D6326"/>
    <w:rsid w:val="005D7ABF"/>
    <w:rsid w:val="005D7CFB"/>
    <w:rsid w:val="005E00BA"/>
    <w:rsid w:val="005E23FC"/>
    <w:rsid w:val="005E2700"/>
    <w:rsid w:val="005E39F7"/>
    <w:rsid w:val="005E591A"/>
    <w:rsid w:val="005E5F78"/>
    <w:rsid w:val="005F0911"/>
    <w:rsid w:val="005F0A8D"/>
    <w:rsid w:val="005F1D05"/>
    <w:rsid w:val="005F5C00"/>
    <w:rsid w:val="005F5D06"/>
    <w:rsid w:val="005F7688"/>
    <w:rsid w:val="00600150"/>
    <w:rsid w:val="00602E3B"/>
    <w:rsid w:val="00603321"/>
    <w:rsid w:val="00607A43"/>
    <w:rsid w:val="00610B5A"/>
    <w:rsid w:val="006112B8"/>
    <w:rsid w:val="00611CF3"/>
    <w:rsid w:val="00612B48"/>
    <w:rsid w:val="00612C73"/>
    <w:rsid w:val="00613401"/>
    <w:rsid w:val="00613E37"/>
    <w:rsid w:val="00617632"/>
    <w:rsid w:val="00620E4A"/>
    <w:rsid w:val="0062159C"/>
    <w:rsid w:val="00622EBC"/>
    <w:rsid w:val="00623E4C"/>
    <w:rsid w:val="00625069"/>
    <w:rsid w:val="00625AA4"/>
    <w:rsid w:val="0062650F"/>
    <w:rsid w:val="0062654F"/>
    <w:rsid w:val="006268AC"/>
    <w:rsid w:val="00627D14"/>
    <w:rsid w:val="00631357"/>
    <w:rsid w:val="006323FD"/>
    <w:rsid w:val="00636827"/>
    <w:rsid w:val="00637112"/>
    <w:rsid w:val="006377F6"/>
    <w:rsid w:val="00641BCB"/>
    <w:rsid w:val="00642452"/>
    <w:rsid w:val="00643360"/>
    <w:rsid w:val="0064345F"/>
    <w:rsid w:val="00644A24"/>
    <w:rsid w:val="00651ADE"/>
    <w:rsid w:val="00651E67"/>
    <w:rsid w:val="0065304A"/>
    <w:rsid w:val="00653876"/>
    <w:rsid w:val="00653C1B"/>
    <w:rsid w:val="00662294"/>
    <w:rsid w:val="00663A00"/>
    <w:rsid w:val="00663B8A"/>
    <w:rsid w:val="006672E0"/>
    <w:rsid w:val="00667739"/>
    <w:rsid w:val="00670702"/>
    <w:rsid w:val="006708A6"/>
    <w:rsid w:val="006721C7"/>
    <w:rsid w:val="00672F9A"/>
    <w:rsid w:val="006730BB"/>
    <w:rsid w:val="00675868"/>
    <w:rsid w:val="00676962"/>
    <w:rsid w:val="006808BC"/>
    <w:rsid w:val="0068103B"/>
    <w:rsid w:val="006830D0"/>
    <w:rsid w:val="006844CC"/>
    <w:rsid w:val="00684884"/>
    <w:rsid w:val="00684D2D"/>
    <w:rsid w:val="006858A1"/>
    <w:rsid w:val="00690671"/>
    <w:rsid w:val="0069082F"/>
    <w:rsid w:val="0069284C"/>
    <w:rsid w:val="00693EEA"/>
    <w:rsid w:val="00697A87"/>
    <w:rsid w:val="006A0752"/>
    <w:rsid w:val="006A2277"/>
    <w:rsid w:val="006A36BC"/>
    <w:rsid w:val="006A463C"/>
    <w:rsid w:val="006A4F96"/>
    <w:rsid w:val="006A5AE6"/>
    <w:rsid w:val="006A7015"/>
    <w:rsid w:val="006A7C5D"/>
    <w:rsid w:val="006B0B31"/>
    <w:rsid w:val="006B1C4C"/>
    <w:rsid w:val="006B209C"/>
    <w:rsid w:val="006B40E7"/>
    <w:rsid w:val="006C00FC"/>
    <w:rsid w:val="006C064A"/>
    <w:rsid w:val="006C2D45"/>
    <w:rsid w:val="006C348D"/>
    <w:rsid w:val="006C38DE"/>
    <w:rsid w:val="006C4C26"/>
    <w:rsid w:val="006C5E15"/>
    <w:rsid w:val="006C6884"/>
    <w:rsid w:val="006C6AAF"/>
    <w:rsid w:val="006C7506"/>
    <w:rsid w:val="006D07B2"/>
    <w:rsid w:val="006D0941"/>
    <w:rsid w:val="006D0993"/>
    <w:rsid w:val="006D14D7"/>
    <w:rsid w:val="006D23B7"/>
    <w:rsid w:val="006D2BB0"/>
    <w:rsid w:val="006D2E97"/>
    <w:rsid w:val="006D4748"/>
    <w:rsid w:val="006D4ABF"/>
    <w:rsid w:val="006D781A"/>
    <w:rsid w:val="006D79D5"/>
    <w:rsid w:val="006E2A8B"/>
    <w:rsid w:val="006E2AE0"/>
    <w:rsid w:val="006E6606"/>
    <w:rsid w:val="006E7283"/>
    <w:rsid w:val="006F0D1A"/>
    <w:rsid w:val="006F390D"/>
    <w:rsid w:val="006F563C"/>
    <w:rsid w:val="007012F6"/>
    <w:rsid w:val="007018AD"/>
    <w:rsid w:val="00702853"/>
    <w:rsid w:val="007039CF"/>
    <w:rsid w:val="007040A9"/>
    <w:rsid w:val="00704361"/>
    <w:rsid w:val="0070472A"/>
    <w:rsid w:val="00704E6E"/>
    <w:rsid w:val="007053CE"/>
    <w:rsid w:val="0070718D"/>
    <w:rsid w:val="0070764E"/>
    <w:rsid w:val="00707D5E"/>
    <w:rsid w:val="00710653"/>
    <w:rsid w:val="007122B3"/>
    <w:rsid w:val="007125A2"/>
    <w:rsid w:val="00713E81"/>
    <w:rsid w:val="00714EA1"/>
    <w:rsid w:val="0071575A"/>
    <w:rsid w:val="007161A0"/>
    <w:rsid w:val="00717737"/>
    <w:rsid w:val="007206CE"/>
    <w:rsid w:val="00721049"/>
    <w:rsid w:val="007226A9"/>
    <w:rsid w:val="00722946"/>
    <w:rsid w:val="0072414F"/>
    <w:rsid w:val="00725CDA"/>
    <w:rsid w:val="0072605E"/>
    <w:rsid w:val="00726552"/>
    <w:rsid w:val="0072671A"/>
    <w:rsid w:val="00727558"/>
    <w:rsid w:val="007277DF"/>
    <w:rsid w:val="007301EC"/>
    <w:rsid w:val="00730226"/>
    <w:rsid w:val="00731832"/>
    <w:rsid w:val="0073302E"/>
    <w:rsid w:val="0073328C"/>
    <w:rsid w:val="00736541"/>
    <w:rsid w:val="007366B8"/>
    <w:rsid w:val="007370A7"/>
    <w:rsid w:val="00742AEB"/>
    <w:rsid w:val="00743F8F"/>
    <w:rsid w:val="00744ACA"/>
    <w:rsid w:val="00745F30"/>
    <w:rsid w:val="00747A39"/>
    <w:rsid w:val="00747F55"/>
    <w:rsid w:val="007508FE"/>
    <w:rsid w:val="00750CE5"/>
    <w:rsid w:val="007524D8"/>
    <w:rsid w:val="00753778"/>
    <w:rsid w:val="00756515"/>
    <w:rsid w:val="00761400"/>
    <w:rsid w:val="00761C8F"/>
    <w:rsid w:val="00762878"/>
    <w:rsid w:val="007639B7"/>
    <w:rsid w:val="007645CF"/>
    <w:rsid w:val="00765927"/>
    <w:rsid w:val="007664C0"/>
    <w:rsid w:val="007667B4"/>
    <w:rsid w:val="00766A13"/>
    <w:rsid w:val="007705FC"/>
    <w:rsid w:val="007710A2"/>
    <w:rsid w:val="00771280"/>
    <w:rsid w:val="00771749"/>
    <w:rsid w:val="00771A9F"/>
    <w:rsid w:val="00775651"/>
    <w:rsid w:val="007769C1"/>
    <w:rsid w:val="00777E75"/>
    <w:rsid w:val="00781156"/>
    <w:rsid w:val="00782609"/>
    <w:rsid w:val="0078307E"/>
    <w:rsid w:val="007831AB"/>
    <w:rsid w:val="007833E8"/>
    <w:rsid w:val="007844F9"/>
    <w:rsid w:val="00786EA4"/>
    <w:rsid w:val="0079183F"/>
    <w:rsid w:val="00793278"/>
    <w:rsid w:val="007955AD"/>
    <w:rsid w:val="0079719A"/>
    <w:rsid w:val="00797A13"/>
    <w:rsid w:val="00797E6B"/>
    <w:rsid w:val="007A1419"/>
    <w:rsid w:val="007A2A78"/>
    <w:rsid w:val="007A3CE9"/>
    <w:rsid w:val="007A4597"/>
    <w:rsid w:val="007A6233"/>
    <w:rsid w:val="007A7420"/>
    <w:rsid w:val="007B3162"/>
    <w:rsid w:val="007B445B"/>
    <w:rsid w:val="007B58AA"/>
    <w:rsid w:val="007B647A"/>
    <w:rsid w:val="007B6F84"/>
    <w:rsid w:val="007B7C95"/>
    <w:rsid w:val="007C15CE"/>
    <w:rsid w:val="007C1F23"/>
    <w:rsid w:val="007C235E"/>
    <w:rsid w:val="007C2DAF"/>
    <w:rsid w:val="007C33B8"/>
    <w:rsid w:val="007C3B79"/>
    <w:rsid w:val="007C6031"/>
    <w:rsid w:val="007C6F64"/>
    <w:rsid w:val="007C7B24"/>
    <w:rsid w:val="007D0D0C"/>
    <w:rsid w:val="007D135C"/>
    <w:rsid w:val="007D16D6"/>
    <w:rsid w:val="007D1F91"/>
    <w:rsid w:val="007D28EF"/>
    <w:rsid w:val="007D594F"/>
    <w:rsid w:val="007D714B"/>
    <w:rsid w:val="007D77D8"/>
    <w:rsid w:val="007D783A"/>
    <w:rsid w:val="007E00BE"/>
    <w:rsid w:val="007E14ED"/>
    <w:rsid w:val="007E1FA6"/>
    <w:rsid w:val="007E3A32"/>
    <w:rsid w:val="007E48EF"/>
    <w:rsid w:val="007E576A"/>
    <w:rsid w:val="007E5865"/>
    <w:rsid w:val="007E5E6B"/>
    <w:rsid w:val="007E6850"/>
    <w:rsid w:val="007E70A0"/>
    <w:rsid w:val="007F024E"/>
    <w:rsid w:val="007F217A"/>
    <w:rsid w:val="007F3DB8"/>
    <w:rsid w:val="007F4E17"/>
    <w:rsid w:val="007F6C6F"/>
    <w:rsid w:val="0080099D"/>
    <w:rsid w:val="00801B1E"/>
    <w:rsid w:val="00802507"/>
    <w:rsid w:val="008031C8"/>
    <w:rsid w:val="00805829"/>
    <w:rsid w:val="00812542"/>
    <w:rsid w:val="00812C11"/>
    <w:rsid w:val="0081625D"/>
    <w:rsid w:val="00817421"/>
    <w:rsid w:val="00820971"/>
    <w:rsid w:val="00821AC9"/>
    <w:rsid w:val="00824C80"/>
    <w:rsid w:val="008253C8"/>
    <w:rsid w:val="00825DB4"/>
    <w:rsid w:val="00827C32"/>
    <w:rsid w:val="00827C44"/>
    <w:rsid w:val="00830C4F"/>
    <w:rsid w:val="008319DB"/>
    <w:rsid w:val="00831B26"/>
    <w:rsid w:val="00831C79"/>
    <w:rsid w:val="008333A6"/>
    <w:rsid w:val="0083439A"/>
    <w:rsid w:val="008344FF"/>
    <w:rsid w:val="0083461D"/>
    <w:rsid w:val="00835285"/>
    <w:rsid w:val="008358E3"/>
    <w:rsid w:val="00837093"/>
    <w:rsid w:val="00841BEC"/>
    <w:rsid w:val="00841F12"/>
    <w:rsid w:val="00844102"/>
    <w:rsid w:val="008450ED"/>
    <w:rsid w:val="00846B47"/>
    <w:rsid w:val="00850433"/>
    <w:rsid w:val="0085187C"/>
    <w:rsid w:val="0085237E"/>
    <w:rsid w:val="00853AB1"/>
    <w:rsid w:val="00853F4B"/>
    <w:rsid w:val="008542AD"/>
    <w:rsid w:val="00854753"/>
    <w:rsid w:val="00854E01"/>
    <w:rsid w:val="00856563"/>
    <w:rsid w:val="008565DA"/>
    <w:rsid w:val="00856F85"/>
    <w:rsid w:val="008573BE"/>
    <w:rsid w:val="00862031"/>
    <w:rsid w:val="008627A2"/>
    <w:rsid w:val="0086309A"/>
    <w:rsid w:val="0086389D"/>
    <w:rsid w:val="00863C35"/>
    <w:rsid w:val="008647D5"/>
    <w:rsid w:val="00870978"/>
    <w:rsid w:val="00872AE1"/>
    <w:rsid w:val="00876351"/>
    <w:rsid w:val="008806ED"/>
    <w:rsid w:val="00881DF6"/>
    <w:rsid w:val="00881F37"/>
    <w:rsid w:val="0088366B"/>
    <w:rsid w:val="00883A41"/>
    <w:rsid w:val="0088410F"/>
    <w:rsid w:val="00884754"/>
    <w:rsid w:val="008855FA"/>
    <w:rsid w:val="00885C75"/>
    <w:rsid w:val="00885CCD"/>
    <w:rsid w:val="00887995"/>
    <w:rsid w:val="00890CF1"/>
    <w:rsid w:val="00892DA7"/>
    <w:rsid w:val="008937E8"/>
    <w:rsid w:val="00895A92"/>
    <w:rsid w:val="008967F8"/>
    <w:rsid w:val="00896A09"/>
    <w:rsid w:val="008971D2"/>
    <w:rsid w:val="008973C0"/>
    <w:rsid w:val="00897B2E"/>
    <w:rsid w:val="008A05A9"/>
    <w:rsid w:val="008A0C07"/>
    <w:rsid w:val="008A0D0A"/>
    <w:rsid w:val="008A14A6"/>
    <w:rsid w:val="008A1AC7"/>
    <w:rsid w:val="008A3362"/>
    <w:rsid w:val="008A38B2"/>
    <w:rsid w:val="008A67FA"/>
    <w:rsid w:val="008A685A"/>
    <w:rsid w:val="008A6D7E"/>
    <w:rsid w:val="008A7A33"/>
    <w:rsid w:val="008A7BFA"/>
    <w:rsid w:val="008A7F34"/>
    <w:rsid w:val="008B1134"/>
    <w:rsid w:val="008B1797"/>
    <w:rsid w:val="008B2637"/>
    <w:rsid w:val="008B51F2"/>
    <w:rsid w:val="008B714F"/>
    <w:rsid w:val="008C021C"/>
    <w:rsid w:val="008C1DAF"/>
    <w:rsid w:val="008C1E2E"/>
    <w:rsid w:val="008C3C37"/>
    <w:rsid w:val="008C3F41"/>
    <w:rsid w:val="008C41B8"/>
    <w:rsid w:val="008C4CB3"/>
    <w:rsid w:val="008C5041"/>
    <w:rsid w:val="008C69D6"/>
    <w:rsid w:val="008C7D9D"/>
    <w:rsid w:val="008D0050"/>
    <w:rsid w:val="008D068F"/>
    <w:rsid w:val="008D3818"/>
    <w:rsid w:val="008D38C9"/>
    <w:rsid w:val="008D3D3D"/>
    <w:rsid w:val="008D469A"/>
    <w:rsid w:val="008D48FD"/>
    <w:rsid w:val="008D59EE"/>
    <w:rsid w:val="008D65AF"/>
    <w:rsid w:val="008D74DC"/>
    <w:rsid w:val="008E1860"/>
    <w:rsid w:val="008E2464"/>
    <w:rsid w:val="008E3512"/>
    <w:rsid w:val="008E35A6"/>
    <w:rsid w:val="008E4181"/>
    <w:rsid w:val="008E42EA"/>
    <w:rsid w:val="008E508A"/>
    <w:rsid w:val="008E5217"/>
    <w:rsid w:val="008F1996"/>
    <w:rsid w:val="008F1F28"/>
    <w:rsid w:val="008F5DC9"/>
    <w:rsid w:val="008F5F6B"/>
    <w:rsid w:val="008F617A"/>
    <w:rsid w:val="008F66F0"/>
    <w:rsid w:val="008F7DA2"/>
    <w:rsid w:val="00900605"/>
    <w:rsid w:val="00901855"/>
    <w:rsid w:val="009032C3"/>
    <w:rsid w:val="00903D04"/>
    <w:rsid w:val="009042E6"/>
    <w:rsid w:val="00904682"/>
    <w:rsid w:val="00904E34"/>
    <w:rsid w:val="009103B4"/>
    <w:rsid w:val="00910B00"/>
    <w:rsid w:val="00912E42"/>
    <w:rsid w:val="00916C7C"/>
    <w:rsid w:val="0091768B"/>
    <w:rsid w:val="0092033B"/>
    <w:rsid w:val="00921A8A"/>
    <w:rsid w:val="00921D72"/>
    <w:rsid w:val="00923833"/>
    <w:rsid w:val="0092451F"/>
    <w:rsid w:val="00924B0E"/>
    <w:rsid w:val="00925BB9"/>
    <w:rsid w:val="0092698F"/>
    <w:rsid w:val="009340BE"/>
    <w:rsid w:val="00934591"/>
    <w:rsid w:val="00934833"/>
    <w:rsid w:val="00934EBF"/>
    <w:rsid w:val="00936287"/>
    <w:rsid w:val="00937F82"/>
    <w:rsid w:val="00942330"/>
    <w:rsid w:val="00943B70"/>
    <w:rsid w:val="00945689"/>
    <w:rsid w:val="00946F17"/>
    <w:rsid w:val="009471CF"/>
    <w:rsid w:val="00947776"/>
    <w:rsid w:val="00947FC4"/>
    <w:rsid w:val="00950311"/>
    <w:rsid w:val="009503CD"/>
    <w:rsid w:val="00950AC0"/>
    <w:rsid w:val="009523DF"/>
    <w:rsid w:val="0095258F"/>
    <w:rsid w:val="00954246"/>
    <w:rsid w:val="00954280"/>
    <w:rsid w:val="009545EB"/>
    <w:rsid w:val="00954E5E"/>
    <w:rsid w:val="00955C64"/>
    <w:rsid w:val="00955E6B"/>
    <w:rsid w:val="009572EC"/>
    <w:rsid w:val="00960C1F"/>
    <w:rsid w:val="0096247D"/>
    <w:rsid w:val="00962EFA"/>
    <w:rsid w:val="009639BD"/>
    <w:rsid w:val="00966223"/>
    <w:rsid w:val="00970E6C"/>
    <w:rsid w:val="0097190D"/>
    <w:rsid w:val="009732C7"/>
    <w:rsid w:val="00977586"/>
    <w:rsid w:val="0097761F"/>
    <w:rsid w:val="00981AD0"/>
    <w:rsid w:val="00981DDA"/>
    <w:rsid w:val="00983AEB"/>
    <w:rsid w:val="0098764F"/>
    <w:rsid w:val="00987F26"/>
    <w:rsid w:val="009915AC"/>
    <w:rsid w:val="0099335E"/>
    <w:rsid w:val="00995591"/>
    <w:rsid w:val="009957B9"/>
    <w:rsid w:val="00996DC7"/>
    <w:rsid w:val="00996E12"/>
    <w:rsid w:val="00997088"/>
    <w:rsid w:val="009979E8"/>
    <w:rsid w:val="00997ACB"/>
    <w:rsid w:val="009A033F"/>
    <w:rsid w:val="009A0D67"/>
    <w:rsid w:val="009A653C"/>
    <w:rsid w:val="009A65B9"/>
    <w:rsid w:val="009A7732"/>
    <w:rsid w:val="009B08E7"/>
    <w:rsid w:val="009B1D4B"/>
    <w:rsid w:val="009B2CA6"/>
    <w:rsid w:val="009B33B9"/>
    <w:rsid w:val="009B5573"/>
    <w:rsid w:val="009B792A"/>
    <w:rsid w:val="009C1CF7"/>
    <w:rsid w:val="009C1EB5"/>
    <w:rsid w:val="009C2DB9"/>
    <w:rsid w:val="009C3184"/>
    <w:rsid w:val="009C3E02"/>
    <w:rsid w:val="009C3FD7"/>
    <w:rsid w:val="009C4B1A"/>
    <w:rsid w:val="009D1253"/>
    <w:rsid w:val="009D43BB"/>
    <w:rsid w:val="009D52A9"/>
    <w:rsid w:val="009D595F"/>
    <w:rsid w:val="009E06B6"/>
    <w:rsid w:val="009E1D89"/>
    <w:rsid w:val="009E30F9"/>
    <w:rsid w:val="009E4E5B"/>
    <w:rsid w:val="009E57BE"/>
    <w:rsid w:val="009F2A6A"/>
    <w:rsid w:val="009F515C"/>
    <w:rsid w:val="009F5F26"/>
    <w:rsid w:val="009F75F2"/>
    <w:rsid w:val="009F7DA9"/>
    <w:rsid w:val="00A01E84"/>
    <w:rsid w:val="00A01F35"/>
    <w:rsid w:val="00A02080"/>
    <w:rsid w:val="00A02631"/>
    <w:rsid w:val="00A0274F"/>
    <w:rsid w:val="00A02C96"/>
    <w:rsid w:val="00A0432C"/>
    <w:rsid w:val="00A045F4"/>
    <w:rsid w:val="00A04D3B"/>
    <w:rsid w:val="00A0616B"/>
    <w:rsid w:val="00A06281"/>
    <w:rsid w:val="00A0630C"/>
    <w:rsid w:val="00A065E4"/>
    <w:rsid w:val="00A06C1B"/>
    <w:rsid w:val="00A079B8"/>
    <w:rsid w:val="00A10BD1"/>
    <w:rsid w:val="00A11794"/>
    <w:rsid w:val="00A125D6"/>
    <w:rsid w:val="00A2090B"/>
    <w:rsid w:val="00A2133B"/>
    <w:rsid w:val="00A25AC1"/>
    <w:rsid w:val="00A26EBC"/>
    <w:rsid w:val="00A26FEE"/>
    <w:rsid w:val="00A307C0"/>
    <w:rsid w:val="00A33BCF"/>
    <w:rsid w:val="00A33C5F"/>
    <w:rsid w:val="00A36004"/>
    <w:rsid w:val="00A37CB0"/>
    <w:rsid w:val="00A4088D"/>
    <w:rsid w:val="00A40A4D"/>
    <w:rsid w:val="00A42ED5"/>
    <w:rsid w:val="00A4468A"/>
    <w:rsid w:val="00A469AB"/>
    <w:rsid w:val="00A51E16"/>
    <w:rsid w:val="00A53BD2"/>
    <w:rsid w:val="00A5480E"/>
    <w:rsid w:val="00A5492C"/>
    <w:rsid w:val="00A63137"/>
    <w:rsid w:val="00A6399A"/>
    <w:rsid w:val="00A6462F"/>
    <w:rsid w:val="00A64A1F"/>
    <w:rsid w:val="00A66EFA"/>
    <w:rsid w:val="00A71B7E"/>
    <w:rsid w:val="00A7200C"/>
    <w:rsid w:val="00A7269D"/>
    <w:rsid w:val="00A7489D"/>
    <w:rsid w:val="00A7554C"/>
    <w:rsid w:val="00A75987"/>
    <w:rsid w:val="00A82BEF"/>
    <w:rsid w:val="00A82F81"/>
    <w:rsid w:val="00A83A8C"/>
    <w:rsid w:val="00A83B07"/>
    <w:rsid w:val="00A86250"/>
    <w:rsid w:val="00A868FC"/>
    <w:rsid w:val="00A86BAC"/>
    <w:rsid w:val="00A86F98"/>
    <w:rsid w:val="00A879E1"/>
    <w:rsid w:val="00A92538"/>
    <w:rsid w:val="00A941FC"/>
    <w:rsid w:val="00A9488A"/>
    <w:rsid w:val="00A96606"/>
    <w:rsid w:val="00A9695B"/>
    <w:rsid w:val="00A96A9B"/>
    <w:rsid w:val="00A978D4"/>
    <w:rsid w:val="00AA0D5D"/>
    <w:rsid w:val="00AA32BF"/>
    <w:rsid w:val="00AA3C2A"/>
    <w:rsid w:val="00AA50FB"/>
    <w:rsid w:val="00AA638A"/>
    <w:rsid w:val="00AA7943"/>
    <w:rsid w:val="00AB08F2"/>
    <w:rsid w:val="00AB1982"/>
    <w:rsid w:val="00AB35C1"/>
    <w:rsid w:val="00AB42F3"/>
    <w:rsid w:val="00AB45DA"/>
    <w:rsid w:val="00AB5347"/>
    <w:rsid w:val="00AB540A"/>
    <w:rsid w:val="00AC0D1A"/>
    <w:rsid w:val="00AC1178"/>
    <w:rsid w:val="00AC2A97"/>
    <w:rsid w:val="00AC565B"/>
    <w:rsid w:val="00AC58B4"/>
    <w:rsid w:val="00AC6145"/>
    <w:rsid w:val="00AC69A9"/>
    <w:rsid w:val="00AC7BCF"/>
    <w:rsid w:val="00AD0718"/>
    <w:rsid w:val="00AD0F70"/>
    <w:rsid w:val="00AD1879"/>
    <w:rsid w:val="00AD1E00"/>
    <w:rsid w:val="00AD2114"/>
    <w:rsid w:val="00AD3549"/>
    <w:rsid w:val="00AD3D41"/>
    <w:rsid w:val="00AD526D"/>
    <w:rsid w:val="00AD551A"/>
    <w:rsid w:val="00AE0A06"/>
    <w:rsid w:val="00AE18B6"/>
    <w:rsid w:val="00AE1F92"/>
    <w:rsid w:val="00AE257A"/>
    <w:rsid w:val="00AE544C"/>
    <w:rsid w:val="00AE70D7"/>
    <w:rsid w:val="00AE7770"/>
    <w:rsid w:val="00AE7EA0"/>
    <w:rsid w:val="00AF139E"/>
    <w:rsid w:val="00AF42B8"/>
    <w:rsid w:val="00AF5AAD"/>
    <w:rsid w:val="00AF6288"/>
    <w:rsid w:val="00AF63D0"/>
    <w:rsid w:val="00B005BC"/>
    <w:rsid w:val="00B01C44"/>
    <w:rsid w:val="00B04F3F"/>
    <w:rsid w:val="00B0575C"/>
    <w:rsid w:val="00B06104"/>
    <w:rsid w:val="00B0664D"/>
    <w:rsid w:val="00B07B4E"/>
    <w:rsid w:val="00B07D9C"/>
    <w:rsid w:val="00B10630"/>
    <w:rsid w:val="00B10760"/>
    <w:rsid w:val="00B12267"/>
    <w:rsid w:val="00B12806"/>
    <w:rsid w:val="00B1400E"/>
    <w:rsid w:val="00B156C4"/>
    <w:rsid w:val="00B157BF"/>
    <w:rsid w:val="00B157EE"/>
    <w:rsid w:val="00B167EE"/>
    <w:rsid w:val="00B17778"/>
    <w:rsid w:val="00B17E6D"/>
    <w:rsid w:val="00B17FD0"/>
    <w:rsid w:val="00B21953"/>
    <w:rsid w:val="00B22DB2"/>
    <w:rsid w:val="00B2311E"/>
    <w:rsid w:val="00B26279"/>
    <w:rsid w:val="00B264F6"/>
    <w:rsid w:val="00B35153"/>
    <w:rsid w:val="00B36024"/>
    <w:rsid w:val="00B41600"/>
    <w:rsid w:val="00B41F91"/>
    <w:rsid w:val="00B4269E"/>
    <w:rsid w:val="00B42ADA"/>
    <w:rsid w:val="00B450F0"/>
    <w:rsid w:val="00B45953"/>
    <w:rsid w:val="00B460B9"/>
    <w:rsid w:val="00B46F13"/>
    <w:rsid w:val="00B47BFD"/>
    <w:rsid w:val="00B51001"/>
    <w:rsid w:val="00B51972"/>
    <w:rsid w:val="00B5363E"/>
    <w:rsid w:val="00B54233"/>
    <w:rsid w:val="00B55DF5"/>
    <w:rsid w:val="00B571DE"/>
    <w:rsid w:val="00B57604"/>
    <w:rsid w:val="00B57C0D"/>
    <w:rsid w:val="00B61121"/>
    <w:rsid w:val="00B617A9"/>
    <w:rsid w:val="00B62821"/>
    <w:rsid w:val="00B65A98"/>
    <w:rsid w:val="00B67C8D"/>
    <w:rsid w:val="00B718AB"/>
    <w:rsid w:val="00B7199D"/>
    <w:rsid w:val="00B724F0"/>
    <w:rsid w:val="00B7361F"/>
    <w:rsid w:val="00B7475B"/>
    <w:rsid w:val="00B75009"/>
    <w:rsid w:val="00B76047"/>
    <w:rsid w:val="00B779F2"/>
    <w:rsid w:val="00B80052"/>
    <w:rsid w:val="00B81780"/>
    <w:rsid w:val="00B81F00"/>
    <w:rsid w:val="00B834F5"/>
    <w:rsid w:val="00B8373A"/>
    <w:rsid w:val="00B83B23"/>
    <w:rsid w:val="00B840EA"/>
    <w:rsid w:val="00B857C2"/>
    <w:rsid w:val="00B86786"/>
    <w:rsid w:val="00B87068"/>
    <w:rsid w:val="00B87FA5"/>
    <w:rsid w:val="00B920CF"/>
    <w:rsid w:val="00B92300"/>
    <w:rsid w:val="00B93534"/>
    <w:rsid w:val="00B93F73"/>
    <w:rsid w:val="00B94A24"/>
    <w:rsid w:val="00B96C8A"/>
    <w:rsid w:val="00B97560"/>
    <w:rsid w:val="00BA1AAA"/>
    <w:rsid w:val="00BA202B"/>
    <w:rsid w:val="00BA3161"/>
    <w:rsid w:val="00BA5D0E"/>
    <w:rsid w:val="00BB0507"/>
    <w:rsid w:val="00BB261B"/>
    <w:rsid w:val="00BB3286"/>
    <w:rsid w:val="00BB3A1D"/>
    <w:rsid w:val="00BB3D71"/>
    <w:rsid w:val="00BB7B80"/>
    <w:rsid w:val="00BB7EE3"/>
    <w:rsid w:val="00BC1189"/>
    <w:rsid w:val="00BC11D4"/>
    <w:rsid w:val="00BC17F7"/>
    <w:rsid w:val="00BC257D"/>
    <w:rsid w:val="00BC2829"/>
    <w:rsid w:val="00BC3D48"/>
    <w:rsid w:val="00BC4133"/>
    <w:rsid w:val="00BC50AB"/>
    <w:rsid w:val="00BC53F8"/>
    <w:rsid w:val="00BC61E1"/>
    <w:rsid w:val="00BC666A"/>
    <w:rsid w:val="00BC692A"/>
    <w:rsid w:val="00BD08EB"/>
    <w:rsid w:val="00BD0B9B"/>
    <w:rsid w:val="00BD17B7"/>
    <w:rsid w:val="00BD3D47"/>
    <w:rsid w:val="00BD3DCD"/>
    <w:rsid w:val="00BD3F98"/>
    <w:rsid w:val="00BD5E86"/>
    <w:rsid w:val="00BD76E5"/>
    <w:rsid w:val="00BD7E2D"/>
    <w:rsid w:val="00BE0453"/>
    <w:rsid w:val="00BE05F9"/>
    <w:rsid w:val="00BE3332"/>
    <w:rsid w:val="00BE7314"/>
    <w:rsid w:val="00BE73A1"/>
    <w:rsid w:val="00BE7417"/>
    <w:rsid w:val="00BE7FBB"/>
    <w:rsid w:val="00BF018F"/>
    <w:rsid w:val="00BF06A4"/>
    <w:rsid w:val="00BF0D43"/>
    <w:rsid w:val="00BF3B17"/>
    <w:rsid w:val="00BF4195"/>
    <w:rsid w:val="00BF444C"/>
    <w:rsid w:val="00BF7BC9"/>
    <w:rsid w:val="00C01366"/>
    <w:rsid w:val="00C014EA"/>
    <w:rsid w:val="00C01C39"/>
    <w:rsid w:val="00C01FB7"/>
    <w:rsid w:val="00C02E9E"/>
    <w:rsid w:val="00C060D3"/>
    <w:rsid w:val="00C0647A"/>
    <w:rsid w:val="00C10313"/>
    <w:rsid w:val="00C10AAB"/>
    <w:rsid w:val="00C10E53"/>
    <w:rsid w:val="00C110C3"/>
    <w:rsid w:val="00C1442B"/>
    <w:rsid w:val="00C15BCC"/>
    <w:rsid w:val="00C209ED"/>
    <w:rsid w:val="00C21295"/>
    <w:rsid w:val="00C2486F"/>
    <w:rsid w:val="00C25700"/>
    <w:rsid w:val="00C25F96"/>
    <w:rsid w:val="00C31822"/>
    <w:rsid w:val="00C32203"/>
    <w:rsid w:val="00C32CB9"/>
    <w:rsid w:val="00C334A4"/>
    <w:rsid w:val="00C35E73"/>
    <w:rsid w:val="00C362FC"/>
    <w:rsid w:val="00C36855"/>
    <w:rsid w:val="00C3725D"/>
    <w:rsid w:val="00C41E6A"/>
    <w:rsid w:val="00C43027"/>
    <w:rsid w:val="00C44733"/>
    <w:rsid w:val="00C464CB"/>
    <w:rsid w:val="00C4654B"/>
    <w:rsid w:val="00C501C4"/>
    <w:rsid w:val="00C506E2"/>
    <w:rsid w:val="00C50869"/>
    <w:rsid w:val="00C50AC8"/>
    <w:rsid w:val="00C51C18"/>
    <w:rsid w:val="00C543A6"/>
    <w:rsid w:val="00C55378"/>
    <w:rsid w:val="00C55B2D"/>
    <w:rsid w:val="00C606FD"/>
    <w:rsid w:val="00C6113E"/>
    <w:rsid w:val="00C62C1A"/>
    <w:rsid w:val="00C6323C"/>
    <w:rsid w:val="00C67D5B"/>
    <w:rsid w:val="00C701E5"/>
    <w:rsid w:val="00C74A28"/>
    <w:rsid w:val="00C76160"/>
    <w:rsid w:val="00C763F2"/>
    <w:rsid w:val="00C77201"/>
    <w:rsid w:val="00C80C05"/>
    <w:rsid w:val="00C8119A"/>
    <w:rsid w:val="00C8137E"/>
    <w:rsid w:val="00C8187F"/>
    <w:rsid w:val="00C822ED"/>
    <w:rsid w:val="00C82927"/>
    <w:rsid w:val="00C844DE"/>
    <w:rsid w:val="00C85816"/>
    <w:rsid w:val="00C863F8"/>
    <w:rsid w:val="00C87CCC"/>
    <w:rsid w:val="00C9006B"/>
    <w:rsid w:val="00C90249"/>
    <w:rsid w:val="00C905C8"/>
    <w:rsid w:val="00C90FA7"/>
    <w:rsid w:val="00C92E4E"/>
    <w:rsid w:val="00C92EDA"/>
    <w:rsid w:val="00C95463"/>
    <w:rsid w:val="00C95DBB"/>
    <w:rsid w:val="00C9717D"/>
    <w:rsid w:val="00CA017C"/>
    <w:rsid w:val="00CA18D7"/>
    <w:rsid w:val="00CA3307"/>
    <w:rsid w:val="00CA3F43"/>
    <w:rsid w:val="00CA53D3"/>
    <w:rsid w:val="00CA6653"/>
    <w:rsid w:val="00CA7703"/>
    <w:rsid w:val="00CA7991"/>
    <w:rsid w:val="00CB05CF"/>
    <w:rsid w:val="00CB2B44"/>
    <w:rsid w:val="00CB2C7A"/>
    <w:rsid w:val="00CB5E65"/>
    <w:rsid w:val="00CB5FFB"/>
    <w:rsid w:val="00CB6874"/>
    <w:rsid w:val="00CC07F9"/>
    <w:rsid w:val="00CC1C1A"/>
    <w:rsid w:val="00CC1F61"/>
    <w:rsid w:val="00CC31E2"/>
    <w:rsid w:val="00CC3CBB"/>
    <w:rsid w:val="00CC4797"/>
    <w:rsid w:val="00CC4BA8"/>
    <w:rsid w:val="00CC5CA7"/>
    <w:rsid w:val="00CC6584"/>
    <w:rsid w:val="00CC71EA"/>
    <w:rsid w:val="00CC75A4"/>
    <w:rsid w:val="00CC7AD5"/>
    <w:rsid w:val="00CC7DFE"/>
    <w:rsid w:val="00CD0B99"/>
    <w:rsid w:val="00CD1132"/>
    <w:rsid w:val="00CD1238"/>
    <w:rsid w:val="00CD1FAC"/>
    <w:rsid w:val="00CD2F7B"/>
    <w:rsid w:val="00CD35AA"/>
    <w:rsid w:val="00CD3B53"/>
    <w:rsid w:val="00CD49C0"/>
    <w:rsid w:val="00CD561C"/>
    <w:rsid w:val="00CD5987"/>
    <w:rsid w:val="00CD65CA"/>
    <w:rsid w:val="00CD69A3"/>
    <w:rsid w:val="00CD7AD5"/>
    <w:rsid w:val="00CE3877"/>
    <w:rsid w:val="00CE48BF"/>
    <w:rsid w:val="00CF09B0"/>
    <w:rsid w:val="00CF18AD"/>
    <w:rsid w:val="00CF2812"/>
    <w:rsid w:val="00CF4856"/>
    <w:rsid w:val="00CF4C46"/>
    <w:rsid w:val="00CF4F15"/>
    <w:rsid w:val="00CF6C6D"/>
    <w:rsid w:val="00D0381A"/>
    <w:rsid w:val="00D03F64"/>
    <w:rsid w:val="00D05230"/>
    <w:rsid w:val="00D05D71"/>
    <w:rsid w:val="00D05E41"/>
    <w:rsid w:val="00D066B7"/>
    <w:rsid w:val="00D10D91"/>
    <w:rsid w:val="00D11529"/>
    <w:rsid w:val="00D11AB8"/>
    <w:rsid w:val="00D12FE0"/>
    <w:rsid w:val="00D140B7"/>
    <w:rsid w:val="00D14FF6"/>
    <w:rsid w:val="00D175AE"/>
    <w:rsid w:val="00D20986"/>
    <w:rsid w:val="00D20B5C"/>
    <w:rsid w:val="00D219AB"/>
    <w:rsid w:val="00D2376F"/>
    <w:rsid w:val="00D23770"/>
    <w:rsid w:val="00D23A92"/>
    <w:rsid w:val="00D258E9"/>
    <w:rsid w:val="00D2722D"/>
    <w:rsid w:val="00D30CF1"/>
    <w:rsid w:val="00D31ED6"/>
    <w:rsid w:val="00D32F6F"/>
    <w:rsid w:val="00D35202"/>
    <w:rsid w:val="00D37E49"/>
    <w:rsid w:val="00D40FE0"/>
    <w:rsid w:val="00D4164D"/>
    <w:rsid w:val="00D41808"/>
    <w:rsid w:val="00D4256B"/>
    <w:rsid w:val="00D42FB2"/>
    <w:rsid w:val="00D43ED7"/>
    <w:rsid w:val="00D4430F"/>
    <w:rsid w:val="00D443C6"/>
    <w:rsid w:val="00D4515C"/>
    <w:rsid w:val="00D462A6"/>
    <w:rsid w:val="00D46903"/>
    <w:rsid w:val="00D47271"/>
    <w:rsid w:val="00D507A7"/>
    <w:rsid w:val="00D51A44"/>
    <w:rsid w:val="00D51E92"/>
    <w:rsid w:val="00D52E36"/>
    <w:rsid w:val="00D5328F"/>
    <w:rsid w:val="00D536D3"/>
    <w:rsid w:val="00D53D8D"/>
    <w:rsid w:val="00D56E36"/>
    <w:rsid w:val="00D60385"/>
    <w:rsid w:val="00D60FAB"/>
    <w:rsid w:val="00D61533"/>
    <w:rsid w:val="00D6190F"/>
    <w:rsid w:val="00D625A3"/>
    <w:rsid w:val="00D62FEA"/>
    <w:rsid w:val="00D63365"/>
    <w:rsid w:val="00D656B1"/>
    <w:rsid w:val="00D6754B"/>
    <w:rsid w:val="00D67B21"/>
    <w:rsid w:val="00D7230A"/>
    <w:rsid w:val="00D752CA"/>
    <w:rsid w:val="00D75403"/>
    <w:rsid w:val="00D7602C"/>
    <w:rsid w:val="00D76450"/>
    <w:rsid w:val="00D7653C"/>
    <w:rsid w:val="00D77A68"/>
    <w:rsid w:val="00D83360"/>
    <w:rsid w:val="00D83FAB"/>
    <w:rsid w:val="00D91926"/>
    <w:rsid w:val="00D91A0D"/>
    <w:rsid w:val="00D920D4"/>
    <w:rsid w:val="00D92665"/>
    <w:rsid w:val="00D95A2D"/>
    <w:rsid w:val="00D95FE6"/>
    <w:rsid w:val="00D97C9C"/>
    <w:rsid w:val="00DA009F"/>
    <w:rsid w:val="00DA0DE5"/>
    <w:rsid w:val="00DA1F0D"/>
    <w:rsid w:val="00DA3CDA"/>
    <w:rsid w:val="00DA428A"/>
    <w:rsid w:val="00DA4C5B"/>
    <w:rsid w:val="00DA7016"/>
    <w:rsid w:val="00DB041C"/>
    <w:rsid w:val="00DB13F9"/>
    <w:rsid w:val="00DB19ED"/>
    <w:rsid w:val="00DB226E"/>
    <w:rsid w:val="00DB2436"/>
    <w:rsid w:val="00DB3370"/>
    <w:rsid w:val="00DB53CB"/>
    <w:rsid w:val="00DB569B"/>
    <w:rsid w:val="00DB5F4E"/>
    <w:rsid w:val="00DB75CC"/>
    <w:rsid w:val="00DB767E"/>
    <w:rsid w:val="00DC0CCF"/>
    <w:rsid w:val="00DC2522"/>
    <w:rsid w:val="00DC366F"/>
    <w:rsid w:val="00DC4CFC"/>
    <w:rsid w:val="00DC4E9D"/>
    <w:rsid w:val="00DC7B16"/>
    <w:rsid w:val="00DD1467"/>
    <w:rsid w:val="00DD2144"/>
    <w:rsid w:val="00DD2FB9"/>
    <w:rsid w:val="00DD38C4"/>
    <w:rsid w:val="00DD41B9"/>
    <w:rsid w:val="00DD70F0"/>
    <w:rsid w:val="00DE08ED"/>
    <w:rsid w:val="00DE0A7C"/>
    <w:rsid w:val="00DE15C9"/>
    <w:rsid w:val="00DE19CE"/>
    <w:rsid w:val="00DE2076"/>
    <w:rsid w:val="00DE2B7A"/>
    <w:rsid w:val="00DE4825"/>
    <w:rsid w:val="00DE61EB"/>
    <w:rsid w:val="00DE6656"/>
    <w:rsid w:val="00DF179A"/>
    <w:rsid w:val="00DF2C06"/>
    <w:rsid w:val="00DF4BED"/>
    <w:rsid w:val="00DF505F"/>
    <w:rsid w:val="00DF6A7C"/>
    <w:rsid w:val="00DF7EFC"/>
    <w:rsid w:val="00E0021C"/>
    <w:rsid w:val="00E01C67"/>
    <w:rsid w:val="00E02084"/>
    <w:rsid w:val="00E02678"/>
    <w:rsid w:val="00E026E8"/>
    <w:rsid w:val="00E02A97"/>
    <w:rsid w:val="00E039B6"/>
    <w:rsid w:val="00E052B0"/>
    <w:rsid w:val="00E05653"/>
    <w:rsid w:val="00E075F4"/>
    <w:rsid w:val="00E10E02"/>
    <w:rsid w:val="00E116A3"/>
    <w:rsid w:val="00E11F6F"/>
    <w:rsid w:val="00E12042"/>
    <w:rsid w:val="00E132AD"/>
    <w:rsid w:val="00E15642"/>
    <w:rsid w:val="00E15B53"/>
    <w:rsid w:val="00E21055"/>
    <w:rsid w:val="00E22615"/>
    <w:rsid w:val="00E23633"/>
    <w:rsid w:val="00E256DE"/>
    <w:rsid w:val="00E32169"/>
    <w:rsid w:val="00E334C0"/>
    <w:rsid w:val="00E34E56"/>
    <w:rsid w:val="00E35ECB"/>
    <w:rsid w:val="00E36457"/>
    <w:rsid w:val="00E36841"/>
    <w:rsid w:val="00E404B8"/>
    <w:rsid w:val="00E40F2C"/>
    <w:rsid w:val="00E4130B"/>
    <w:rsid w:val="00E42EB1"/>
    <w:rsid w:val="00E439C0"/>
    <w:rsid w:val="00E445DD"/>
    <w:rsid w:val="00E4629B"/>
    <w:rsid w:val="00E46CD8"/>
    <w:rsid w:val="00E47761"/>
    <w:rsid w:val="00E47B18"/>
    <w:rsid w:val="00E53BF8"/>
    <w:rsid w:val="00E550FE"/>
    <w:rsid w:val="00E5671F"/>
    <w:rsid w:val="00E57289"/>
    <w:rsid w:val="00E57C7C"/>
    <w:rsid w:val="00E600DC"/>
    <w:rsid w:val="00E61311"/>
    <w:rsid w:val="00E617B2"/>
    <w:rsid w:val="00E61D67"/>
    <w:rsid w:val="00E63DE4"/>
    <w:rsid w:val="00E66B9A"/>
    <w:rsid w:val="00E66FE2"/>
    <w:rsid w:val="00E6701D"/>
    <w:rsid w:val="00E70FFE"/>
    <w:rsid w:val="00E711DB"/>
    <w:rsid w:val="00E717AC"/>
    <w:rsid w:val="00E72D14"/>
    <w:rsid w:val="00E746A6"/>
    <w:rsid w:val="00E75124"/>
    <w:rsid w:val="00E761B1"/>
    <w:rsid w:val="00E778CA"/>
    <w:rsid w:val="00E80836"/>
    <w:rsid w:val="00E80E63"/>
    <w:rsid w:val="00E8148B"/>
    <w:rsid w:val="00E81F11"/>
    <w:rsid w:val="00E825EA"/>
    <w:rsid w:val="00E825FA"/>
    <w:rsid w:val="00E829F8"/>
    <w:rsid w:val="00E870F7"/>
    <w:rsid w:val="00E875AF"/>
    <w:rsid w:val="00E87D6D"/>
    <w:rsid w:val="00E90F95"/>
    <w:rsid w:val="00E910F4"/>
    <w:rsid w:val="00E94114"/>
    <w:rsid w:val="00EA03FE"/>
    <w:rsid w:val="00EA1945"/>
    <w:rsid w:val="00EA2D16"/>
    <w:rsid w:val="00EA7294"/>
    <w:rsid w:val="00EA72C3"/>
    <w:rsid w:val="00EA7C2E"/>
    <w:rsid w:val="00EB06E2"/>
    <w:rsid w:val="00EB097F"/>
    <w:rsid w:val="00EB5948"/>
    <w:rsid w:val="00EB5E00"/>
    <w:rsid w:val="00EB71BE"/>
    <w:rsid w:val="00EB774B"/>
    <w:rsid w:val="00EB7EEC"/>
    <w:rsid w:val="00EC04A8"/>
    <w:rsid w:val="00EC1DF0"/>
    <w:rsid w:val="00EC2177"/>
    <w:rsid w:val="00EC26E7"/>
    <w:rsid w:val="00EC4D74"/>
    <w:rsid w:val="00EC4E95"/>
    <w:rsid w:val="00EC5381"/>
    <w:rsid w:val="00EC55D9"/>
    <w:rsid w:val="00EC5986"/>
    <w:rsid w:val="00ED1584"/>
    <w:rsid w:val="00ED342B"/>
    <w:rsid w:val="00ED3A95"/>
    <w:rsid w:val="00ED4C90"/>
    <w:rsid w:val="00EE3058"/>
    <w:rsid w:val="00EE4654"/>
    <w:rsid w:val="00EE7FB6"/>
    <w:rsid w:val="00EF11E9"/>
    <w:rsid w:val="00EF1773"/>
    <w:rsid w:val="00EF19EA"/>
    <w:rsid w:val="00EF2D45"/>
    <w:rsid w:val="00EF3B8D"/>
    <w:rsid w:val="00EF4864"/>
    <w:rsid w:val="00EF4BA5"/>
    <w:rsid w:val="00EF4E51"/>
    <w:rsid w:val="00EF679D"/>
    <w:rsid w:val="00EF68D2"/>
    <w:rsid w:val="00EF6E97"/>
    <w:rsid w:val="00EF7D34"/>
    <w:rsid w:val="00F000A5"/>
    <w:rsid w:val="00F00FD2"/>
    <w:rsid w:val="00F0184A"/>
    <w:rsid w:val="00F02C63"/>
    <w:rsid w:val="00F02CF7"/>
    <w:rsid w:val="00F0356A"/>
    <w:rsid w:val="00F04CDC"/>
    <w:rsid w:val="00F0624E"/>
    <w:rsid w:val="00F06586"/>
    <w:rsid w:val="00F07053"/>
    <w:rsid w:val="00F075AF"/>
    <w:rsid w:val="00F0782F"/>
    <w:rsid w:val="00F10458"/>
    <w:rsid w:val="00F15E24"/>
    <w:rsid w:val="00F21018"/>
    <w:rsid w:val="00F2205F"/>
    <w:rsid w:val="00F25690"/>
    <w:rsid w:val="00F256A5"/>
    <w:rsid w:val="00F25CC9"/>
    <w:rsid w:val="00F263F8"/>
    <w:rsid w:val="00F26E05"/>
    <w:rsid w:val="00F3133F"/>
    <w:rsid w:val="00F316A2"/>
    <w:rsid w:val="00F319DD"/>
    <w:rsid w:val="00F3460F"/>
    <w:rsid w:val="00F34EB2"/>
    <w:rsid w:val="00F35357"/>
    <w:rsid w:val="00F35892"/>
    <w:rsid w:val="00F35CBD"/>
    <w:rsid w:val="00F36956"/>
    <w:rsid w:val="00F40337"/>
    <w:rsid w:val="00F40757"/>
    <w:rsid w:val="00F41057"/>
    <w:rsid w:val="00F410FD"/>
    <w:rsid w:val="00F415DF"/>
    <w:rsid w:val="00F4472B"/>
    <w:rsid w:val="00F47920"/>
    <w:rsid w:val="00F505D1"/>
    <w:rsid w:val="00F50E63"/>
    <w:rsid w:val="00F50F0C"/>
    <w:rsid w:val="00F530C0"/>
    <w:rsid w:val="00F5311A"/>
    <w:rsid w:val="00F5341A"/>
    <w:rsid w:val="00F55A4A"/>
    <w:rsid w:val="00F5789C"/>
    <w:rsid w:val="00F57B65"/>
    <w:rsid w:val="00F6042F"/>
    <w:rsid w:val="00F60C52"/>
    <w:rsid w:val="00F6123B"/>
    <w:rsid w:val="00F61644"/>
    <w:rsid w:val="00F62A55"/>
    <w:rsid w:val="00F64D6B"/>
    <w:rsid w:val="00F64E99"/>
    <w:rsid w:val="00F65A58"/>
    <w:rsid w:val="00F665A8"/>
    <w:rsid w:val="00F66A7A"/>
    <w:rsid w:val="00F66D35"/>
    <w:rsid w:val="00F67646"/>
    <w:rsid w:val="00F71264"/>
    <w:rsid w:val="00F71DDB"/>
    <w:rsid w:val="00F725E2"/>
    <w:rsid w:val="00F72A56"/>
    <w:rsid w:val="00F73655"/>
    <w:rsid w:val="00F73CDA"/>
    <w:rsid w:val="00F75E21"/>
    <w:rsid w:val="00F80C2E"/>
    <w:rsid w:val="00F80C38"/>
    <w:rsid w:val="00F80D03"/>
    <w:rsid w:val="00F824A7"/>
    <w:rsid w:val="00F82A0A"/>
    <w:rsid w:val="00F83BCE"/>
    <w:rsid w:val="00F83E73"/>
    <w:rsid w:val="00F844ED"/>
    <w:rsid w:val="00F84EEC"/>
    <w:rsid w:val="00F854AE"/>
    <w:rsid w:val="00F85F8A"/>
    <w:rsid w:val="00F87052"/>
    <w:rsid w:val="00F87460"/>
    <w:rsid w:val="00F9134D"/>
    <w:rsid w:val="00F95FF3"/>
    <w:rsid w:val="00F963DF"/>
    <w:rsid w:val="00F97FB6"/>
    <w:rsid w:val="00FA18B4"/>
    <w:rsid w:val="00FA30DA"/>
    <w:rsid w:val="00FA3400"/>
    <w:rsid w:val="00FA3D25"/>
    <w:rsid w:val="00FA584C"/>
    <w:rsid w:val="00FB159C"/>
    <w:rsid w:val="00FB1DD0"/>
    <w:rsid w:val="00FB25D5"/>
    <w:rsid w:val="00FB2E81"/>
    <w:rsid w:val="00FB6646"/>
    <w:rsid w:val="00FB6E31"/>
    <w:rsid w:val="00FB70B5"/>
    <w:rsid w:val="00FB73DC"/>
    <w:rsid w:val="00FB7F76"/>
    <w:rsid w:val="00FC1823"/>
    <w:rsid w:val="00FC26C8"/>
    <w:rsid w:val="00FC29E5"/>
    <w:rsid w:val="00FC2EE0"/>
    <w:rsid w:val="00FC3534"/>
    <w:rsid w:val="00FC425E"/>
    <w:rsid w:val="00FC4B0B"/>
    <w:rsid w:val="00FC52FC"/>
    <w:rsid w:val="00FC63C7"/>
    <w:rsid w:val="00FC656D"/>
    <w:rsid w:val="00FC7E5F"/>
    <w:rsid w:val="00FD0FCA"/>
    <w:rsid w:val="00FD20CB"/>
    <w:rsid w:val="00FD2447"/>
    <w:rsid w:val="00FD3508"/>
    <w:rsid w:val="00FD4A7D"/>
    <w:rsid w:val="00FD60C9"/>
    <w:rsid w:val="00FD64CE"/>
    <w:rsid w:val="00FD6DBF"/>
    <w:rsid w:val="00FE1FC7"/>
    <w:rsid w:val="00FE262B"/>
    <w:rsid w:val="00FE293E"/>
    <w:rsid w:val="00FE5A66"/>
    <w:rsid w:val="00FE5B06"/>
    <w:rsid w:val="00FF2968"/>
    <w:rsid w:val="00FF328F"/>
    <w:rsid w:val="00FF3C60"/>
    <w:rsid w:val="00FF4652"/>
    <w:rsid w:val="00FF520D"/>
    <w:rsid w:val="00FF5874"/>
    <w:rsid w:val="00FF65DF"/>
    <w:rsid w:val="00FF670D"/>
    <w:rsid w:val="00FF72BF"/>
    <w:rsid w:val="03190149"/>
    <w:rsid w:val="03344CEC"/>
    <w:rsid w:val="056A34E9"/>
    <w:rsid w:val="05C97022"/>
    <w:rsid w:val="0A1444BA"/>
    <w:rsid w:val="0EA117D6"/>
    <w:rsid w:val="0FB907E2"/>
    <w:rsid w:val="11A400FA"/>
    <w:rsid w:val="16AF7282"/>
    <w:rsid w:val="187D79FF"/>
    <w:rsid w:val="1BD1213E"/>
    <w:rsid w:val="1BF4076E"/>
    <w:rsid w:val="1D486233"/>
    <w:rsid w:val="1E7716B8"/>
    <w:rsid w:val="2130655B"/>
    <w:rsid w:val="22261AD0"/>
    <w:rsid w:val="222A445A"/>
    <w:rsid w:val="244705F4"/>
    <w:rsid w:val="26005C24"/>
    <w:rsid w:val="261C2952"/>
    <w:rsid w:val="289D1D21"/>
    <w:rsid w:val="295F1D55"/>
    <w:rsid w:val="2CBC3E10"/>
    <w:rsid w:val="35FF289B"/>
    <w:rsid w:val="3D040B8E"/>
    <w:rsid w:val="41E91816"/>
    <w:rsid w:val="435E5D56"/>
    <w:rsid w:val="470C5E6D"/>
    <w:rsid w:val="47C35DBF"/>
    <w:rsid w:val="48DC7E27"/>
    <w:rsid w:val="4AB027DB"/>
    <w:rsid w:val="4BD86A89"/>
    <w:rsid w:val="50F10568"/>
    <w:rsid w:val="5549142C"/>
    <w:rsid w:val="56EE6FEA"/>
    <w:rsid w:val="598A318A"/>
    <w:rsid w:val="5CF07506"/>
    <w:rsid w:val="5D4B17C0"/>
    <w:rsid w:val="6063295B"/>
    <w:rsid w:val="61200524"/>
    <w:rsid w:val="615B4B42"/>
    <w:rsid w:val="62D6749F"/>
    <w:rsid w:val="631151C1"/>
    <w:rsid w:val="646E744B"/>
    <w:rsid w:val="64C37736"/>
    <w:rsid w:val="65544994"/>
    <w:rsid w:val="66EB1679"/>
    <w:rsid w:val="67AC19B1"/>
    <w:rsid w:val="68110CF3"/>
    <w:rsid w:val="68251C6A"/>
    <w:rsid w:val="68896127"/>
    <w:rsid w:val="6A281109"/>
    <w:rsid w:val="6C822B4B"/>
    <w:rsid w:val="6DFA55F9"/>
    <w:rsid w:val="72B44DE9"/>
    <w:rsid w:val="74E80B54"/>
    <w:rsid w:val="75576427"/>
    <w:rsid w:val="76C13EF7"/>
    <w:rsid w:val="78E45D14"/>
    <w:rsid w:val="791E426C"/>
    <w:rsid w:val="7AFA7350"/>
    <w:rsid w:val="7DE8197E"/>
    <w:rsid w:val="7EE24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7ADA3919-7D34-49DA-A234-AFE90D09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0"/>
    <w:qFormat/>
    <w:pPr>
      <w:keepNext/>
      <w:keepLines/>
      <w:spacing w:before="260" w:after="260" w:line="360" w:lineRule="auto"/>
      <w:ind w:firstLine="288"/>
      <w:jc w:val="center"/>
      <w:outlineLvl w:val="1"/>
    </w:pPr>
    <w:rPr>
      <w:rFonts w:ascii="宋体" w:hAnsi="Arial"/>
      <w:b/>
      <w:bCs/>
      <w:szCs w:val="20"/>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qFormat/>
    <w:pPr>
      <w:autoSpaceDE w:val="0"/>
      <w:autoSpaceDN w:val="0"/>
      <w:adjustRightInd w:val="0"/>
      <w:jc w:val="left"/>
      <w:outlineLvl w:val="3"/>
    </w:pPr>
    <w:rPr>
      <w:rFonts w:ascii="Tahoma"/>
      <w:color w:val="000000"/>
      <w:kern w:val="0"/>
      <w:sz w:val="24"/>
      <w:lang w:val="zh-CN"/>
    </w:rPr>
  </w:style>
  <w:style w:type="paragraph" w:styleId="5">
    <w:name w:val="heading 5"/>
    <w:basedOn w:val="a"/>
    <w:next w:val="a0"/>
    <w:qFormat/>
    <w:pPr>
      <w:keepNext/>
      <w:keepLines/>
      <w:spacing w:before="280" w:after="290" w:line="376" w:lineRule="auto"/>
      <w:outlineLvl w:val="4"/>
    </w:pPr>
    <w:rPr>
      <w:b/>
      <w:sz w:val="28"/>
    </w:rPr>
  </w:style>
  <w:style w:type="paragraph" w:styleId="6">
    <w:name w:val="heading 6"/>
    <w:basedOn w:val="a"/>
    <w:next w:val="a"/>
    <w:qFormat/>
    <w:pPr>
      <w:keepNext/>
      <w:keepLines/>
      <w:spacing w:before="240" w:after="64" w:line="320" w:lineRule="auto"/>
      <w:outlineLvl w:val="5"/>
    </w:pPr>
    <w:rPr>
      <w:rFonts w:ascii="Arial" w:eastAsia="黑体" w:hAnsi="Arial"/>
      <w:b/>
      <w:bCs/>
      <w:sz w:val="24"/>
    </w:rPr>
  </w:style>
  <w:style w:type="paragraph" w:styleId="7">
    <w:name w:val="heading 7"/>
    <w:basedOn w:val="a"/>
    <w:next w:val="a0"/>
    <w:qFormat/>
    <w:pPr>
      <w:keepNext/>
      <w:keepLines/>
      <w:spacing w:before="240" w:after="64" w:line="320" w:lineRule="auto"/>
      <w:outlineLvl w:val="6"/>
    </w:pPr>
    <w:rPr>
      <w:b/>
      <w:sz w:val="24"/>
    </w:rPr>
  </w:style>
  <w:style w:type="paragraph" w:styleId="8">
    <w:name w:val="heading 8"/>
    <w:basedOn w:val="a"/>
    <w:next w:val="a0"/>
    <w:qFormat/>
    <w:pPr>
      <w:keepNext/>
      <w:keepLines/>
      <w:spacing w:before="240" w:after="64" w:line="320" w:lineRule="auto"/>
      <w:outlineLvl w:val="7"/>
    </w:pPr>
    <w:rPr>
      <w:rFonts w:ascii="Arial" w:eastAsia="黑体" w:hAnsi="Arial"/>
      <w:sz w:val="24"/>
    </w:rPr>
  </w:style>
  <w:style w:type="paragraph" w:styleId="9">
    <w:name w:val="heading 9"/>
    <w:basedOn w:val="a"/>
    <w:next w:val="a0"/>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style>
  <w:style w:type="paragraph" w:styleId="a4">
    <w:name w:val="annotation text"/>
    <w:basedOn w:val="a"/>
    <w:link w:val="a5"/>
    <w:uiPriority w:val="99"/>
    <w:qFormat/>
    <w:pPr>
      <w:jc w:val="left"/>
    </w:pPr>
  </w:style>
  <w:style w:type="paragraph" w:styleId="a6">
    <w:name w:val="Body Text"/>
    <w:basedOn w:val="a"/>
    <w:link w:val="a7"/>
    <w:qFormat/>
    <w:pPr>
      <w:spacing w:after="120"/>
    </w:pPr>
  </w:style>
  <w:style w:type="paragraph" w:styleId="a8">
    <w:name w:val="Body Text Indent"/>
    <w:basedOn w:val="a"/>
    <w:qFormat/>
    <w:pPr>
      <w:adjustRightInd w:val="0"/>
      <w:snapToGrid w:val="0"/>
      <w:ind w:firstLineChars="150" w:firstLine="360"/>
      <w:jc w:val="left"/>
    </w:pPr>
    <w:rPr>
      <w:sz w:val="24"/>
    </w:rPr>
  </w:style>
  <w:style w:type="paragraph" w:styleId="a9">
    <w:name w:val="Plain Text"/>
    <w:basedOn w:val="a"/>
    <w:qFormat/>
    <w:pPr>
      <w:adjustRightInd w:val="0"/>
      <w:spacing w:line="312" w:lineRule="atLeast"/>
      <w:textAlignment w:val="baseline"/>
    </w:pPr>
    <w:rPr>
      <w:rFonts w:ascii="宋体" w:hAnsi="Courier New"/>
      <w:kern w:val="0"/>
      <w:szCs w:val="20"/>
    </w:rPr>
  </w:style>
  <w:style w:type="paragraph" w:styleId="aa">
    <w:name w:val="Balloon Text"/>
    <w:basedOn w:val="a"/>
    <w:semiHidden/>
    <w:qFormat/>
    <w:rPr>
      <w:sz w:val="18"/>
      <w:szCs w:val="18"/>
    </w:rPr>
  </w:style>
  <w:style w:type="paragraph" w:styleId="ab">
    <w:name w:val="footer"/>
    <w:basedOn w:val="a"/>
    <w:qFormat/>
    <w:pPr>
      <w:tabs>
        <w:tab w:val="center" w:pos="4153"/>
        <w:tab w:val="right" w:pos="8306"/>
      </w:tabs>
      <w:snapToGrid w:val="0"/>
      <w:jc w:val="left"/>
    </w:pPr>
    <w:rPr>
      <w:sz w:val="18"/>
      <w:szCs w:val="18"/>
    </w:rPr>
  </w:style>
  <w:style w:type="paragraph" w:styleId="ac">
    <w:name w:val="header"/>
    <w:basedOn w:val="a"/>
    <w:link w:val="a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qFormat/>
    <w:pPr>
      <w:autoSpaceDE w:val="0"/>
      <w:autoSpaceDN w:val="0"/>
      <w:adjustRightInd w:val="0"/>
      <w:spacing w:line="312" w:lineRule="auto"/>
    </w:pPr>
    <w:rPr>
      <w:rFonts w:ascii="仿宋_GB2312" w:eastAsia="仿宋_GB2312"/>
      <w:szCs w:val="20"/>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af">
    <w:name w:val="annotation subject"/>
    <w:basedOn w:val="a4"/>
    <w:next w:val="a4"/>
    <w:link w:val="af0"/>
    <w:qFormat/>
    <w:rPr>
      <w:b/>
      <w:bCs/>
    </w:rPr>
  </w:style>
  <w:style w:type="paragraph" w:styleId="20">
    <w:name w:val="Body Text First Indent 2"/>
    <w:basedOn w:val="a8"/>
    <w:qFormat/>
    <w:pPr>
      <w:adjustRightInd/>
      <w:snapToGrid/>
      <w:spacing w:after="120"/>
      <w:ind w:leftChars="200" w:left="420" w:firstLineChars="200" w:firstLine="420"/>
      <w:jc w:val="both"/>
    </w:pPr>
    <w:rPr>
      <w:sz w:val="21"/>
    </w:rPr>
  </w:style>
  <w:style w:type="table" w:styleId="af1">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page number"/>
    <w:basedOn w:val="a1"/>
    <w:qFormat/>
  </w:style>
  <w:style w:type="character" w:styleId="af3">
    <w:name w:val="FollowedHyperlink"/>
    <w:basedOn w:val="a1"/>
    <w:qFormat/>
    <w:rPr>
      <w:color w:val="800080"/>
      <w:u w:val="single"/>
    </w:rPr>
  </w:style>
  <w:style w:type="character" w:styleId="af4">
    <w:name w:val="Hyperlink"/>
    <w:basedOn w:val="a1"/>
    <w:qFormat/>
    <w:rPr>
      <w:color w:val="0000FF"/>
      <w:u w:val="single"/>
    </w:rPr>
  </w:style>
  <w:style w:type="character" w:styleId="af5">
    <w:name w:val="annotation reference"/>
    <w:basedOn w:val="a1"/>
    <w:uiPriority w:val="99"/>
    <w:qFormat/>
    <w:rPr>
      <w:sz w:val="21"/>
      <w:szCs w:val="21"/>
    </w:rPr>
  </w:style>
  <w:style w:type="paragraph" w:customStyle="1" w:styleId="CharCharCharChar">
    <w:name w:val="Char Char Char Char"/>
    <w:qFormat/>
    <w:pPr>
      <w:spacing w:after="160" w:line="240" w:lineRule="exact"/>
    </w:pPr>
    <w:rPr>
      <w:rFonts w:ascii="Verdana" w:eastAsia="Times New Roman" w:hAnsi="Verdana"/>
      <w:lang w:eastAsia="en-US"/>
    </w:rPr>
  </w:style>
  <w:style w:type="paragraph" w:customStyle="1" w:styleId="11">
    <w:name w:val="列出段落1"/>
    <w:basedOn w:val="a"/>
    <w:link w:val="Char"/>
    <w:uiPriority w:val="34"/>
    <w:qFormat/>
    <w:pPr>
      <w:tabs>
        <w:tab w:val="left" w:pos="1980"/>
        <w:tab w:val="left" w:pos="2880"/>
      </w:tabs>
      <w:adjustRightInd w:val="0"/>
      <w:spacing w:line="360" w:lineRule="atLeast"/>
      <w:ind w:left="720" w:hanging="360"/>
      <w:textAlignment w:val="baseline"/>
    </w:pPr>
    <w:rPr>
      <w:rFonts w:ascii="MingLiU" w:eastAsia="MingLiU"/>
      <w:kern w:val="0"/>
      <w:sz w:val="24"/>
      <w:szCs w:val="20"/>
      <w:lang w:eastAsia="zh-TW"/>
    </w:rPr>
  </w:style>
  <w:style w:type="paragraph" w:customStyle="1" w:styleId="GB2312">
    <w:name w:val="正文 + 仿宋_GB2312"/>
    <w:basedOn w:val="a"/>
    <w:qFormat/>
    <w:rPr>
      <w:rFonts w:ascii="仿宋_GB2312" w:eastAsia="仿宋_GB2312" w:hAnsi="ˎ̥" w:cs="宋体"/>
      <w:color w:val="333333"/>
      <w:kern w:val="0"/>
      <w:sz w:val="24"/>
    </w:rPr>
  </w:style>
  <w:style w:type="paragraph" w:customStyle="1" w:styleId="CharCharCharCharCharCharCharCharCharCharChar">
    <w:name w:val="Char Char Char Char Char Char Char Char Char Char Char"/>
    <w:qFormat/>
    <w:pPr>
      <w:spacing w:after="160" w:line="240" w:lineRule="exact"/>
    </w:pPr>
    <w:rPr>
      <w:rFonts w:ascii="Verdana" w:eastAsia="Times New Roman" w:hAnsi="Verdana"/>
      <w:lang w:eastAsia="en-US"/>
    </w:rPr>
  </w:style>
  <w:style w:type="paragraph" w:customStyle="1" w:styleId="-">
    <w:name w:val="中信研究报告-正文"/>
    <w:qFormat/>
    <w:pPr>
      <w:spacing w:before="40" w:after="60" w:line="300" w:lineRule="auto"/>
      <w:ind w:left="2552" w:right="130" w:firstLineChars="200" w:firstLine="420"/>
      <w:jc w:val="both"/>
    </w:pPr>
    <w:rPr>
      <w:rFonts w:ascii="宋体" w:hAnsi="宋体"/>
      <w:bCs/>
      <w:color w:val="333333"/>
      <w:sz w:val="21"/>
      <w:szCs w:val="21"/>
    </w:rPr>
  </w:style>
  <w:style w:type="paragraph" w:customStyle="1" w:styleId="CharCharCharCharCharCharCharCharCharCharCharCharCharCharChar1Char">
    <w:name w:val="Char Char Char Char Char Char Char Char Char Char Char Char Char Char Char1 Char"/>
    <w:qFormat/>
    <w:pPr>
      <w:spacing w:after="160" w:line="240" w:lineRule="exact"/>
    </w:pPr>
    <w:rPr>
      <w:rFonts w:ascii="Verdana" w:eastAsia="Times New Roman" w:hAnsi="Verdana"/>
      <w:lang w:eastAsia="en-US"/>
    </w:rPr>
  </w:style>
  <w:style w:type="paragraph" w:customStyle="1" w:styleId="NormalMingLiU">
    <w:name w:val="Normal + MingLiU"/>
    <w:basedOn w:val="a"/>
    <w:qFormat/>
    <w:pPr>
      <w:snapToGrid w:val="0"/>
      <w:spacing w:line="312" w:lineRule="auto"/>
    </w:pPr>
    <w:rPr>
      <w:rFonts w:ascii="MingLiU" w:eastAsia="MingLiU" w:hAnsi="MingLiU"/>
      <w:sz w:val="22"/>
      <w:szCs w:val="22"/>
    </w:rPr>
  </w:style>
  <w:style w:type="paragraph" w:customStyle="1" w:styleId="af6">
    <w:name w:val="表格文字"/>
    <w:basedOn w:val="a6"/>
    <w:qFormat/>
    <w:pPr>
      <w:spacing w:after="0"/>
      <w:jc w:val="left"/>
    </w:pPr>
    <w:rPr>
      <w:rFonts w:ascii="宋体" w:hAnsi="宋体" w:cs="Arial"/>
      <w:bCs/>
      <w:sz w:val="22"/>
      <w:szCs w:val="20"/>
      <w:lang w:val="zh-CN"/>
    </w:rPr>
  </w:style>
  <w:style w:type="paragraph" w:customStyle="1" w:styleId="af7">
    <w:name w:val="正文所"/>
    <w:basedOn w:val="a"/>
    <w:qFormat/>
    <w:pPr>
      <w:spacing w:line="360" w:lineRule="auto"/>
      <w:ind w:firstLineChars="200" w:firstLine="420"/>
    </w:pPr>
    <w:rPr>
      <w:rFonts w:ascii="宋体"/>
      <w:szCs w:val="20"/>
    </w:rPr>
  </w:style>
  <w:style w:type="paragraph" w:customStyle="1" w:styleId="12">
    <w:name w:val="段落1"/>
    <w:basedOn w:val="a"/>
    <w:qFormat/>
    <w:pPr>
      <w:spacing w:line="300" w:lineRule="auto"/>
      <w:ind w:firstLine="420"/>
    </w:pPr>
    <w:rPr>
      <w:rFonts w:ascii="宋体" w:hAnsi="宋体"/>
      <w:sz w:val="24"/>
    </w:rPr>
  </w:style>
  <w:style w:type="paragraph" w:customStyle="1" w:styleId="Char0">
    <w:name w:val="Char"/>
    <w:basedOn w:val="a"/>
    <w:qFormat/>
    <w:pPr>
      <w:tabs>
        <w:tab w:val="left" w:pos="360"/>
      </w:tabs>
    </w:pPr>
    <w:rPr>
      <w:sz w:val="24"/>
    </w:rPr>
  </w:style>
  <w:style w:type="character" w:customStyle="1" w:styleId="a5">
    <w:name w:val="批注文字 字符"/>
    <w:basedOn w:val="a1"/>
    <w:link w:val="a4"/>
    <w:uiPriority w:val="99"/>
    <w:qFormat/>
    <w:rPr>
      <w:kern w:val="2"/>
      <w:sz w:val="21"/>
      <w:szCs w:val="24"/>
    </w:rPr>
  </w:style>
  <w:style w:type="character" w:customStyle="1" w:styleId="ad">
    <w:name w:val="页眉 字符"/>
    <w:basedOn w:val="a1"/>
    <w:link w:val="ac"/>
    <w:qFormat/>
    <w:rPr>
      <w:kern w:val="2"/>
      <w:sz w:val="18"/>
      <w:szCs w:val="18"/>
    </w:rPr>
  </w:style>
  <w:style w:type="character" w:customStyle="1" w:styleId="a7">
    <w:name w:val="正文文本 字符"/>
    <w:basedOn w:val="a1"/>
    <w:link w:val="a6"/>
    <w:qFormat/>
    <w:rPr>
      <w:kern w:val="2"/>
      <w:sz w:val="21"/>
      <w:szCs w:val="24"/>
    </w:rPr>
  </w:style>
  <w:style w:type="character" w:customStyle="1" w:styleId="NormalMingLiUChar">
    <w:name w:val="Normal + MingLiU Char"/>
    <w:basedOn w:val="a1"/>
    <w:qFormat/>
    <w:rPr>
      <w:rFonts w:ascii="MingLiU" w:eastAsia="MingLiU" w:hAnsi="MingLiU"/>
      <w:kern w:val="2"/>
      <w:sz w:val="22"/>
      <w:szCs w:val="22"/>
      <w:lang w:val="en-US" w:eastAsia="zh-CN" w:bidi="ar-SA"/>
    </w:rPr>
  </w:style>
  <w:style w:type="character" w:customStyle="1" w:styleId="af0">
    <w:name w:val="批注主题 字符"/>
    <w:basedOn w:val="a5"/>
    <w:link w:val="af"/>
    <w:qFormat/>
    <w:rPr>
      <w:b/>
      <w:bCs/>
      <w:kern w:val="2"/>
      <w:sz w:val="21"/>
      <w:szCs w:val="24"/>
    </w:rPr>
  </w:style>
  <w:style w:type="paragraph" w:styleId="af8">
    <w:name w:val="List Paragraph"/>
    <w:basedOn w:val="a"/>
    <w:link w:val="af9"/>
    <w:uiPriority w:val="1"/>
    <w:qFormat/>
    <w:pPr>
      <w:ind w:firstLineChars="200" w:firstLine="420"/>
    </w:pPr>
  </w:style>
  <w:style w:type="character" w:customStyle="1" w:styleId="Char">
    <w:name w:val="列出段落 Char"/>
    <w:basedOn w:val="a1"/>
    <w:link w:val="11"/>
    <w:uiPriority w:val="34"/>
    <w:qFormat/>
    <w:locked/>
    <w:rPr>
      <w:rFonts w:ascii="MingLiU" w:eastAsia="MingLiU"/>
      <w:sz w:val="24"/>
      <w:lang w:eastAsia="zh-TW"/>
    </w:rPr>
  </w:style>
  <w:style w:type="character" w:customStyle="1" w:styleId="af9">
    <w:name w:val="列出段落 字符"/>
    <w:link w:val="af8"/>
    <w:uiPriority w:val="1"/>
    <w:qFormat/>
    <w:rPr>
      <w:kern w:val="2"/>
      <w:sz w:val="21"/>
      <w:szCs w:val="24"/>
    </w:rPr>
  </w:style>
  <w:style w:type="paragraph" w:customStyle="1" w:styleId="13">
    <w:name w:val="修订1"/>
    <w:hidden/>
    <w:uiPriority w:val="99"/>
    <w:unhideWhenUsed/>
    <w:qFormat/>
    <w:rPr>
      <w:kern w:val="2"/>
      <w:sz w:val="21"/>
      <w:szCs w:val="24"/>
    </w:rPr>
  </w:style>
  <w:style w:type="paragraph" w:customStyle="1" w:styleId="21">
    <w:name w:val="修订2"/>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34</Pages>
  <Words>5452</Words>
  <Characters>31077</Characters>
  <Application>Microsoft Office Word</Application>
  <DocSecurity>0</DocSecurity>
  <Lines>258</Lines>
  <Paragraphs>72</Paragraphs>
  <ScaleCrop>false</ScaleCrop>
  <Company>a</Company>
  <LinksUpToDate>false</LinksUpToDate>
  <CharactersWithSpaces>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80345906/陈彩红</cp:lastModifiedBy>
  <cp:revision>158</cp:revision>
  <cp:lastPrinted>2012-07-20T01:29:00Z</cp:lastPrinted>
  <dcterms:created xsi:type="dcterms:W3CDTF">2023-05-26T07:58:00Z</dcterms:created>
  <dcterms:modified xsi:type="dcterms:W3CDTF">2025-12-29T03:30:00Z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5C257153DA284892B8E625BAA758FAC7</vt:lpwstr>
  </property>
</Properties>
</file>