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幸福99丰裕固收386天25216期理财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幸福99丰裕固收386天25216期理财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FYG25216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Z7002225000403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2025年12月2日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2026年12月23日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3,121,836,908.89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108.44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3,121,836,908.89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3,094,058,542.00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1.0090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1.0090</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719,287,996.96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596,011,413.43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261,736,477.82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104,743,529.62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丰裕固收25216期E款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53,129,824.51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97,146,307.38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10,878,534.68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10,281,710.59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245,231,649.78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41,595,209.73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344,674,379.54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901,153.39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11,139,146.14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49,887,256.27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77,929,281.28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85,987,959.88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53,207,949.13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4,037,366.49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271,821,406.12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420,547.99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70,018,328.14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丰裕固收25216期Z款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FYG25216Z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11,768,470.64</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丰裕固收25216期E款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丰裕固收25216期Z款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45.82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61.91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29.91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53.93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中信信托-新悦235号-南湖投资债权投资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148,059,387.44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25东港01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142,181,990.13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交银国信-安盈固收T0066号-余杭城投信托贷款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139,040,351.70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国元信托-安鼎10065号-嘉善城投信托贷款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138,993,138.04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22农业银行二级01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136,408,458.63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国元信托-安鼎10057号-建德国资信托贷款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104,075,569.92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19成华债</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103,878,341.10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25畅道01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101,588,743.84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25厦居05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100,882,224.66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交银国信-安盈固收T0061号-嘉秀发展信托贷款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99,990,307.50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260,018,796.43</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8.33</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嘉兴市南湖投资开发建设集团有限公司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中信信托-新悦235号-南湖投资债权投资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148,059,387.44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嘉兴市嘉秀发展投资控股集团有限公司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交银国信-安盈固收T0061号-嘉秀发展信托贷款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99,990,307.50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嘉兴市湘家荡发展投资集团有限公司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国元信托-安鼎10105号-嘉兴湘家荡信托贷款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52,018,525.92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嘉善县城市建设投资集团有限公司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国元信托-安鼎10065号-嘉善城投信托贷款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138,993,138.04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宁波宁南新城开发投资有限公司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交银国信-融诚1139号-宁南开投信托贷款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35,991,924.50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嵊州市城市建设投资发展集团有限公司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国元信托-安鼎10076号-嵊州城建信托贷款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63,054,564.36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建德市国有资产经营有限公司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中原信托-安盛35期创新13号-新化股份收益权</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34,019,655.14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收/受益权</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建德市国有资产经营有限公司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国元信托-安鼎10057号-建德国资信托贷款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104,075,569.92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杭州余杭城市发展投资集团有限公司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交银国信-安盈固收T0066号-余杭城投信托贷款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139,040,351.70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桐庐县国有资本投资运营控股集团有限公司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上海信托-瑞诚103号-桐庐国控信托贷款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6,905,660.76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桐庐县城市建设投资集团有限公司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上海信托-瑞诚101号-桐庐城投信托贷款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40,033,376.00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桐庐新城发展投资有限公司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中原信托-金瑞1169期科兴2号-桐庐新城信托贷款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20,007,312.42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浙江湖州南浔经济建设开发有限公司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交银国信-融诚1127号-南浔经开信托贷款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10,003,715.66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浦江县国有资本投资集团有限公司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上海信托-浦江国投2号信托贷款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40,024,828.00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绍兴兰亭文化旅游发展有限公司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粤财信托-常华158号-兰亭文旅信托贷款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27,013,476.60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绍兴市越城区城市发展建设集团有限公司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上海信托-瑞诚88号-越城城发信托贷款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27,018,700.20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龙港市国有资本运营集团有限公司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交银国信-融诚1216号-龙港国资信托贷款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24,022,178.20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龙港市新城建设发展集团有限公司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交银国信-融诚1215号-龙港新城信托贷款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24,014,221.03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3,094,058,542.00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3,094,058,542.00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杭银理财幸福99丰裕固收386天25216期理财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3301040160015309811-5125216</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