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幸福99丰裕固收755天24083期理财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幸福99丰裕固收755天24083期理财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FYG24083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Z7002224000103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2024年4月3日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2026年4月28日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3.35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302,766,309.88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100.93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302,766,309.88</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282,839,146.00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1.0705</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1.0705</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丰裕固收24083期A款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FYG24083A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1.0676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1.0676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10,654,267.86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丰裕固收24083期B款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FYG24083B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1.0716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1.0716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5,701,018.96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丰裕固收24083期C款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FYG24083C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1.0696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1.0696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15,962,669.77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丰裕固收24083期D款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FYG24083D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1.0706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1.0706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270,448,353.29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丰裕固收24083期A款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3.39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丰裕固收24083期B款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丰裕固收24083期C款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3.49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丰裕固收24083期D款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3.54</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本产品将继续保持固收策略，通过杠杆、票息、久期等方式增厚产品收益。</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10.60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0.68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14.78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37.85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43.04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7.82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66.88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粤财信托·常华37号越城城发信托计划-1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123,371,113.40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40.75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26甬工投CP001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25,121,066.44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汇添富丰润中短债债券型证券投资基金</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24,595,727.14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26杭实投SCP001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20,055,545.48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粤财信托·常华26号诸暨交通信托计划-2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12,020,655.96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质押式逆回购(816001-000678)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2,147,976.04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0.71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26定城01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826,800.76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23秀湖01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786,950.67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25皋通01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705,933.04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24迪投04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595,420.17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绍兴市越城区城市发展建设集团有限公司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粤财信托·常华37号越城城发信托计划-1</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123,371,113.40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诸暨市交通基础设施建设有限公司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粤财信托·常华26号诸暨交通信托计划-2</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12,020,655.96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282,839,146.00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282,839,146.00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幸福99丰裕固收755天24083期理财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3301040160015309811-5124083</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