
<file path=[Content_Types].xml><?xml version="1.0" encoding="utf-8"?>
<Types xmlns="http://schemas.openxmlformats.org/package/2006/content-types">
  <Default ContentType="application/vnd.openxmlformats-package.relationships+xml" Extension="rels"/>
  <Default ContentType="application/xml" Extens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11.0.0 -->
  <w:background w:color="ffffff">
    <v:background id="_x0000_s1025" filled="t"/>
  </w:background>
  <w:body>
    <w:p w:rsidR="00680F50" w:rsidRPr="004C7F8B" w:rsidP="00E157CE">
      <w:pPr>
        <w:jc w:val="center"/>
        <w:rPr>
          <w:rFonts w:ascii="宋体" w:hAnsi="宋体"/>
          <w:b/>
          <w:color w:val="000000"/>
          <w:sz w:val="32"/>
          <w:szCs w:val="32"/>
          <w:shd w:val="clear" w:color="auto" w:fill="FFFFFF"/>
        </w:rPr>
      </w:pPr>
      <w:bookmarkStart w:id="0" w:name="_GoBack"/>
      <w:bookmarkEnd w:id="0"/>
      <w:r>
        <w:rPr>
          <w:rFonts w:ascii="宋体" w:hAnsi="宋体" w:hint="eastAsia"/>
          <w:b/>
          <w:color w:val="000000"/>
          <w:sz w:val="32"/>
          <w:szCs w:val="32"/>
          <w:shd w:val="clear" w:color="auto" w:fill="FFFFFF"/>
        </w:rPr>
        <w:t xml:space="preserve"> </w:t>
      </w:r>
    </w:p>
    <w:p w:rsidR="00680F50" w:rsidRPr="004C7F8B" w:rsidP="00E157CE">
      <w:pPr>
        <w:jc w:val="center"/>
        <w:rPr>
          <w:rFonts w:ascii="宋体" w:hAnsi="宋体"/>
          <w:b/>
          <w:color w:val="000000"/>
          <w:sz w:val="32"/>
          <w:szCs w:val="32"/>
          <w:shd w:val="clear" w:color="auto" w:fill="FFFFFF"/>
        </w:rPr>
      </w:pPr>
    </w:p>
    <w:p w:rsidR="00120F3B" w:rsidP="00120F3B">
      <w:pPr>
        <w:jc w:val="center"/>
        <w:rPr>
          <w:rFonts w:ascii="宋体" w:hAnsi="宋体"/>
          <w:b/>
          <w:color w:val="000000"/>
          <w:sz w:val="32"/>
          <w:szCs w:val="32"/>
          <w:shd w:val="clear" w:color="auto" w:fill="FFFFFF"/>
        </w:rPr>
      </w:pPr>
      <w:r>
        <w:rPr>
          <w:rFonts w:ascii="宋体" w:eastAsia="宋体" w:hAnsi="宋体" w:cs="宋体"/>
          <w:b/>
          <w:i w:val="0"/>
          <w:color w:val="000000"/>
          <w:position w:val="-1"/>
          <w:sz w:val="32"/>
          <w:u w:val="none"/>
        </w:rPr>
        <w:t>招银理财招赢日日金109号现金管理类理财计划</w:t>
      </w:r>
    </w:p>
    <w:p w:rsidR="00AF5DEE" w:rsidRPr="004C7F8B" w:rsidP="00AF5DEE">
      <w:pPr>
        <w:jc w:val="center"/>
        <w:rPr>
          <w:rFonts w:ascii="宋体" w:hAnsi="宋体"/>
          <w:b/>
          <w:color w:val="000000"/>
          <w:sz w:val="32"/>
          <w:szCs w:val="32"/>
          <w:shd w:val="clear" w:color="auto" w:fill="FFFFFF"/>
        </w:rPr>
      </w:pPr>
      <w:r>
        <w:rPr>
          <w:rFonts w:ascii="宋体" w:eastAsia="宋体" w:hAnsi="宋体" w:cs="宋体"/>
          <w:b/>
          <w:i w:val="0"/>
          <w:color w:val="000000"/>
          <w:position w:val="-1"/>
          <w:sz w:val="32"/>
          <w:u w:val="none"/>
        </w:rPr>
        <w:t>2025</w:t>
      </w:r>
      <w:r w:rsidR="000D55A6">
        <w:rPr>
          <w:rFonts w:ascii="宋体" w:hAnsi="宋体" w:hint="eastAsia"/>
          <w:b/>
          <w:color w:val="000000"/>
          <w:sz w:val="32"/>
          <w:szCs w:val="32"/>
          <w:shd w:val="clear" w:color="auto" w:fill="FFFFFF"/>
        </w:rPr>
        <w:t>年</w:t>
      </w:r>
      <w:r>
        <w:rPr>
          <w:rFonts w:ascii="宋体" w:eastAsia="宋体" w:hAnsi="宋体" w:cs="宋体"/>
          <w:b/>
          <w:i w:val="0"/>
          <w:color w:val="000000"/>
          <w:position w:val="-1"/>
          <w:sz w:val="32"/>
          <w:u w:val="none"/>
        </w:rPr>
        <w:t>年度</w:t>
      </w:r>
      <w:r w:rsidRPr="004C7F8B">
        <w:rPr>
          <w:rFonts w:ascii="宋体" w:hAnsi="宋体" w:hint="eastAsia"/>
          <w:b/>
          <w:color w:val="000000"/>
          <w:sz w:val="32"/>
          <w:szCs w:val="32"/>
          <w:shd w:val="clear" w:color="auto" w:fill="FFFFFF"/>
        </w:rPr>
        <w:t>报告</w:t>
      </w:r>
    </w:p>
    <w:p w:rsidR="00AF5DEE" w:rsidRPr="004C7F8B" w:rsidP="00AF5DEE">
      <w:pPr>
        <w:jc w:val="center"/>
        <w:rPr>
          <w:rFonts w:ascii="宋体" w:hAnsi="宋体"/>
          <w:b/>
          <w:sz w:val="32"/>
          <w:szCs w:val="32"/>
          <w:shd w:val="clear" w:color="auto" w:fill="FFFFFF"/>
        </w:rPr>
      </w:pPr>
      <w:r>
        <w:rPr>
          <w:rFonts w:ascii="宋体" w:hAnsi="宋体" w:hint="eastAsia"/>
          <w:b/>
          <w:sz w:val="32"/>
          <w:szCs w:val="32"/>
          <w:shd w:val="clear" w:color="auto" w:fill="FFFFFF"/>
        </w:rPr>
        <w:t>（产品</w:t>
      </w:r>
      <w:r w:rsidRPr="004C7F8B">
        <w:rPr>
          <w:rFonts w:ascii="宋体" w:hAnsi="宋体"/>
          <w:b/>
          <w:sz w:val="32"/>
          <w:szCs w:val="32"/>
          <w:shd w:val="clear" w:color="auto" w:fill="FFFFFF"/>
        </w:rPr>
        <w:t>代码：</w:t>
      </w:r>
      <w:r>
        <w:rPr>
          <w:rFonts w:ascii="宋体" w:eastAsia="宋体" w:hAnsi="宋体" w:cs="宋体"/>
          <w:b/>
          <w:i w:val="0"/>
          <w:color w:val="000000"/>
          <w:position w:val="-1"/>
          <w:sz w:val="32"/>
          <w:u w:val="none"/>
        </w:rPr>
        <w:t>8109</w:t>
      </w:r>
      <w:r w:rsidRPr="004C7F8B">
        <w:rPr>
          <w:rFonts w:ascii="宋体" w:hAnsi="宋体" w:hint="eastAsia"/>
          <w:b/>
          <w:sz w:val="32"/>
          <w:szCs w:val="32"/>
          <w:shd w:val="clear" w:color="auto" w:fill="FFFFFF"/>
        </w:rPr>
        <w:t>）</w:t>
      </w:r>
    </w:p>
    <w:p w:rsidR="00AF5DEE" w:rsidRPr="00B66A56" w:rsidP="00AF5DEE">
      <w:pPr>
        <w:jc w:val="center"/>
        <w:rPr>
          <w:rFonts w:ascii="宋体" w:hAnsi="宋体"/>
          <w:b/>
          <w:sz w:val="32"/>
          <w:szCs w:val="32"/>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RPr="007D03D5" w:rsidP="00AF5DEE">
      <w:pPr>
        <w:jc w:val="center"/>
        <w:rPr>
          <w:rFonts w:ascii="宋体" w:hAnsi="宋体"/>
          <w:sz w:val="24"/>
          <w:shd w:val="clear" w:color="auto" w:fill="FFFFFF"/>
        </w:rPr>
      </w:pPr>
    </w:p>
    <w:p w:rsidR="00AF5DEE" w:rsidRPr="004C7F8B" w:rsidP="00AF5DEE">
      <w:pPr>
        <w:jc w:val="center"/>
        <w:rPr>
          <w:rFonts w:ascii="宋体" w:hAnsi="宋体"/>
          <w:sz w:val="24"/>
          <w:shd w:val="clear" w:color="auto" w:fill="FFFFFF"/>
        </w:rPr>
      </w:pPr>
    </w:p>
    <w:p w:rsidR="00AF5DEE" w:rsidRPr="004C7F8B" w:rsidP="00AF5DEE">
      <w:pPr>
        <w:spacing w:line="360" w:lineRule="auto"/>
        <w:ind w:firstLine="1890" w:firstLineChars="900"/>
        <w:rPr>
          <w:rFonts w:ascii="宋体" w:hAnsi="宋体"/>
          <w:sz w:val="24"/>
          <w:shd w:val="clear" w:color="auto" w:fill="FFFFFF"/>
        </w:rPr>
      </w:pPr>
      <w:r w:rsidRPr="004C7F8B">
        <w:rPr>
          <w:rFonts w:ascii="宋体" w:hAnsi="宋体"/>
          <w:sz w:val="24"/>
          <w:shd w:val="clear" w:color="auto" w:fill="FFFFFF"/>
        </w:rPr>
        <w:t>理财产品管理人：</w:t>
      </w:r>
      <w:r>
        <w:rPr>
          <w:rFonts w:ascii="宋体" w:eastAsia="宋体" w:hAnsi="宋体" w:cs="宋体"/>
          <w:b w:val="0"/>
          <w:i w:val="0"/>
          <w:color w:val="000000"/>
          <w:position w:val="-1"/>
          <w:sz w:val="24"/>
          <w:u w:val="none"/>
        </w:rPr>
        <w:t>招银理财有限责任公司</w:t>
      </w:r>
    </w:p>
    <w:p w:rsidR="00AF5DEE" w:rsidRPr="004C7F8B" w:rsidP="00F17D61">
      <w:pPr>
        <w:spacing w:line="360" w:lineRule="auto"/>
        <w:ind w:firstLine="1890" w:firstLineChars="900"/>
        <w:rPr>
          <w:rFonts w:ascii="宋体" w:hAnsi="宋体"/>
          <w:sz w:val="24"/>
          <w:shd w:val="clear" w:color="auto" w:fill="FFFFFF"/>
        </w:rPr>
      </w:pPr>
      <w:r w:rsidRPr="004C7F8B">
        <w:rPr>
          <w:rFonts w:ascii="宋体" w:hAnsi="宋体"/>
          <w:sz w:val="24"/>
          <w:shd w:val="clear" w:color="auto" w:fill="FFFFFF"/>
        </w:rPr>
        <w:t>理财产品托管人：</w:t>
      </w:r>
      <w:r>
        <w:rPr>
          <w:rFonts w:ascii="宋体" w:eastAsia="宋体" w:hAnsi="宋体" w:cs="宋体"/>
          <w:b w:val="0"/>
          <w:i w:val="0"/>
          <w:color w:val="000000"/>
          <w:position w:val="-1"/>
          <w:sz w:val="24"/>
          <w:u w:val="none"/>
        </w:rPr>
        <w:t>招商银行股份有限公司</w:t>
      </w:r>
    </w:p>
    <w:p w:rsidR="0028648D">
      <w:pPr>
        <w:jc w:val="center"/>
        <w:rPr>
          <w:rFonts w:ascii="宋体" w:hAnsi="宋体"/>
          <w:b/>
          <w:sz w:val="32"/>
          <w:szCs w:val="32"/>
          <w:shd w:val="clear" w:color="auto" w:fill="FFFFFF"/>
        </w:rPr>
      </w:pPr>
    </w:p>
    <w:p w:rsidR="00AF5DEE">
      <w:pPr>
        <w:jc w:val="center"/>
        <w:rPr>
          <w:rFonts w:ascii="宋体" w:hAnsi="宋体"/>
          <w:b/>
          <w:sz w:val="32"/>
          <w:szCs w:val="32"/>
          <w:shd w:val="clear" w:color="auto" w:fill="FFFFFF"/>
        </w:rPr>
      </w:pPr>
    </w:p>
    <w:p w:rsidR="00AF5DEE">
      <w:pPr>
        <w:jc w:val="center"/>
        <w:rPr>
          <w:rFonts w:ascii="宋体" w:hAnsi="宋体"/>
          <w:b/>
          <w:sz w:val="32"/>
          <w:szCs w:val="32"/>
          <w:shd w:val="clear" w:color="auto" w:fill="FFFFFF"/>
        </w:rPr>
      </w:pPr>
    </w:p>
    <w:p w:rsidR="00AF5DEE" w:rsidRPr="00AF5DEE">
      <w:pPr>
        <w:jc w:val="center"/>
        <w:rPr>
          <w:rFonts w:ascii="宋体" w:hAnsi="宋体"/>
          <w:b/>
          <w:sz w:val="32"/>
          <w:szCs w:val="32"/>
          <w:shd w:val="clear" w:color="auto" w:fill="FFFFFF"/>
        </w:rPr>
      </w:pPr>
    </w:p>
    <w:p w:rsidR="00680F50" w:rsidRPr="004C7F8B">
      <w:pPr>
        <w:jc w:val="center"/>
        <w:rPr>
          <w:rFonts w:ascii="宋体" w:hAnsi="宋体"/>
          <w:b/>
          <w:sz w:val="32"/>
          <w:szCs w:val="32"/>
          <w:shd w:val="clear" w:color="auto" w:fill="FFFFFF"/>
        </w:rPr>
      </w:pPr>
    </w:p>
    <w:p w:rsidR="00380479" w:rsidRPr="004C7F8B">
      <w:pPr>
        <w:jc w:val="center"/>
        <w:rPr>
          <w:rFonts w:ascii="宋体" w:hAnsi="宋体"/>
          <w:b/>
          <w:sz w:val="30"/>
          <w:shd w:val="clear" w:color="auto" w:fill="FFFFFF"/>
        </w:rPr>
      </w:pPr>
      <w:r w:rsidRPr="004C7F8B">
        <w:rPr>
          <w:rFonts w:ascii="宋体" w:hAnsi="宋体" w:hint="eastAsia"/>
          <w:b/>
          <w:sz w:val="30"/>
          <w:shd w:val="clear" w:color="auto" w:fill="FFFFFF"/>
        </w:rPr>
        <w:t>目    录</w:t>
      </w:r>
    </w:p>
    <w:p w:rsidR="00380479" w:rsidRPr="004C7F8B">
      <w:pPr>
        <w:jc w:val="center"/>
        <w:rPr>
          <w:rFonts w:ascii="宋体" w:hAnsi="宋体"/>
          <w:b/>
          <w:sz w:val="30"/>
          <w:shd w:val="clear" w:color="auto" w:fill="FFFFFF"/>
        </w:rPr>
      </w:pPr>
    </w:p>
    <w:p>
      <w:pPr>
        <w:pStyle w:val="TOC1"/>
        <w:tabs>
          <w:tab w:val="right" w:leader="dot" w:pos="9060"/>
        </w:tabs>
        <w:rPr>
          <w:rFonts w:asciiTheme="minorHAnsi" w:hAnsiTheme="minorHAnsi"/>
          <w:noProof/>
          <w:sz w:val="22"/>
        </w:rPr>
      </w:pPr>
      <w:r>
        <w:fldChar w:fldCharType="begin"/>
      </w:r>
      <w:r>
        <w:instrText>TOC \o "1-2" \h \z \u</w:instrText>
      </w:r>
      <w:r>
        <w:fldChar w:fldCharType="separate"/>
      </w:r>
      <w:r>
        <w:fldChar w:fldCharType="begin"/>
      </w:r>
      <w:r>
        <w:rPr>
          <w:rStyle w:val="Hyperlink"/>
        </w:rPr>
        <w:instrText xml:space="preserve"> HYPERLINK \l "_Toc256000000" </w:instrText>
      </w:r>
      <w:r>
        <w:fldChar w:fldCharType="separate"/>
      </w:r>
      <w:r w:rsidRPr="00C01C40">
        <w:rPr>
          <w:rStyle w:val="Hyperlink"/>
          <w:rFonts w:ascii="宋体" w:hAnsi="宋体" w:hint="eastAsia"/>
          <w:shd w:val="clear" w:color="auto" w:fill="FFFFFF"/>
        </w:rPr>
        <w:t>§1 重要提示</w:t>
      </w:r>
      <w:r>
        <w:rPr>
          <w:rStyle w:val="Hyperlink"/>
        </w:rPr>
        <w:tab/>
      </w:r>
      <w:r>
        <w:fldChar w:fldCharType="begin"/>
      </w:r>
      <w:r>
        <w:rPr>
          <w:rStyle w:val="Hyperlink"/>
        </w:rPr>
        <w:instrText xml:space="preserve"> PAGEREF _Toc256000000 \h </w:instrText>
      </w:r>
      <w:r>
        <w:fldChar w:fldCharType="separate"/>
      </w:r>
      <w:r>
        <w:rPr>
          <w:rStyle w:val="Hyperlink"/>
        </w:rPr>
        <w:t>3</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"_Toc256000001" </w:instrText>
      </w:r>
      <w:r>
        <w:fldChar w:fldCharType="separate"/>
      </w:r>
      <w:r w:rsidRPr="00C01C40">
        <w:rPr>
          <w:rStyle w:val="Hyperlink"/>
          <w:rFonts w:hint="eastAsia"/>
          <w:shd w:val="clear" w:color="auto" w:fill="FFFFFF"/>
        </w:rPr>
        <w:t>1.1 重要提示</w:t>
      </w:r>
      <w:r>
        <w:rPr>
          <w:rStyle w:val="Hyperlink"/>
        </w:rPr>
        <w:tab/>
      </w:r>
      <w:r>
        <w:fldChar w:fldCharType="begin"/>
      </w:r>
      <w:r>
        <w:rPr>
          <w:rStyle w:val="Hyperlink"/>
        </w:rPr>
        <w:instrText xml:space="preserve"> PAGEREF _Toc256000001 \h </w:instrText>
      </w:r>
      <w:r>
        <w:fldChar w:fldCharType="separate"/>
      </w:r>
      <w:r>
        <w:rPr>
          <w:rStyle w:val="Hyperlink"/>
        </w:rPr>
        <w:t>3</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"_Toc256000002" </w:instrText>
      </w:r>
      <w:r>
        <w:fldChar w:fldCharType="separate"/>
      </w:r>
      <w:r w:rsidRPr="00C01C40">
        <w:rPr>
          <w:rStyle w:val="Hyperlink"/>
          <w:rFonts w:ascii="宋体" w:hAnsi="宋体" w:hint="eastAsia"/>
          <w:shd w:val="clear" w:color="auto" w:fill="FFFFFF"/>
        </w:rPr>
        <w:t>§2 理财产品简介</w:t>
      </w:r>
      <w:r>
        <w:rPr>
          <w:rStyle w:val="Hyperlink"/>
        </w:rPr>
        <w:tab/>
      </w:r>
      <w:r>
        <w:fldChar w:fldCharType="begin"/>
      </w:r>
      <w:r>
        <w:rPr>
          <w:rStyle w:val="Hyperlink"/>
        </w:rPr>
        <w:instrText xml:space="preserve"> PAGEREF _Toc256000002 \h </w:instrText>
      </w:r>
      <w:r>
        <w:fldChar w:fldCharType="separate"/>
      </w:r>
      <w:r>
        <w:rPr>
          <w:rStyle w:val="Hyperlink"/>
        </w:rPr>
        <w:t>3</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"_Toc256000003" </w:instrText>
      </w:r>
      <w:r>
        <w:fldChar w:fldCharType="separate"/>
      </w:r>
      <w:r>
        <w:rPr>
          <w:rStyle w:val="Hyperlink"/>
          <w:rFonts w:hint="eastAsia"/>
          <w:shd w:val="clear" w:color="auto" w:fill="FFFFFF"/>
        </w:rPr>
        <w:t>2.1 理财产品基本情况</w:t>
      </w:r>
      <w:r>
        <w:rPr>
          <w:rStyle w:val="Hyperlink"/>
        </w:rPr>
        <w:tab/>
      </w:r>
      <w:r>
        <w:fldChar w:fldCharType="begin"/>
      </w:r>
      <w:r>
        <w:rPr>
          <w:rStyle w:val="Hyperlink"/>
        </w:rPr>
        <w:instrText xml:space="preserve"> PAGEREF _Toc256000003 \h </w:instrText>
      </w:r>
      <w:r>
        <w:fldChar w:fldCharType="separate"/>
      </w:r>
      <w:r>
        <w:rPr>
          <w:rStyle w:val="Hyperlink"/>
        </w:rPr>
        <w:t>3</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"_Toc256000005" </w:instrText>
      </w:r>
      <w:r>
        <w:fldChar w:fldCharType="separate"/>
      </w:r>
      <w:r w:rsidRPr="00C01C40">
        <w:rPr>
          <w:rStyle w:val="Hyperlink"/>
          <w:rFonts w:ascii="宋体" w:hAnsi="宋体" w:hint="eastAsia"/>
          <w:shd w:val="clear" w:color="auto" w:fill="FFFFFF"/>
        </w:rPr>
        <w:t>§3 理财产品净值表现</w:t>
      </w:r>
      <w:r>
        <w:rPr>
          <w:rStyle w:val="Hyperlink"/>
        </w:rPr>
        <w:tab/>
      </w:r>
      <w:r>
        <w:fldChar w:fldCharType="begin"/>
      </w:r>
      <w:r>
        <w:rPr>
          <w:rStyle w:val="Hyperlink"/>
        </w:rPr>
        <w:instrText xml:space="preserve"> PAGEREF _Toc256000005 \h </w:instrText>
      </w:r>
      <w:r>
        <w:fldChar w:fldCharType="separate"/>
      </w:r>
      <w:r>
        <w:rPr>
          <w:rStyle w:val="Hyperlink"/>
        </w:rPr>
        <w:t>4</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"_Toc256000006" </w:instrText>
      </w:r>
      <w:r>
        <w:fldChar w:fldCharType="separate"/>
      </w:r>
      <w:r w:rsidRPr="00C01C40">
        <w:rPr>
          <w:rStyle w:val="Hyperlink"/>
          <w:rFonts w:hint="eastAsia"/>
          <w:shd w:val="clear" w:color="auto" w:fill="FFFFFF"/>
        </w:rPr>
        <w:t>3.1 截至报告期末产品资产净值及份额净值</w:t>
      </w:r>
      <w:r>
        <w:rPr>
          <w:rStyle w:val="Hyperlink"/>
        </w:rPr>
        <w:tab/>
      </w:r>
      <w:r>
        <w:fldChar w:fldCharType="begin"/>
      </w:r>
      <w:r>
        <w:rPr>
          <w:rStyle w:val="Hyperlink"/>
        </w:rPr>
        <w:instrText xml:space="preserve"> PAGEREF _Toc256000006 \h </w:instrText>
      </w:r>
      <w:r>
        <w:fldChar w:fldCharType="separate"/>
      </w:r>
      <w:r>
        <w:rPr>
          <w:rStyle w:val="Hyperlink"/>
        </w:rPr>
        <w:t>4</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"_Toc256000007" </w:instrText>
      </w:r>
      <w:r>
        <w:fldChar w:fldCharType="separate"/>
      </w:r>
      <w:r w:rsidRPr="00C01C40">
        <w:rPr>
          <w:rStyle w:val="Hyperlink"/>
          <w:rFonts w:hint="eastAsia"/>
          <w:shd w:val="clear" w:color="auto" w:fill="FFFFFF"/>
        </w:rPr>
        <w:t>3.2 理财产品年化收益率</w:t>
      </w:r>
      <w:r>
        <w:rPr>
          <w:rStyle w:val="Hyperlink"/>
        </w:rPr>
        <w:tab/>
      </w:r>
      <w:r>
        <w:fldChar w:fldCharType="begin"/>
      </w:r>
      <w:r>
        <w:rPr>
          <w:rStyle w:val="Hyperlink"/>
        </w:rPr>
        <w:instrText xml:space="preserve"> PAGEREF _Toc256000007 \h </w:instrText>
      </w:r>
      <w:r>
        <w:fldChar w:fldCharType="separate"/>
      </w:r>
      <w:r>
        <w:rPr>
          <w:rStyle w:val="Hyperlink"/>
        </w:rPr>
        <w:t>4</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"_Toc256000008" </w:instrText>
      </w:r>
      <w:r>
        <w:fldChar w:fldCharType="separate"/>
      </w:r>
      <w:r w:rsidRPr="00C01C40">
        <w:rPr>
          <w:rStyle w:val="Hyperlink"/>
          <w:rFonts w:ascii="宋体" w:hAnsi="宋体" w:hint="eastAsia"/>
          <w:shd w:val="clear" w:color="auto" w:fill="FFFFFF"/>
        </w:rPr>
        <w:t>§4 管理人报告</w:t>
      </w:r>
      <w:r>
        <w:rPr>
          <w:rStyle w:val="Hyperlink"/>
        </w:rPr>
        <w:tab/>
      </w:r>
      <w:r>
        <w:fldChar w:fldCharType="begin"/>
      </w:r>
      <w:r>
        <w:rPr>
          <w:rStyle w:val="Hyperlink"/>
        </w:rPr>
        <w:instrText xml:space="preserve"> PAGEREF _Toc256000008 \h </w:instrText>
      </w:r>
      <w:r>
        <w:fldChar w:fldCharType="separate"/>
      </w:r>
      <w:r>
        <w:rPr>
          <w:rStyle w:val="Hyperlink"/>
        </w:rPr>
        <w:t>5</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"_Toc256000009" </w:instrText>
      </w:r>
      <w:r>
        <w:fldChar w:fldCharType="separate"/>
      </w:r>
      <w:r w:rsidRPr="00C01C40">
        <w:rPr>
          <w:rStyle w:val="Hyperlink"/>
          <w:rFonts w:hint="eastAsia"/>
          <w:shd w:val="clear" w:color="auto" w:fill="FFFFFF"/>
        </w:rPr>
        <w:t>4.1 管理人对报告期内理财产品的投资策略说明</w:t>
      </w:r>
      <w:r>
        <w:rPr>
          <w:rStyle w:val="Hyperlink"/>
        </w:rPr>
        <w:tab/>
      </w:r>
      <w:r>
        <w:fldChar w:fldCharType="begin"/>
      </w:r>
      <w:r>
        <w:rPr>
          <w:rStyle w:val="Hyperlink"/>
        </w:rPr>
        <w:instrText xml:space="preserve"> PAGEREF _Toc256000009 \h </w:instrText>
      </w:r>
      <w:r>
        <w:fldChar w:fldCharType="separate"/>
      </w:r>
      <w:r>
        <w:rPr>
          <w:rStyle w:val="Hyperlink"/>
        </w:rPr>
        <w:t>5</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"_Toc256000010" </w:instrText>
      </w:r>
      <w:r>
        <w:fldChar w:fldCharType="separate"/>
      </w:r>
      <w:r w:rsidRPr="00C01C40">
        <w:rPr>
          <w:rStyle w:val="Hyperlink"/>
          <w:rFonts w:hint="eastAsia"/>
          <w:shd w:val="clear" w:color="auto" w:fill="FFFFFF"/>
        </w:rPr>
        <w:t>4.2 理财产品报告期内</w:t>
      </w:r>
      <w:r w:rsidRPr="00C01C40" w:rsidR="004D600F">
        <w:rPr>
          <w:rStyle w:val="Hyperlink"/>
          <w:rFonts w:hint="eastAsia"/>
          <w:shd w:val="clear" w:color="auto" w:fill="FFFFFF"/>
        </w:rPr>
        <w:t>关联交易发生情况</w:t>
      </w:r>
      <w:r>
        <w:rPr>
          <w:rStyle w:val="Hyperlink"/>
        </w:rPr>
        <w:tab/>
      </w:r>
      <w:r>
        <w:fldChar w:fldCharType="begin"/>
      </w:r>
      <w:r>
        <w:rPr>
          <w:rStyle w:val="Hyperlink"/>
        </w:rPr>
        <w:instrText xml:space="preserve"> PAGEREF _Toc256000010 \h </w:instrText>
      </w:r>
      <w:r>
        <w:fldChar w:fldCharType="separate"/>
      </w:r>
      <w:r>
        <w:rPr>
          <w:rStyle w:val="Hyperlink"/>
        </w:rPr>
        <w:t>6</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"_Toc256000011" </w:instrText>
      </w:r>
      <w:r>
        <w:fldChar w:fldCharType="separate"/>
      </w:r>
      <w:r w:rsidRPr="00C01C40">
        <w:rPr>
          <w:rStyle w:val="Hyperlink"/>
          <w:rFonts w:ascii="宋体" w:hAnsi="宋体" w:hint="eastAsia"/>
          <w:shd w:val="clear" w:color="auto" w:fill="FFFFFF"/>
        </w:rPr>
        <w:t>§</w:t>
      </w:r>
      <w:r w:rsidRPr="00C01C40" w:rsidR="00C75C5E">
        <w:rPr>
          <w:rStyle w:val="Hyperlink"/>
          <w:rFonts w:ascii="宋体" w:hAnsi="宋体"/>
          <w:shd w:val="clear" w:color="auto" w:fill="FFFFFF"/>
        </w:rPr>
        <w:t>5</w:t>
      </w:r>
      <w:r w:rsidRPr="00C01C40">
        <w:rPr>
          <w:rStyle w:val="Hyperlink"/>
          <w:rFonts w:ascii="宋体" w:hAnsi="宋体" w:hint="eastAsia"/>
          <w:shd w:val="clear" w:color="auto" w:fill="FFFFFF"/>
        </w:rPr>
        <w:t xml:space="preserve"> 投资组合报告</w:t>
      </w:r>
      <w:r>
        <w:rPr>
          <w:rStyle w:val="Hyperlink"/>
        </w:rPr>
        <w:tab/>
      </w:r>
      <w:r>
        <w:fldChar w:fldCharType="begin"/>
      </w:r>
      <w:r>
        <w:rPr>
          <w:rStyle w:val="Hyperlink"/>
        </w:rPr>
        <w:instrText xml:space="preserve"> PAGEREF _Toc256000011 \h </w:instrText>
      </w:r>
      <w:r>
        <w:fldChar w:fldCharType="separate"/>
      </w:r>
      <w:r>
        <w:rPr>
          <w:rStyle w:val="Hyperlink"/>
        </w:rPr>
        <w:t>7</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"_Toc256000012" </w:instrText>
      </w:r>
      <w:r>
        <w:fldChar w:fldCharType="separate"/>
      </w:r>
      <w:r w:rsidRPr="00C01C40">
        <w:rPr>
          <w:rStyle w:val="Hyperlink"/>
          <w:shd w:val="clear" w:color="auto" w:fill="FFFFFF"/>
        </w:rPr>
        <w:t>5</w:t>
      </w:r>
      <w:r w:rsidRPr="00C01C40">
        <w:rPr>
          <w:rStyle w:val="Hyperlink"/>
          <w:rFonts w:hint="eastAsia"/>
          <w:shd w:val="clear" w:color="auto" w:fill="FFFFFF"/>
        </w:rPr>
        <w:t>.1 期末理财产品资产组合情况</w:t>
      </w:r>
      <w:r>
        <w:rPr>
          <w:rStyle w:val="Hyperlink"/>
        </w:rPr>
        <w:tab/>
      </w:r>
      <w:r>
        <w:fldChar w:fldCharType="begin"/>
      </w:r>
      <w:r>
        <w:rPr>
          <w:rStyle w:val="Hyperlink"/>
        </w:rPr>
        <w:instrText xml:space="preserve"> PAGEREF _Toc256000012 \h </w:instrText>
      </w:r>
      <w:r>
        <w:fldChar w:fldCharType="separate"/>
      </w:r>
      <w:r>
        <w:rPr>
          <w:rStyle w:val="Hyperlink"/>
        </w:rPr>
        <w:t>7</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"_Toc256000013" </w:instrText>
      </w:r>
      <w:r>
        <w:fldChar w:fldCharType="separate"/>
      </w:r>
      <w:r>
        <w:rPr>
          <w:rStyle w:val="Hyperlink"/>
          <w:shd w:val="clear" w:color="auto" w:fill="FFFFFF"/>
        </w:rPr>
        <w:t>5.2 期末投资组合前十项资产</w:t>
      </w:r>
      <w:r>
        <w:rPr>
          <w:rStyle w:val="Hyperlink"/>
        </w:rPr>
        <w:tab/>
      </w:r>
      <w:r>
        <w:fldChar w:fldCharType="begin"/>
      </w:r>
      <w:r>
        <w:rPr>
          <w:rStyle w:val="Hyperlink"/>
        </w:rPr>
        <w:instrText xml:space="preserve"> PAGEREF _Toc256000013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"_Toc256000014" </w:instrText>
      </w:r>
      <w:r>
        <w:fldChar w:fldCharType="separate"/>
      </w:r>
      <w:r w:rsidRPr="00C01C40">
        <w:rPr>
          <w:rStyle w:val="Hyperlink"/>
          <w:shd w:val="clear" w:color="auto" w:fill="FFFFFF"/>
        </w:rPr>
        <w:t>5</w:t>
      </w:r>
      <w:r w:rsidRPr="00C01C40">
        <w:rPr>
          <w:rStyle w:val="Hyperlink"/>
          <w:rFonts w:hint="eastAsia"/>
          <w:shd w:val="clear" w:color="auto" w:fill="FFFFFF"/>
        </w:rPr>
        <w:t>.3 报告期末非标准化债权类资产信息</w:t>
      </w:r>
      <w:r>
        <w:rPr>
          <w:rStyle w:val="Hyperlink"/>
        </w:rPr>
        <w:tab/>
      </w:r>
      <w:r>
        <w:fldChar w:fldCharType="begin"/>
      </w:r>
      <w:r>
        <w:rPr>
          <w:rStyle w:val="Hyperlink"/>
        </w:rPr>
        <w:instrText xml:space="preserve"> PAGEREF _Toc256000014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"_Toc256000015" </w:instrText>
      </w:r>
      <w:r>
        <w:fldChar w:fldCharType="separate"/>
      </w:r>
      <w:r w:rsidRPr="00C01C40">
        <w:rPr>
          <w:rStyle w:val="Hyperlink"/>
          <w:shd w:val="clear" w:color="auto" w:fill="FFFFFF"/>
        </w:rPr>
        <w:t>5</w:t>
      </w:r>
      <w:r w:rsidRPr="00C01C40">
        <w:rPr>
          <w:rStyle w:val="Hyperlink"/>
          <w:rFonts w:hint="eastAsia"/>
          <w:shd w:val="clear" w:color="auto" w:fill="FFFFFF"/>
        </w:rPr>
        <w:t>.</w:t>
      </w:r>
      <w:r w:rsidRPr="00C01C40">
        <w:rPr>
          <w:rStyle w:val="Hyperlink"/>
          <w:shd w:val="clear" w:color="auto" w:fill="FFFFFF"/>
        </w:rPr>
        <w:t>4</w:t>
      </w:r>
      <w:r w:rsidRPr="00C01C40">
        <w:rPr>
          <w:rStyle w:val="Hyperlink"/>
          <w:rFonts w:hint="eastAsia"/>
          <w:shd w:val="clear" w:color="auto" w:fill="FFFFFF"/>
        </w:rPr>
        <w:t xml:space="preserve"> 报告期</w:t>
      </w:r>
      <w:r w:rsidRPr="00C01C40">
        <w:rPr>
          <w:rStyle w:val="Hyperlink"/>
          <w:shd w:val="clear" w:color="auto" w:fill="FFFFFF"/>
        </w:rPr>
        <w:t>内</w:t>
      </w:r>
      <w:r w:rsidRPr="00C01C40">
        <w:rPr>
          <w:rStyle w:val="Hyperlink"/>
          <w:rFonts w:hint="eastAsia"/>
          <w:shd w:val="clear" w:color="auto" w:fill="FFFFFF"/>
        </w:rPr>
        <w:t>到期</w:t>
      </w:r>
      <w:r w:rsidRPr="00C01C40">
        <w:rPr>
          <w:rStyle w:val="Hyperlink"/>
          <w:shd w:val="clear" w:color="auto" w:fill="FFFFFF"/>
        </w:rPr>
        <w:t>的</w:t>
      </w:r>
      <w:r w:rsidRPr="00C01C40">
        <w:rPr>
          <w:rStyle w:val="Hyperlink"/>
          <w:rFonts w:hint="eastAsia"/>
          <w:shd w:val="clear" w:color="auto" w:fill="FFFFFF"/>
        </w:rPr>
        <w:t>非标准化</w:t>
      </w:r>
      <w:r w:rsidRPr="00C01C40">
        <w:rPr>
          <w:rStyle w:val="Hyperlink"/>
          <w:shd w:val="clear" w:color="auto" w:fill="FFFFFF"/>
        </w:rPr>
        <w:t>债权类资产及收益情况</w:t>
      </w:r>
      <w:r>
        <w:rPr>
          <w:rStyle w:val="Hyperlink"/>
        </w:rPr>
        <w:tab/>
      </w:r>
      <w:r>
        <w:fldChar w:fldCharType="begin"/>
      </w:r>
      <w:r>
        <w:rPr>
          <w:rStyle w:val="Hyperlink"/>
        </w:rPr>
        <w:instrText xml:space="preserve"> PAGEREF _Toc256000015 \h </w:instrText>
      </w:r>
      <w:r>
        <w:fldChar w:fldCharType="separate"/>
      </w:r>
      <w:r>
        <w:rPr>
          <w:rStyle w:val="Hyperlink"/>
        </w:rPr>
        <w:t>9</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"_Toc256000016" </w:instrText>
      </w:r>
      <w:r>
        <w:fldChar w:fldCharType="separate"/>
      </w:r>
      <w:r w:rsidRPr="00C01C40">
        <w:rPr>
          <w:rStyle w:val="Hyperlink"/>
          <w:shd w:val="clear" w:color="auto" w:fill="FFFFFF"/>
        </w:rPr>
        <w:t>5</w:t>
      </w:r>
      <w:r w:rsidRPr="00C01C40">
        <w:rPr>
          <w:rStyle w:val="Hyperlink"/>
          <w:rFonts w:hint="eastAsia"/>
          <w:shd w:val="clear" w:color="auto" w:fill="FFFFFF"/>
        </w:rPr>
        <w:t>.</w:t>
      </w:r>
      <w:r w:rsidRPr="00C01C40">
        <w:rPr>
          <w:rStyle w:val="Hyperlink"/>
          <w:shd w:val="clear" w:color="auto" w:fill="FFFFFF"/>
        </w:rPr>
        <w:t>5</w:t>
      </w:r>
      <w:r w:rsidRPr="00C01C40">
        <w:rPr>
          <w:rStyle w:val="Hyperlink"/>
          <w:rFonts w:hint="eastAsia"/>
          <w:shd w:val="clear" w:color="auto" w:fill="FFFFFF"/>
        </w:rPr>
        <w:t xml:space="preserve"> 报告期末信贷资产收受益权资产信息</w:t>
      </w:r>
      <w:r>
        <w:rPr>
          <w:rStyle w:val="Hyperlink"/>
        </w:rPr>
        <w:tab/>
      </w:r>
      <w:r>
        <w:fldChar w:fldCharType="begin"/>
      </w:r>
      <w:r>
        <w:rPr>
          <w:rStyle w:val="Hyperlink"/>
        </w:rPr>
        <w:instrText xml:space="preserve"> PAGEREF _Toc256000016 \h </w:instrText>
      </w:r>
      <w:r>
        <w:fldChar w:fldCharType="separate"/>
      </w:r>
      <w:r>
        <w:rPr>
          <w:rStyle w:val="Hyperlink"/>
        </w:rPr>
        <w:t>9</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"_Toc256000017" </w:instrText>
      </w:r>
      <w:r>
        <w:fldChar w:fldCharType="separate"/>
      </w:r>
      <w:r w:rsidRPr="00BB25DC">
        <w:rPr>
          <w:rStyle w:val="Hyperlink"/>
          <w:shd w:val="clear" w:color="auto" w:fill="FFFFFF"/>
        </w:rPr>
        <w:t>5</w:t>
      </w:r>
      <w:r w:rsidRPr="00BB25DC">
        <w:rPr>
          <w:rStyle w:val="Hyperlink"/>
          <w:rFonts w:hint="eastAsia"/>
          <w:shd w:val="clear" w:color="auto" w:fill="FFFFFF"/>
        </w:rPr>
        <w:t>.</w:t>
      </w:r>
      <w:r w:rsidRPr="00BB25DC">
        <w:rPr>
          <w:rStyle w:val="Hyperlink"/>
          <w:shd w:val="clear" w:color="auto" w:fill="FFFFFF"/>
        </w:rPr>
        <w:t>6</w:t>
      </w:r>
      <w:r w:rsidRPr="00BB25DC">
        <w:rPr>
          <w:rStyle w:val="Hyperlink"/>
          <w:rFonts w:hint="eastAsia"/>
          <w:shd w:val="clear" w:color="auto" w:fill="FFFFFF"/>
        </w:rPr>
        <w:t xml:space="preserve"> 报告</w:t>
      </w:r>
      <w:r w:rsidRPr="00BB25DC">
        <w:rPr>
          <w:rStyle w:val="Hyperlink"/>
          <w:shd w:val="clear" w:color="auto" w:fill="FFFFFF"/>
        </w:rPr>
        <w:t>期</w:t>
      </w:r>
      <w:r w:rsidRPr="00BB25DC">
        <w:rPr>
          <w:rStyle w:val="Hyperlink"/>
          <w:rFonts w:hint="eastAsia"/>
          <w:shd w:val="clear" w:color="auto" w:fill="FFFFFF"/>
        </w:rPr>
        <w:t>末商品及金融衍生</w:t>
      </w:r>
      <w:r w:rsidRPr="00BB25DC">
        <w:rPr>
          <w:rStyle w:val="Hyperlink"/>
          <w:rFonts w:hint="eastAsia"/>
          <w:shd w:val="clear" w:color="auto" w:fill="FFFFFF"/>
        </w:rPr>
        <w:t>品</w:t>
      </w:r>
      <w:r w:rsidRPr="00BB25DC">
        <w:rPr>
          <w:rStyle w:val="Hyperlink"/>
          <w:shd w:val="clear" w:color="auto" w:fill="FFFFFF"/>
        </w:rPr>
        <w:t>资产</w:t>
      </w:r>
      <w:r w:rsidRPr="00BB25DC">
        <w:rPr>
          <w:rStyle w:val="Hyperlink"/>
          <w:rFonts w:hint="eastAsia"/>
          <w:shd w:val="clear" w:color="auto" w:fill="FFFFFF"/>
        </w:rPr>
        <w:t>信息</w:t>
      </w:r>
      <w:r>
        <w:rPr>
          <w:rStyle w:val="Hyperlink"/>
        </w:rPr>
        <w:tab/>
      </w:r>
      <w:r>
        <w:fldChar w:fldCharType="begin"/>
      </w:r>
      <w:r>
        <w:rPr>
          <w:rStyle w:val="Hyperlink"/>
        </w:rPr>
        <w:instrText xml:space="preserve"> PAGEREF _Toc256000017 \h </w:instrText>
      </w:r>
      <w:r>
        <w:fldChar w:fldCharType="separate"/>
      </w:r>
      <w:r>
        <w:rPr>
          <w:rStyle w:val="Hyperlink"/>
        </w:rPr>
        <w:t>9</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"_Toc256000018" </w:instrText>
      </w:r>
      <w:r>
        <w:fldChar w:fldCharType="separate"/>
      </w:r>
      <w:r w:rsidRPr="00C01C40">
        <w:rPr>
          <w:rStyle w:val="Hyperlink"/>
          <w:rFonts w:ascii="宋体" w:hAnsi="宋体" w:hint="eastAsia"/>
          <w:shd w:val="clear" w:color="auto" w:fill="FFFFFF"/>
        </w:rPr>
        <w:t>§</w:t>
      </w:r>
      <w:r w:rsidRPr="00C01C40">
        <w:rPr>
          <w:rStyle w:val="Hyperlink"/>
          <w:rFonts w:ascii="宋体" w:hAnsi="宋体"/>
          <w:shd w:val="clear" w:color="auto" w:fill="FFFFFF"/>
        </w:rPr>
        <w:t>6</w:t>
      </w:r>
      <w:r w:rsidRPr="00C01C40">
        <w:rPr>
          <w:rStyle w:val="Hyperlink"/>
          <w:rFonts w:ascii="宋体" w:hAnsi="宋体" w:hint="eastAsia"/>
          <w:shd w:val="clear" w:color="auto" w:fill="FFFFFF"/>
        </w:rPr>
        <w:t xml:space="preserve"> 托管人报告</w:t>
      </w:r>
      <w:r>
        <w:rPr>
          <w:rStyle w:val="Hyperlink"/>
        </w:rPr>
        <w:tab/>
      </w:r>
      <w:r>
        <w:fldChar w:fldCharType="begin"/>
      </w:r>
      <w:r>
        <w:rPr>
          <w:rStyle w:val="Hyperlink"/>
        </w:rPr>
        <w:instrText xml:space="preserve"> PAGEREF _Toc256000018 \h </w:instrText>
      </w:r>
      <w:r>
        <w:fldChar w:fldCharType="separate"/>
      </w:r>
      <w:r>
        <w:rPr>
          <w:rStyle w:val="Hyperlink"/>
        </w:rPr>
        <w:t>9</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"_Toc256000019" </w:instrText>
      </w:r>
      <w:r>
        <w:fldChar w:fldCharType="separate"/>
      </w:r>
      <w:r w:rsidRPr="00C01C40">
        <w:rPr>
          <w:rStyle w:val="Hyperlink"/>
          <w:shd w:val="clear" w:color="auto" w:fill="FFFFFF"/>
        </w:rPr>
        <w:t>6</w:t>
      </w:r>
      <w:r w:rsidRPr="00C01C40">
        <w:rPr>
          <w:rStyle w:val="Hyperlink"/>
          <w:rFonts w:hint="eastAsia"/>
          <w:shd w:val="clear" w:color="auto" w:fill="FFFFFF"/>
        </w:rPr>
        <w:t>.1 托管人报告</w:t>
      </w:r>
      <w:r>
        <w:rPr>
          <w:rStyle w:val="Hyperlink"/>
        </w:rPr>
        <w:tab/>
      </w:r>
      <w:r>
        <w:fldChar w:fldCharType="begin"/>
      </w:r>
      <w:r>
        <w:rPr>
          <w:rStyle w:val="Hyperlink"/>
        </w:rPr>
        <w:instrText xml:space="preserve"> PAGEREF _Toc256000019 \h </w:instrText>
      </w:r>
      <w:r>
        <w:fldChar w:fldCharType="separate"/>
      </w:r>
      <w:r>
        <w:rPr>
          <w:rStyle w:val="Hyperlink"/>
        </w:rPr>
        <w:t>9</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"_Toc256000020" </w:instrText>
      </w:r>
      <w:r>
        <w:fldChar w:fldCharType="separate"/>
      </w:r>
      <w:r w:rsidRPr="00135202">
        <w:rPr>
          <w:rStyle w:val="Hyperlink"/>
          <w:rFonts w:ascii="宋体" w:hAnsi="宋体" w:hint="eastAsia"/>
          <w:shd w:val="clear" w:color="auto" w:fill="FFFFFF"/>
        </w:rPr>
        <w:t>§</w:t>
      </w:r>
      <w:r w:rsidRPr="00135202" w:rsidR="00C532AE">
        <w:rPr>
          <w:rStyle w:val="Hyperlink"/>
          <w:rFonts w:ascii="宋体" w:hAnsi="宋体"/>
          <w:shd w:val="clear" w:color="auto" w:fill="FFFFFF"/>
        </w:rPr>
        <w:t xml:space="preserve">7 </w:t>
      </w:r>
      <w:r w:rsidRPr="00135202">
        <w:rPr>
          <w:rStyle w:val="Hyperlink"/>
          <w:rFonts w:ascii="宋体" w:hAnsi="宋体" w:hint="eastAsia"/>
          <w:shd w:val="clear" w:color="auto" w:fill="FFFFFF"/>
        </w:rPr>
        <w:t>现金管理类理财产品前十名投资者情况</w:t>
      </w:r>
      <w:r>
        <w:rPr>
          <w:rStyle w:val="Hyperlink"/>
        </w:rPr>
        <w:tab/>
      </w:r>
      <w:r>
        <w:fldChar w:fldCharType="begin"/>
      </w:r>
      <w:r>
        <w:rPr>
          <w:rStyle w:val="Hyperlink"/>
        </w:rPr>
        <w:instrText xml:space="preserve"> PAGEREF _Toc256000020 \h </w:instrText>
      </w:r>
      <w:r>
        <w:fldChar w:fldCharType="separate"/>
      </w:r>
      <w:r>
        <w:rPr>
          <w:rStyle w:val="Hyperlink"/>
        </w:rPr>
        <w:t>10</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"_Toc256000021" </w:instrText>
      </w:r>
      <w:r>
        <w:fldChar w:fldCharType="separate"/>
      </w:r>
      <w:r w:rsidRPr="00135202">
        <w:rPr>
          <w:rStyle w:val="Hyperlink"/>
          <w:rFonts w:ascii="宋体" w:hAnsi="宋体" w:hint="eastAsia"/>
          <w:shd w:val="clear" w:color="auto" w:fill="FFFFFF"/>
        </w:rPr>
        <w:t>§</w:t>
      </w:r>
      <w:r w:rsidRPr="00135202" w:rsidR="00C532AE">
        <w:rPr>
          <w:rStyle w:val="Hyperlink"/>
          <w:rFonts w:ascii="宋体" w:hAnsi="宋体"/>
          <w:shd w:val="clear" w:color="auto" w:fill="FFFFFF"/>
        </w:rPr>
        <w:t xml:space="preserve">8 </w:t>
      </w:r>
      <w:r w:rsidRPr="00135202">
        <w:rPr>
          <w:rStyle w:val="Hyperlink"/>
          <w:rFonts w:ascii="宋体" w:hAnsi="宋体" w:hint="eastAsia"/>
          <w:shd w:val="clear" w:color="auto" w:fill="FFFFFF"/>
        </w:rPr>
        <w:t>现金管理类理财产品持有份额不低于20%投资者情况</w:t>
      </w:r>
      <w:r>
        <w:rPr>
          <w:rStyle w:val="Hyperlink"/>
        </w:rPr>
        <w:tab/>
      </w:r>
      <w:r>
        <w:fldChar w:fldCharType="begin"/>
      </w:r>
      <w:r>
        <w:rPr>
          <w:rStyle w:val="Hyperlink"/>
        </w:rPr>
        <w:instrText xml:space="preserve"> PAGEREF _Toc256000021 \h </w:instrText>
      </w:r>
      <w:r>
        <w:fldChar w:fldCharType="separate"/>
      </w:r>
      <w:r>
        <w:rPr>
          <w:rStyle w:val="Hyperlink"/>
        </w:rPr>
        <w:t>10</w:t>
      </w:r>
      <w:r>
        <w:fldChar w:fldCharType="end"/>
      </w:r>
      <w:r>
        <w:fldChar w:fldCharType="end"/>
      </w:r>
    </w:p>
    <w:p w:rsidP="00120F3B">
      <w:r>
        <w:fldChar w:fldCharType="end"/>
      </w:r>
    </w:p>
    <w:p w:rsidR="00120F3B" w:rsidP="00FC47D8">
      <w:pPr>
        <w:widowControl/>
        <w:jc w:val="left"/>
        <w:rPr>
          <w:shd w:val="clear" w:color="auto" w:fill="FFFFFF"/>
        </w:rPr>
      </w:pPr>
      <w:r>
        <w:rPr>
          <w:shd w:val="clear" w:color="auto" w:fill="FFFFFF"/>
        </w:rPr>
        <w:br w:type="page"/>
      </w:r>
    </w:p>
    <w:p w:rsidR="00380479" w:rsidRPr="00C01C40" w:rsidP="00C7167F">
      <w:pPr>
        <w:pStyle w:val="Heading1"/>
        <w:spacing w:line="360" w:lineRule="auto"/>
        <w:jc w:val="center"/>
        <w:rPr>
          <w:rFonts w:ascii="宋体" w:hAnsi="宋体"/>
          <w:sz w:val="24"/>
          <w:szCs w:val="24"/>
          <w:shd w:val="clear" w:color="auto" w:fill="FFFFFF"/>
        </w:rPr>
      </w:pPr>
      <w:bookmarkStart w:id="1" w:name="_Toc256000000"/>
      <w:r w:rsidRPr="00C01C40">
        <w:rPr>
          <w:rFonts w:ascii="宋体" w:hAnsi="宋体" w:hint="eastAsia"/>
          <w:sz w:val="24"/>
          <w:szCs w:val="24"/>
          <w:shd w:val="clear" w:color="auto" w:fill="FFFFFF"/>
        </w:rPr>
        <w:t>§1 重要提示</w:t>
      </w:r>
      <w:bookmarkEnd w:id="1"/>
    </w:p>
    <w:p w:rsidR="00380479" w:rsidRPr="00C01C40" w:rsidP="00C01C40">
      <w:pPr>
        <w:pStyle w:val="Heading2"/>
        <w:rPr>
          <w:sz w:val="24"/>
          <w:szCs w:val="24"/>
          <w:shd w:val="clear" w:color="auto" w:fill="FFFFFF"/>
        </w:rPr>
      </w:pPr>
      <w:bookmarkStart w:id="2" w:name="_Toc256000001"/>
      <w:r w:rsidRPr="00C01C40">
        <w:rPr>
          <w:rFonts w:hint="eastAsia"/>
          <w:sz w:val="24"/>
          <w:szCs w:val="24"/>
          <w:shd w:val="clear" w:color="auto" w:fill="FFFFFF"/>
        </w:rPr>
        <w:t>1.1 重要提示</w:t>
      </w:r>
      <w:bookmarkEnd w:id="2"/>
    </w:p>
    <w:tbl>
      <w:tblP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tblPr>
      <w:tblGrid>
        <w:gridCol w:w="8522"/>
      </w:tblGrid>
      <w:tr>
        <w:tblPrEx>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tblPrEx>
        <w:trPr>
          <w:trHeight w:val="610"/>
        </w:trPr>
        <w:tc>
          <w:tcPr>
            <w:tcW w:w="8522" w:type="dxa"/>
          </w:tcPr>
          <w:p w:rsidR="00164716" w:rsidRPr="004C7F8B" w:rsidP="00164716">
            <w:pPr>
              <w:numPr>
                <w:ilvl w:val="0"/>
                <w:numId w:val="4"/>
              </w:numPr>
              <w:jc w:val="left"/>
              <w:rPr>
                <w:rFonts w:ascii="仿宋" w:eastAsia="仿宋" w:hAnsi="仿宋"/>
                <w:shd w:val="clear" w:color="auto" w:fill="FFFFFF"/>
              </w:rPr>
            </w:pPr>
            <w:r w:rsidRPr="004C7F8B">
              <w:rPr>
                <w:rFonts w:ascii="仿宋" w:eastAsia="仿宋" w:hAnsi="仿宋" w:hint="eastAsia"/>
                <w:shd w:val="clear" w:color="auto" w:fill="FFFFFF"/>
              </w:rPr>
              <w:t>本报告适用于</w:t>
            </w:r>
            <w:r>
              <w:rPr>
                <w:rFonts w:ascii="仿宋" w:eastAsia="仿宋" w:hAnsi="仿宋" w:cs="仿宋"/>
                <w:b w:val="0"/>
                <w:i w:val="0"/>
                <w:color w:val="000000"/>
                <w:position w:val="-1"/>
                <w:u w:val="none"/>
              </w:rPr>
              <w:t>招银理财招赢日日金109号现金管理类理财计划</w:t>
            </w:r>
            <w:r w:rsidRPr="004C7F8B">
              <w:rPr>
                <w:rFonts w:ascii="仿宋" w:eastAsia="仿宋" w:hAnsi="仿宋" w:hint="eastAsia"/>
                <w:shd w:val="clear" w:color="auto" w:fill="FFFFFF"/>
              </w:rPr>
              <w:t>。</w:t>
            </w:r>
            <w:r w:rsidR="0038608E">
              <w:rPr>
                <w:rFonts w:ascii="仿宋" w:eastAsia="仿宋" w:hAnsi="仿宋" w:hint="eastAsia"/>
                <w:shd w:val="clear" w:color="auto" w:fill="FFFFFF"/>
              </w:rPr>
              <w:t>理财</w:t>
            </w:r>
            <w:r w:rsidRPr="004C7F8B">
              <w:rPr>
                <w:rFonts w:ascii="仿宋" w:eastAsia="仿宋" w:hAnsi="仿宋" w:hint="eastAsia"/>
                <w:shd w:val="clear" w:color="auto" w:fill="FFFFFF"/>
              </w:rPr>
              <w:t>产品</w:t>
            </w:r>
            <w:r w:rsidRPr="004C7F8B">
              <w:rPr>
                <w:rFonts w:ascii="仿宋" w:eastAsia="仿宋" w:hAnsi="仿宋"/>
                <w:shd w:val="clear" w:color="auto" w:fill="FFFFFF"/>
              </w:rPr>
              <w:t>管理人</w:t>
            </w:r>
            <w:r w:rsidRPr="004C7F8B">
              <w:rPr>
                <w:rFonts w:ascii="仿宋" w:eastAsia="仿宋" w:hAnsi="仿宋" w:hint="eastAsia"/>
                <w:shd w:val="clear" w:color="auto" w:fill="FFFFFF"/>
              </w:rPr>
              <w:t>保证</w:t>
            </w:r>
            <w:r w:rsidRPr="004C7F8B">
              <w:rPr>
                <w:rFonts w:ascii="仿宋" w:eastAsia="仿宋" w:hAnsi="仿宋"/>
                <w:shd w:val="clear" w:color="auto" w:fill="FFFFFF"/>
              </w:rPr>
              <w:t>本报告所载资料不存在虚假记载、误导性陈述或重大遗漏。</w:t>
            </w:r>
          </w:p>
          <w:p w:rsidR="007A593C" w:rsidP="00164716">
            <w:pPr>
              <w:numPr>
                <w:ilvl w:val="0"/>
                <w:numId w:val="4"/>
              </w:numPr>
              <w:jc w:val="left"/>
              <w:rPr>
                <w:rFonts w:ascii="仿宋" w:eastAsia="仿宋" w:hAnsi="仿宋"/>
                <w:shd w:val="clear" w:color="auto" w:fill="FFFFFF"/>
              </w:rPr>
            </w:pPr>
            <w:r w:rsidRPr="004C7F8B">
              <w:rPr>
                <w:rFonts w:ascii="仿宋" w:eastAsia="仿宋" w:hAnsi="仿宋"/>
                <w:shd w:val="clear" w:color="auto" w:fill="FFFFFF"/>
              </w:rPr>
              <w:t>理财产品管理人承诺以诚实信用、勤勉尽责的原则管理和运用理财产品资产，但不保证理财产品</w:t>
            </w:r>
            <w:r w:rsidR="00330673">
              <w:rPr>
                <w:rFonts w:ascii="仿宋" w:eastAsia="仿宋" w:hAnsi="仿宋" w:hint="eastAsia"/>
                <w:shd w:val="clear" w:color="auto" w:fill="FFFFFF"/>
              </w:rPr>
              <w:t>本金和收益</w:t>
            </w:r>
            <w:r w:rsidRPr="004C7F8B">
              <w:rPr>
                <w:rFonts w:ascii="仿宋" w:eastAsia="仿宋" w:hAnsi="仿宋"/>
                <w:shd w:val="clear" w:color="auto" w:fill="FFFFFF"/>
              </w:rPr>
              <w:t>。</w:t>
            </w:r>
          </w:p>
          <w:p w:rsidR="00CC32FE" w:rsidP="00CC32FE">
            <w:pPr>
              <w:numPr>
                <w:ilvl w:val="0"/>
                <w:numId w:val="4"/>
              </w:numPr>
              <w:rPr>
                <w:rFonts w:ascii="仿宋" w:eastAsia="仿宋" w:hAnsi="仿宋"/>
                <w:shd w:val="clear" w:color="auto" w:fill="FFFFFF"/>
              </w:rPr>
            </w:pPr>
            <w:r w:rsidRPr="00CC32FE">
              <w:rPr>
                <w:rFonts w:ascii="仿宋" w:eastAsia="仿宋" w:hAnsi="仿宋"/>
                <w:shd w:val="clear" w:color="auto" w:fill="FFFFFF"/>
              </w:rPr>
              <w:t>本产品为净值型产品，业绩表现将随市场波动，具有不确定性</w:t>
            </w:r>
            <w:r w:rsidRPr="00CC32FE">
              <w:rPr>
                <w:rFonts w:ascii="仿宋" w:eastAsia="仿宋" w:hAnsi="仿宋" w:hint="eastAsia"/>
                <w:shd w:val="clear" w:color="auto" w:fill="FFFFFF"/>
              </w:rPr>
              <w:t>，</w:t>
            </w:r>
            <w:r w:rsidRPr="00886267">
              <w:rPr>
                <w:rFonts w:ascii="仿宋" w:eastAsia="仿宋" w:hAnsi="仿宋"/>
                <w:b/>
                <w:bCs/>
                <w:shd w:val="clear" w:color="auto" w:fill="FFFFFF"/>
              </w:rPr>
              <w:t>理财产品过往业绩并不代表其未来表现，不等于理财产品实际收益。</w:t>
            </w:r>
            <w:r w:rsidRPr="00CC32FE">
              <w:rPr>
                <w:rFonts w:ascii="仿宋" w:eastAsia="仿宋" w:hAnsi="仿宋" w:hint="eastAsia"/>
                <w:b/>
                <w:shd w:val="clear" w:color="auto" w:fill="FFFFFF"/>
              </w:rPr>
              <w:t>理财非存款、产品有风险、投资须谨慎</w:t>
            </w:r>
            <w:r w:rsidRPr="00CC32FE">
              <w:rPr>
                <w:rFonts w:ascii="仿宋" w:eastAsia="仿宋" w:hAnsi="仿宋"/>
                <w:shd w:val="clear" w:color="auto" w:fill="FFFFFF"/>
              </w:rPr>
              <w:t>，投资者在作出投资决策前应仔细阅读本理财产品的</w:t>
            </w:r>
            <w:r w:rsidRPr="00CC32FE">
              <w:rPr>
                <w:rFonts w:ascii="仿宋" w:eastAsia="仿宋" w:hAnsi="仿宋" w:hint="eastAsia"/>
                <w:shd w:val="clear" w:color="auto" w:fill="FFFFFF"/>
              </w:rPr>
              <w:t>销售文件</w:t>
            </w:r>
            <w:r w:rsidRPr="00CC32FE">
              <w:rPr>
                <w:rFonts w:ascii="仿宋" w:eastAsia="仿宋" w:hAnsi="仿宋"/>
                <w:shd w:val="clear" w:color="auto" w:fill="FFFFFF"/>
              </w:rPr>
              <w:t>。</w:t>
            </w:r>
          </w:p>
          <w:p w:rsidR="00CC32FE" w:rsidRPr="00CC32FE" w:rsidP="00FC706C">
            <w:pPr>
              <w:rPr>
                <w:rFonts w:ascii="仿宋" w:eastAsia="仿宋" w:hAnsi="仿宋"/>
                <w:shd w:val="clear" w:color="auto" w:fill="FFFFFF"/>
              </w:rPr>
            </w:pPr>
            <w:r>
              <w:rPr>
                <w:rFonts w:ascii="仿宋" w:eastAsia="仿宋" w:hAnsi="仿宋" w:cs="仿宋"/>
                <w:b w:val="0"/>
                <w:i w:val="0"/>
                <w:color w:val="000000"/>
                <w:position w:val="-1"/>
                <w:u w:val="none"/>
              </w:rPr>
              <w:t>4、 本报告披露的净值经过德勤华永会计师事务所(特殊普通合伙)审计确认。</w:t>
            </w:r>
            <w:r>
              <w:br/>
            </w:r>
            <w:r>
              <w:rPr>
                <w:rFonts w:ascii="仿宋" w:eastAsia="仿宋" w:hAnsi="仿宋" w:cs="仿宋"/>
                <w:b w:val="0"/>
                <w:i w:val="0"/>
                <w:color w:val="000000"/>
                <w:position w:val="-1"/>
                <w:u w:val="none"/>
              </w:rPr>
              <w:t>5、 本报告期自2025年06月18日起至2025年12月31日止。</w:t>
            </w:r>
          </w:p>
          <w:p w:rsidR="0033503F" w:rsidRPr="0033503F" w:rsidP="00AA0D69">
            <w:pPr>
              <w:jc w:val="left"/>
              <w:rPr>
                <w:rFonts w:ascii="仿宋" w:eastAsia="仿宋" w:hAnsi="仿宋"/>
                <w:shd w:val="clear" w:color="auto" w:fill="FFFFFF"/>
              </w:rPr>
            </w:pPr>
            <w:r>
              <w:rPr>
                <w:rFonts w:ascii="仿宋" w:eastAsia="仿宋" w:hAnsi="仿宋" w:cs="仿宋"/>
                <w:b w:val="0"/>
                <w:i w:val="0"/>
                <w:color w:val="000000"/>
                <w:position w:val="-1"/>
                <w:u w:val="none"/>
              </w:rPr>
              <w:t>注：除非本报告另有说明，本报告内的“元”均指“人民币元”。</w:t>
            </w:r>
          </w:p>
        </w:tc>
      </w:tr>
    </w:tbl>
    <w:p w:rsidR="003C0BC7" w:rsidRPr="00FE5E69" w:rsidP="00FE5E69">
      <w:pPr>
        <w:pStyle w:val="Heading1"/>
        <w:spacing w:line="360" w:lineRule="auto"/>
        <w:jc w:val="center"/>
        <w:rPr>
          <w:rFonts w:ascii="宋体" w:hAnsi="宋体"/>
          <w:sz w:val="24"/>
          <w:szCs w:val="24"/>
          <w:shd w:val="clear" w:color="auto" w:fill="FFFFFF"/>
        </w:rPr>
      </w:pPr>
      <w:bookmarkStart w:id="3" w:name="_Toc256000002"/>
      <w:r w:rsidRPr="00C01C40">
        <w:rPr>
          <w:rFonts w:ascii="宋体" w:hAnsi="宋体" w:hint="eastAsia"/>
          <w:sz w:val="24"/>
          <w:szCs w:val="24"/>
          <w:shd w:val="clear" w:color="auto" w:fill="FFFFFF"/>
        </w:rPr>
        <w:t>§2 理财产品简介</w:t>
      </w:r>
      <w:bookmarkEnd w:id="3"/>
      <w:bookmarkStart w:id="4" w:name="基础信息"/>
    </w:p>
    <w:p w:rsidR="00A3418A">
      <w:pPr>
        <w:pStyle w:val="Heading2"/>
        <w:rPr>
          <w:sz w:val="24"/>
          <w:szCs w:val="24"/>
          <w:shd w:val="clear" w:color="auto" w:fill="FFFFFF"/>
        </w:rPr>
      </w:pPr>
      <w:bookmarkStart w:id="5" w:name="_Toc256000003"/>
      <w:r>
        <w:rPr>
          <w:rFonts w:hint="eastAsia"/>
          <w:sz w:val="24"/>
          <w:szCs w:val="24"/>
          <w:shd w:val="clear" w:color="auto" w:fill="FFFFFF"/>
        </w:rPr>
        <w:t>2.1 理财产品基本情况</w:t>
      </w:r>
      <w:bookmarkEnd w:id="5"/>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0"/>
        <w:gridCol w:w="5406"/>
      </w:tblGrid>
      <w:tr w:rsidTr="00CA0B1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理财产品产品代码</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8109</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理财产品名称</w:t>
            </w:r>
          </w:p>
        </w:tc>
        <w:tc>
          <w:tcPr>
            <w:tcW w:w="3258" w:type="pct"/>
            <w:shd w:val="clear" w:color="auto" w:fill="auto"/>
          </w:tcPr>
          <w:p w:rsidR="00A3418A" w:rsidP="00C841A7">
            <w:pPr>
              <w:rPr>
                <w:rFonts w:ascii="宋体" w:hAnsi="宋体"/>
                <w:color w:val="FF0000"/>
                <w:kern w:val="0"/>
                <w:szCs w:val="21"/>
                <w:shd w:val="clear" w:color="auto" w:fill="FFFFFF"/>
              </w:rPr>
            </w:pPr>
            <w:r>
              <w:rPr>
                <w:rFonts w:ascii="宋体" w:eastAsia="宋体" w:hAnsi="宋体" w:cs="宋体"/>
                <w:b w:val="0"/>
                <w:i w:val="0"/>
                <w:color w:val="000000"/>
                <w:position w:val="-1"/>
                <w:u w:val="none"/>
              </w:rPr>
              <w:t>招银理财招赢日日金109号现金管理类理财计划</w:t>
            </w:r>
          </w:p>
        </w:tc>
      </w:tr>
      <w:tr w:rsidTr="00CA0B1A">
        <w:tblPrEx>
          <w:tblW w:w="5000" w:type="pct"/>
          <w:tblLook w:val="04A0"/>
        </w:tblPrEx>
        <w:trPr>
          <w:trHeight w:val="259"/>
        </w:trPr>
        <w:tc>
          <w:tcPr>
            <w:tcW w:w="1742" w:type="pct"/>
            <w:shd w:val="clear" w:color="auto" w:fill="auto"/>
            <w:vAlign w:val="center"/>
          </w:tcPr>
          <w:p w:rsidR="00A3418A" w:rsidP="00C841A7">
            <w:pPr>
              <w:rPr>
                <w:rFonts w:ascii="宋体" w:hAnsi="宋体"/>
                <w:szCs w:val="21"/>
                <w:shd w:val="clear" w:color="auto" w:fill="FFFFFF"/>
              </w:rPr>
            </w:pPr>
            <w:r>
              <w:rPr>
                <w:rFonts w:ascii="宋体" w:hAnsi="宋体" w:hint="eastAsia"/>
                <w:szCs w:val="21"/>
                <w:shd w:val="clear" w:color="auto" w:fill="FFFFFF"/>
              </w:rPr>
              <w:t>理财产品登记编码</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Z7001625000558</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产品</w:t>
            </w:r>
            <w:r>
              <w:rPr>
                <w:rFonts w:ascii="宋体" w:hAnsi="宋体"/>
                <w:szCs w:val="21"/>
                <w:shd w:val="clear" w:color="auto" w:fill="FFFFFF"/>
              </w:rPr>
              <w:t>投资</w:t>
            </w:r>
            <w:r>
              <w:rPr>
                <w:rFonts w:ascii="宋体" w:hAnsi="宋体" w:hint="eastAsia"/>
                <w:szCs w:val="21"/>
                <w:shd w:val="clear" w:color="auto" w:fill="FFFFFF"/>
              </w:rPr>
              <w:t>类型</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固定收益类产品</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产品募集</w:t>
            </w:r>
            <w:r>
              <w:rPr>
                <w:rFonts w:ascii="宋体" w:hAnsi="宋体"/>
                <w:szCs w:val="21"/>
                <w:shd w:val="clear" w:color="auto" w:fill="FFFFFF"/>
              </w:rPr>
              <w:t>方式</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公募</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理财产品运作方式</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开放式</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业绩</w:t>
            </w:r>
            <w:r>
              <w:rPr>
                <w:rFonts w:ascii="宋体" w:hAnsi="宋体"/>
                <w:szCs w:val="21"/>
                <w:shd w:val="clear" w:color="auto" w:fill="FFFFFF"/>
              </w:rPr>
              <w:t>比较基准</w:t>
            </w:r>
            <w:r>
              <w:rPr>
                <w:rFonts w:ascii="宋体" w:hAnsi="宋体" w:hint="eastAsia"/>
                <w:szCs w:val="21"/>
                <w:shd w:val="clear" w:color="auto" w:fill="FFFFFF"/>
              </w:rPr>
              <w:t>（如有）</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8109A：7天通知存款利率；8109C：中国人民银行公布的7天通知存款利率；8109K：中国人民银行公布的7天通知存款利率；8109P：中国人民银行公布的7天通知存款利率；8109TL：中国人民银行公布的7天通知存款利率；8109TZ：中国人民银行公布的7天通知存款利率（本产品为净值型产品，业绩表现将随市场波动，具有不确定性。）</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业绩</w:t>
            </w:r>
            <w:r>
              <w:rPr>
                <w:rFonts w:ascii="宋体" w:hAnsi="宋体"/>
                <w:szCs w:val="21"/>
                <w:shd w:val="clear" w:color="auto" w:fill="FFFFFF"/>
              </w:rPr>
              <w:t>比较基准测算说明</w:t>
            </w:r>
            <w:r>
              <w:rPr>
                <w:rFonts w:ascii="宋体" w:hAnsi="宋体" w:hint="eastAsia"/>
                <w:szCs w:val="21"/>
                <w:shd w:val="clear" w:color="auto" w:fill="FFFFFF"/>
              </w:rPr>
              <w:t>（如有）</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本产品资金100%投资于现金、银行存款、债券回购、中央银行票据、同业存单、债券、资产支持证券及其他监管机构认可的具有良好流动性的货币市场工具。因此根据产品风险收益特征，选取：【中国人民银行公布的7天通知存款利率】作为本产品的业绩比较基准。</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产品风险</w:t>
            </w:r>
            <w:r>
              <w:rPr>
                <w:rFonts w:ascii="宋体" w:hAnsi="宋体"/>
                <w:color w:val="000000"/>
                <w:szCs w:val="21"/>
                <w:shd w:val="clear" w:color="auto" w:fill="FFFFFF"/>
              </w:rPr>
              <w:t>评级</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PR1</w:t>
            </w:r>
          </w:p>
        </w:tc>
      </w:tr>
      <w:tr w:rsidTr="00CA0B1A">
        <w:tblPrEx>
          <w:tblW w:w="5000" w:type="pct"/>
          <w:tblLook w:val="04A0"/>
        </w:tblPrEx>
        <w:tc>
          <w:tcPr>
            <w:tcW w:w="1742" w:type="pct"/>
            <w:shd w:val="clear" w:color="auto" w:fill="auto"/>
          </w:tcPr>
          <w:p w:rsidR="00A3418A" w:rsidP="00C841A7">
            <w:pPr>
              <w:rPr>
                <w:rFonts w:ascii="宋体" w:hAnsi="宋体"/>
                <w:color w:val="000000"/>
                <w:szCs w:val="21"/>
                <w:shd w:val="clear" w:color="auto" w:fill="FFFFFF"/>
              </w:rPr>
            </w:pPr>
            <w:r>
              <w:rPr>
                <w:rFonts w:ascii="宋体" w:hAnsi="宋体" w:hint="eastAsia"/>
                <w:color w:val="000000"/>
                <w:szCs w:val="21"/>
                <w:shd w:val="clear" w:color="auto" w:fill="FFFFFF"/>
              </w:rPr>
              <w:t>杠杆</w:t>
            </w:r>
            <w:r>
              <w:rPr>
                <w:rFonts w:ascii="宋体" w:hAnsi="宋体"/>
                <w:color w:val="000000"/>
                <w:szCs w:val="21"/>
                <w:shd w:val="clear" w:color="auto" w:fill="FFFFFF"/>
              </w:rPr>
              <w:t>水平</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106.35</w:t>
            </w:r>
            <w:r w:rsidR="002E0136">
              <w:rPr>
                <w:rFonts w:ascii="宋体" w:hAnsi="宋体"/>
                <w:kern w:val="0"/>
                <w:szCs w:val="21"/>
                <w:shd w:val="clear" w:color="auto" w:fill="FFFFFF"/>
              </w:rPr>
              <w:t>%</w:t>
            </w:r>
            <w:bookmarkStart w:id="6" w:name="杠杆水平"/>
            <w:bookmarkEnd w:id="6"/>
          </w:p>
        </w:tc>
      </w:tr>
      <w:tr w:rsidTr="00CA0B1A">
        <w:tblPrEx>
          <w:tblW w:w="5000" w:type="pct"/>
          <w:tblLook w:val="04A0"/>
        </w:tblPrEx>
        <w:tc>
          <w:tcPr>
            <w:tcW w:w="1742" w:type="pct"/>
            <w:shd w:val="clear" w:color="auto" w:fill="auto"/>
          </w:tcPr>
          <w:p w:rsidR="00A3418A" w:rsidP="00C841A7">
            <w:pPr>
              <w:rPr>
                <w:rFonts w:ascii="宋体" w:hAnsi="宋体"/>
                <w:kern w:val="0"/>
                <w:szCs w:val="21"/>
                <w:shd w:val="clear" w:color="auto" w:fill="FFFFFF"/>
              </w:rPr>
            </w:pPr>
            <w:r>
              <w:rPr>
                <w:rFonts w:ascii="宋体" w:hAnsi="宋体" w:hint="eastAsia"/>
                <w:color w:val="000000"/>
                <w:szCs w:val="21"/>
                <w:shd w:val="clear" w:color="auto" w:fill="FFFFFF"/>
              </w:rPr>
              <w:t>报告期末理财产品份额总额</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7,890,737,941.71</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理财产品成立日</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2025年06月18日</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理财产品计划到期日</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2055年06月18日（如遇非工作日/交易日顺延至下一工作日/交易日，具体以产品说明书为准，或在理财计划存续期内理财产品管理人根据本产品说明书约定事由宣布提前或延期终止本理财计划之日。）</w:t>
            </w:r>
          </w:p>
        </w:tc>
      </w:tr>
    </w:tbl>
    <w:p w:rsidR="00A3418A">
      <w:r w:rsidRPr="00E3035C">
        <w:rPr>
          <w:rFonts w:ascii="宋体" w:hAnsi="宋体" w:hint="eastAsia"/>
          <w:shd w:val="clear" w:color="auto" w:fill="FFFFFF"/>
        </w:rPr>
        <w:t>注：本产品为净值型产品，业绩表现将随市场波动，具有不确定性。业绩比较基准是管理人基于产品性质、投资策略、过往经验等因素对产品设定的投资目标，业绩比较基准不是预期收益率，不代表产品的未来表现和实际收益，不构成对产品收益的承诺。</w:t>
      </w:r>
    </w:p>
    <w:p w:rsidRPr="00C01C40" w:rsidP="00FE5E69">
      <w:pPr>
        <w:pStyle w:val="Heading1"/>
        <w:spacing w:line="360" w:lineRule="auto"/>
        <w:jc w:val="center"/>
        <w:rPr>
          <w:rFonts w:ascii="宋体" w:hAnsi="宋体" w:hint="eastAsia"/>
          <w:sz w:val="24"/>
          <w:szCs w:val="24"/>
          <w:shd w:val="clear" w:color="auto" w:fill="FFFFFF"/>
        </w:rPr>
      </w:pPr>
      <w:bookmarkEnd w:id="4"/>
    </w:p>
    <w:p w:rsidR="00380479" w:rsidRPr="00C01C40">
      <w:pPr>
        <w:pStyle w:val="Heading1"/>
        <w:jc w:val="center"/>
        <w:rPr>
          <w:rFonts w:ascii="宋体" w:hAnsi="宋体"/>
          <w:sz w:val="24"/>
          <w:szCs w:val="24"/>
          <w:shd w:val="clear" w:color="auto" w:fill="FFFFFF"/>
        </w:rPr>
      </w:pPr>
      <w:bookmarkStart w:id="7" w:name="_Toc256000005"/>
      <w:r w:rsidRPr="00C01C40">
        <w:rPr>
          <w:rFonts w:ascii="宋体" w:hAnsi="宋体" w:hint="eastAsia"/>
          <w:sz w:val="24"/>
          <w:szCs w:val="24"/>
          <w:shd w:val="clear" w:color="auto" w:fill="FFFFFF"/>
        </w:rPr>
        <w:t>§3 理财产品净值表现</w:t>
      </w:r>
      <w:bookmarkEnd w:id="7"/>
    </w:p>
    <w:p w:rsidR="00380479" w:rsidRPr="00C01C40" w:rsidP="003F7FB0">
      <w:pPr>
        <w:pStyle w:val="Heading2"/>
        <w:rPr>
          <w:sz w:val="24"/>
          <w:szCs w:val="24"/>
          <w:shd w:val="clear" w:color="auto" w:fill="FFFFFF"/>
        </w:rPr>
      </w:pPr>
      <w:bookmarkStart w:id="8" w:name="_Toc256000006"/>
      <w:r w:rsidRPr="00C01C40">
        <w:rPr>
          <w:rFonts w:hint="eastAsia"/>
          <w:sz w:val="24"/>
          <w:szCs w:val="24"/>
          <w:shd w:val="clear" w:color="auto" w:fill="FFFFFF"/>
        </w:rPr>
        <w:t>3.1 截至报告期末产品资产净值及份额净值</w:t>
      </w:r>
      <w:bookmarkEnd w:id="8"/>
    </w:p>
    <w:p w:rsidR="00055790" w:rsidP="006135F4">
      <w:pPr>
        <w:adjustRightInd w:val="0"/>
        <w:snapToGrid w:val="0"/>
        <w:ind w:firstLine="420" w:firstLineChars="200"/>
        <w:rPr>
          <w:rFonts w:ascii="宋体" w:hAnsi="宋体"/>
          <w:sz w:val="24"/>
          <w:szCs w:val="24"/>
          <w:shd w:val="clear" w:color="auto" w:fill="FFFFFF"/>
        </w:rPr>
      </w:pPr>
      <w:r w:rsidRPr="00CD6674">
        <w:rPr>
          <w:rFonts w:ascii="宋体" w:hAnsi="宋体" w:hint="eastAsia"/>
          <w:sz w:val="24"/>
          <w:szCs w:val="24"/>
          <w:shd w:val="clear" w:color="auto" w:fill="FFFFFF"/>
        </w:rPr>
        <w:t>截至本报告期末，产品的资产净值为</w:t>
      </w:r>
      <w:r>
        <w:rPr>
          <w:rFonts w:ascii="宋体" w:eastAsia="宋体" w:hAnsi="宋体" w:cs="宋体"/>
          <w:b w:val="0"/>
          <w:i w:val="0"/>
          <w:color w:val="000000"/>
          <w:position w:val="-1"/>
          <w:sz w:val="24"/>
          <w:u w:val="none"/>
        </w:rPr>
        <w:t>7,890,737,941.71</w:t>
      </w:r>
      <w:r>
        <w:rPr>
          <w:rFonts w:ascii="宋体" w:eastAsia="宋体" w:hAnsi="宋体" w:cs="宋体"/>
          <w:b w:val="0"/>
          <w:i w:val="0"/>
          <w:color w:val="000000"/>
          <w:position w:val="-1"/>
          <w:sz w:val="24"/>
          <w:u w:val="none"/>
        </w:rPr>
        <w:t>元</w:t>
      </w:r>
      <w:r>
        <w:rPr>
          <w:rFonts w:ascii="宋体" w:eastAsia="宋体" w:hAnsi="宋体" w:cs="宋体"/>
          <w:b w:val="0"/>
          <w:i w:val="0"/>
          <w:color w:val="000000"/>
          <w:position w:val="-1"/>
          <w:sz w:val="24"/>
          <w:u w:val="none"/>
        </w:rPr>
        <w:t>。其中，销售代码【8109A】份额为55,880,417.66份，每万份收益为0.4232元，七日年化收益率为1.5100%；销售代码【8109C】份额为7,813,548,570.17份，每万份收益为0.4752元，七日年化收益率为1.7000%；销售代码【8109K】份额为341,144.95份，每万份收益为0.4238元，七日年化收益率为1.5100%；销售代码【8109P】份额为6,978,772.44份，每万份收益为0.4232元，七日年化收益率为1.5100%；销售代码【8109TL】份额为3,959,436.41份，每万份收益为0.4726元，七日年化收益率为1.7000%；销售代码【8109TZ】份额为10,029,600.08份，每万份收益为0.4643元，七日年化收益率为1.6600%。</w:t>
      </w:r>
    </w:p>
    <w:p w:rsidR="008A2DCA" w:rsidRPr="008A2DCA" w:rsidP="008A2DCA">
      <w:pPr>
        <w:adjustRightInd w:val="0"/>
        <w:snapToGrid w:val="0"/>
        <w:ind w:firstLine="420" w:firstLineChars="200"/>
        <w:rPr>
          <w:rFonts w:ascii="宋体" w:hAnsi="宋体"/>
          <w:szCs w:val="21"/>
          <w:shd w:val="clear" w:color="auto" w:fill="FFFFFF"/>
        </w:rPr>
      </w:pPr>
      <w:r>
        <w:rPr>
          <w:rFonts w:ascii="宋体" w:eastAsia="宋体" w:hAnsi="宋体" w:cs="宋体"/>
          <w:b w:val="0"/>
          <w:i w:val="0"/>
          <w:color w:val="000000"/>
          <w:position w:val="-1"/>
          <w:u w:val="none"/>
        </w:rPr>
        <w:t>注：根据产品说明书，因理财计划发行对象不同，可能存在理财计划费用名目、收费条件、收费标准和收费方式不同，以及每万份收益、七日年化收益率计算过程产生尾差等原因，均可能导致各份额每万份收益、七日年化收益率不完全一致。</w:t>
      </w:r>
    </w:p>
    <w:p w:rsidR="00CB77A4" w:rsidRPr="00C01C40" w:rsidP="003C0BC7">
      <w:pPr>
        <w:pStyle w:val="Heading2"/>
        <w:rPr>
          <w:sz w:val="24"/>
          <w:szCs w:val="24"/>
          <w:shd w:val="clear" w:color="auto" w:fill="FFFFFF"/>
        </w:rPr>
      </w:pPr>
      <w:bookmarkStart w:id="9" w:name="_Toc256000007"/>
      <w:r w:rsidRPr="00C01C40">
        <w:rPr>
          <w:rFonts w:hint="eastAsia"/>
          <w:sz w:val="24"/>
          <w:szCs w:val="24"/>
          <w:shd w:val="clear" w:color="auto" w:fill="FFFFFF"/>
        </w:rPr>
        <w:t>3.2 理财产品年化收益率</w:t>
      </w:r>
      <w:bookmarkEnd w:id="9"/>
    </w:p>
    <w:tbl>
      <w:tblPr>
        <w:tblpPr w:leftFromText="180" w:rightFromText="180" w:vertAnchor="text" w:horzAnchor="margin" w:tblpXSpec="center" w:tblpY="270"/>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1"/>
        <w:gridCol w:w="992"/>
        <w:gridCol w:w="993"/>
        <w:gridCol w:w="850"/>
        <w:gridCol w:w="851"/>
        <w:gridCol w:w="992"/>
        <w:gridCol w:w="992"/>
        <w:gridCol w:w="992"/>
        <w:gridCol w:w="1134"/>
      </w:tblGrid>
      <w:tr w:rsidTr="00B45516">
        <w:tblPrEx>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41"/>
          <w:jc w:val="center"/>
        </w:trPr>
        <w:tc>
          <w:tcPr>
            <w:tcW w:w="1271" w:type="dxa"/>
            <w:shd w:val="clear" w:color="auto" w:fill="BFBFBF"/>
            <w:vAlign w:val="center"/>
          </w:tcPr>
          <w:p w:rsidR="002F38A1" w:rsidRPr="00654677" w:rsidP="002F38A1">
            <w:pPr>
              <w:widowControl/>
              <w:jc w:val="center"/>
              <w:rPr>
                <w:rFonts w:ascii="宋体" w:hAnsi="宋体" w:cs="宋体"/>
                <w:b/>
                <w:color w:val="333333"/>
                <w:kern w:val="0"/>
                <w:szCs w:val="21"/>
                <w:highlight w:val="lightGray"/>
                <w:shd w:val="clear" w:color="auto" w:fill="FFFFFF"/>
              </w:rPr>
            </w:pPr>
            <w:r w:rsidRPr="00654677">
              <w:rPr>
                <w:rFonts w:ascii="宋体" w:hAnsi="宋体" w:cs="宋体" w:hint="eastAsia"/>
                <w:b/>
                <w:szCs w:val="21"/>
              </w:rPr>
              <w:t>阶段</w:t>
            </w:r>
          </w:p>
        </w:tc>
        <w:tc>
          <w:tcPr>
            <w:tcW w:w="992" w:type="dxa"/>
            <w:shd w:val="clear" w:color="auto" w:fill="BFBFBF"/>
            <w:vAlign w:val="center"/>
          </w:tcPr>
          <w:p w:rsidR="002F38A1" w:rsidRPr="00654677" w:rsidP="002F38A1">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w:t>
            </w:r>
            <w:r w:rsidRPr="00654677">
              <w:rPr>
                <w:rFonts w:ascii="宋体" w:hAnsi="宋体" w:cs="宋体" w:hint="eastAsia"/>
                <w:b/>
                <w:szCs w:val="21"/>
              </w:rPr>
              <w:t>三个月</w:t>
            </w:r>
          </w:p>
        </w:tc>
        <w:tc>
          <w:tcPr>
            <w:tcW w:w="993" w:type="dxa"/>
            <w:shd w:val="clear" w:color="auto" w:fill="BFBFBF"/>
            <w:vAlign w:val="center"/>
          </w:tcPr>
          <w:p w:rsidR="002F38A1" w:rsidRPr="00654677" w:rsidP="002F38A1">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w:t>
            </w:r>
            <w:r w:rsidRPr="00654677">
              <w:rPr>
                <w:rFonts w:ascii="宋体" w:hAnsi="宋体" w:cs="宋体" w:hint="eastAsia"/>
                <w:b/>
                <w:szCs w:val="21"/>
              </w:rPr>
              <w:t>六个月</w:t>
            </w:r>
          </w:p>
        </w:tc>
        <w:tc>
          <w:tcPr>
            <w:tcW w:w="850" w:type="dxa"/>
            <w:shd w:val="clear" w:color="auto" w:fill="BFBFBF"/>
            <w:vAlign w:val="center"/>
          </w:tcPr>
          <w:p w:rsidR="002F38A1" w:rsidRPr="00661791" w:rsidP="002F38A1">
            <w:pPr>
              <w:widowControl/>
              <w:jc w:val="center"/>
              <w:rPr>
                <w:rFonts w:ascii="宋体" w:hAnsi="宋体" w:cs="宋体"/>
                <w:b/>
                <w:szCs w:val="21"/>
              </w:rPr>
            </w:pPr>
            <w:r w:rsidRPr="00661791">
              <w:rPr>
                <w:rFonts w:ascii="宋体" w:hAnsi="宋体" w:cs="宋体" w:hint="eastAsia"/>
                <w:b/>
                <w:szCs w:val="21"/>
              </w:rPr>
              <w:t>近1个会计年度</w:t>
            </w:r>
          </w:p>
        </w:tc>
        <w:tc>
          <w:tcPr>
            <w:tcW w:w="851" w:type="dxa"/>
            <w:shd w:val="clear" w:color="auto" w:fill="BFBFBF"/>
            <w:vAlign w:val="center"/>
          </w:tcPr>
          <w:p w:rsidR="002F38A1" w:rsidRPr="00654677" w:rsidP="002F38A1">
            <w:pPr>
              <w:widowControl/>
              <w:jc w:val="center"/>
              <w:rPr>
                <w:rFonts w:ascii="宋体" w:hAnsi="宋体" w:cs="宋体"/>
                <w:b/>
                <w:szCs w:val="21"/>
              </w:rPr>
            </w:pPr>
            <w:r>
              <w:rPr>
                <w:rFonts w:ascii="宋体" w:hAnsi="宋体" w:cs="宋体" w:hint="eastAsia"/>
                <w:b/>
                <w:szCs w:val="21"/>
              </w:rPr>
              <w:t>近2个会计年度</w:t>
            </w:r>
          </w:p>
        </w:tc>
        <w:tc>
          <w:tcPr>
            <w:tcW w:w="992" w:type="dxa"/>
            <w:shd w:val="clear" w:color="auto" w:fill="BFBFBF"/>
            <w:vAlign w:val="center"/>
          </w:tcPr>
          <w:p w:rsidR="002F38A1" w:rsidRPr="00654677" w:rsidP="002F38A1">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近3个会计年度</w:t>
            </w:r>
          </w:p>
        </w:tc>
        <w:tc>
          <w:tcPr>
            <w:tcW w:w="992" w:type="dxa"/>
            <w:shd w:val="clear" w:color="auto" w:fill="BFBFBF"/>
            <w:vAlign w:val="center"/>
          </w:tcPr>
          <w:p w:rsidR="002F38A1" w:rsidRPr="00654677" w:rsidP="002F38A1">
            <w:pPr>
              <w:widowControl/>
              <w:jc w:val="center"/>
              <w:rPr>
                <w:rFonts w:ascii="宋体" w:hAnsi="宋体" w:cs="宋体"/>
                <w:b/>
                <w:szCs w:val="21"/>
              </w:rPr>
            </w:pPr>
            <w:r>
              <w:rPr>
                <w:rFonts w:ascii="宋体" w:hAnsi="宋体" w:cs="宋体" w:hint="eastAsia"/>
                <w:b/>
                <w:szCs w:val="21"/>
              </w:rPr>
              <w:t>近4个会计年度</w:t>
            </w:r>
          </w:p>
        </w:tc>
        <w:tc>
          <w:tcPr>
            <w:tcW w:w="992" w:type="dxa"/>
            <w:shd w:val="clear" w:color="auto" w:fill="BFBFBF"/>
            <w:vAlign w:val="center"/>
          </w:tcPr>
          <w:p w:rsidR="002F38A1" w:rsidRPr="00654677" w:rsidP="002F38A1">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近5个会计年度</w:t>
            </w:r>
          </w:p>
        </w:tc>
        <w:tc>
          <w:tcPr>
            <w:tcW w:w="1134" w:type="dxa"/>
            <w:shd w:val="clear" w:color="auto" w:fill="BFBFBF"/>
            <w:vAlign w:val="center"/>
          </w:tcPr>
          <w:p w:rsidR="002F38A1" w:rsidRPr="00654677" w:rsidP="002F38A1">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成立</w:t>
            </w:r>
            <w:r w:rsidRPr="00654677">
              <w:rPr>
                <w:rFonts w:ascii="宋体" w:hAnsi="宋体" w:cs="宋体" w:hint="eastAsia"/>
                <w:b/>
                <w:szCs w:val="21"/>
              </w:rPr>
              <w:t>至今</w:t>
            </w:r>
          </w:p>
        </w:tc>
      </w:tr>
      <w:tr w:rsidTr="00B45516">
        <w:tblPrEx>
          <w:tblW w:w="9067" w:type="dxa"/>
          <w:jc w:val="center"/>
          <w:tblLayout w:type="fixed"/>
          <w:tblLook w:val="0000"/>
        </w:tblPrEx>
        <w:trPr>
          <w:trHeight w:val="892"/>
          <w:jc w:val="center"/>
        </w:trPr>
        <w:tc>
          <w:tcPr>
            <w:tcW w:w="1271"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sidRPr="00712E2F">
              <w:rPr>
                <w:rFonts w:ascii="宋体" w:hAnsi="宋体" w:hint="eastAsia"/>
                <w:szCs w:val="21"/>
                <w:shd w:val="clear" w:color="auto" w:fill="FFFFFF"/>
              </w:rPr>
              <w:t>年化</w:t>
            </w:r>
            <w:r w:rsidRPr="00712E2F">
              <w:rPr>
                <w:rFonts w:ascii="宋体" w:hAnsi="宋体"/>
                <w:szCs w:val="21"/>
                <w:shd w:val="clear" w:color="auto" w:fill="FFFFFF"/>
              </w:rPr>
              <w:t>收益率</w:t>
            </w:r>
          </w:p>
        </w:tc>
        <w:tc>
          <w:tcPr>
            <w:tcW w:w="992"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1.71%</w:t>
            </w:r>
          </w:p>
        </w:tc>
        <w:tc>
          <w:tcPr>
            <w:tcW w:w="993"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1.85%</w:t>
            </w:r>
          </w:p>
        </w:tc>
        <w:tc>
          <w:tcPr>
            <w:tcW w:w="850"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851"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1134" w:type="dxa"/>
            <w:tcBorders>
              <w:top w:val="single" w:sz="4" w:space="0" w:color="auto"/>
              <w:left w:val="single" w:sz="4" w:space="0" w:color="auto"/>
              <w:bottom w:val="single" w:sz="4" w:space="0" w:color="auto"/>
              <w:right w:val="single" w:sz="4" w:space="0" w:color="auto"/>
            </w:tcBorders>
            <w:vAlign w:val="center"/>
          </w:tcPr>
          <w:p w:rsidR="002F38A1" w:rsidRPr="00712E2F" w:rsidP="002F38A1">
            <w:pPr>
              <w:snapToGrid w:val="0"/>
              <w:jc w:val="center"/>
              <w:rPr>
                <w:rFonts w:ascii="宋体" w:hAnsi="宋体"/>
                <w:szCs w:val="21"/>
                <w:shd w:val="clear" w:color="auto" w:fill="FFFFFF"/>
              </w:rPr>
            </w:pPr>
            <w:r>
              <w:rPr>
                <w:rFonts w:ascii="宋体" w:eastAsia="宋体" w:hAnsi="宋体" w:cs="宋体"/>
                <w:b w:val="0"/>
                <w:i w:val="0"/>
                <w:color w:val="000000"/>
                <w:position w:val="-1"/>
                <w:u w:val="none"/>
              </w:rPr>
              <w:t>1.85%</w:t>
            </w:r>
          </w:p>
        </w:tc>
      </w:tr>
    </w:tbl>
    <w:p w:rsidR="002F38A1" w:rsidP="002F38A1">
      <w:r>
        <w:rPr>
          <w:rFonts w:hint="eastAsia"/>
        </w:rPr>
        <w:t>注：</w:t>
      </w:r>
    </w:p>
    <w:p w:rsidR="002F38A1" w:rsidP="002F38A1">
      <w:pPr>
        <w:rPr>
          <w:rFonts w:ascii="宋体" w:hAnsi="宋体" w:cs="宋体"/>
        </w:rPr>
      </w:pPr>
      <w:r>
        <w:rPr>
          <w:rFonts w:ascii="宋体" w:hAnsi="宋体" w:cs="宋体" w:hint="eastAsia"/>
        </w:rPr>
        <w:t>1.本理财产品成立于</w:t>
      </w:r>
      <w:r>
        <w:rPr>
          <w:rFonts w:ascii="宋体" w:eastAsia="宋体" w:hAnsi="宋体" w:cs="宋体"/>
          <w:b w:val="0"/>
          <w:i w:val="0"/>
          <w:color w:val="000000"/>
          <w:position w:val="-1"/>
          <w:u w:val="none"/>
        </w:rPr>
        <w:t>2025年06月18日</w:t>
      </w:r>
      <w:r>
        <w:rPr>
          <w:rFonts w:ascii="宋体" w:hAnsi="宋体" w:cs="宋体" w:hint="eastAsia"/>
        </w:rPr>
        <w:t>，数据截至</w:t>
      </w:r>
      <w:r>
        <w:rPr>
          <w:rFonts w:ascii="宋体" w:eastAsia="宋体" w:hAnsi="宋体" w:cs="宋体"/>
          <w:b w:val="0"/>
          <w:i w:val="0"/>
          <w:color w:val="000000"/>
          <w:position w:val="-1"/>
          <w:u w:val="none"/>
        </w:rPr>
        <w:t>2025年12月31日</w:t>
      </w:r>
      <w:r>
        <w:rPr>
          <w:rFonts w:ascii="宋体" w:hAnsi="宋体" w:cs="宋体" w:hint="eastAsia"/>
        </w:rPr>
        <w:t>。本理财产品过往业绩由管理人招银理财有限责任公司基于理财产品净值，参照有关法律法规及理财行业通行规则制定的计算规则计算，过往业绩相关净值数据已经理财产品托管人复核。</w:t>
      </w:r>
      <w:r>
        <w:rPr>
          <w:rFonts w:ascii="宋体" w:hAnsi="宋体" w:cs="宋体" w:hint="eastAsia"/>
          <w:b/>
          <w:bCs/>
        </w:rPr>
        <w:t>理财产品过往业绩不代表其未来表现，不等于理财产品实际收益，投资须谨慎。</w:t>
      </w:r>
    </w:p>
    <w:p w:rsidR="002D5BC9" w:rsidP="002D5BC9">
      <w:pPr>
        <w:rPr>
          <w:rFonts w:ascii="宋体" w:hAnsi="宋体" w:cs="宋体"/>
          <w:position w:val="-1"/>
        </w:rPr>
      </w:pPr>
      <w:r>
        <w:rPr>
          <w:rFonts w:ascii="宋体" w:hAnsi="宋体" w:cs="宋体" w:hint="eastAsia"/>
          <w:position w:val="-1"/>
        </w:rPr>
        <w:t>2.如为报万份收益的产品，则年化收益率指该产品对应区间内的区间年化收益率，赎回成本未计入，并非最终持有期到期收益率。</w:t>
      </w:r>
    </w:p>
    <w:p w:rsidR="002D5BC9" w:rsidP="002D5BC9">
      <w:pPr>
        <w:rPr>
          <w:rFonts w:ascii="宋体" w:hAnsi="宋体" w:cs="宋体"/>
          <w:szCs w:val="21"/>
          <w:shd w:val="clear" w:color="auto" w:fill="FFFFFF"/>
        </w:rPr>
      </w:pPr>
      <w:r>
        <w:rPr>
          <w:rFonts w:ascii="宋体" w:hAnsi="宋体" w:cs="宋体" w:hint="eastAsia"/>
          <w:szCs w:val="21"/>
          <w:shd w:val="clear" w:color="auto" w:fill="FFFFFF"/>
        </w:rPr>
        <w:t>近N个月年化收益率（现金产品）</w:t>
      </w:r>
    </w:p>
    <w:p w:rsidR="002D5BC9" w:rsidP="002D5BC9">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2D5BC9" w:rsidP="002D5BC9">
      <w:pPr>
        <w:rPr>
          <w:rFonts w:ascii="宋体"/>
          <w:szCs w:val="21"/>
        </w:rPr>
      </w:pPr>
      <w:r>
        <w:rPr>
          <w:rFonts w:ascii="宋体" w:hint="eastAsia"/>
          <w:szCs w:val="21"/>
        </w:rPr>
        <w:t>i=1,2,...,N，Π代表连乘，</w:t>
      </w:r>
      <m:oMath>
        <m:sSub>
          <m:sSubPr>
            <m:ctrlPr>
              <w:rPr>
                <w:rFonts w:ascii="Cambria Math" w:hAnsi="Cambria Math"/>
                <w:i/>
                <w:szCs w:val="21"/>
              </w:rPr>
            </m:ctrlPr>
          </m:sSubPr>
          <m:e>
            <m:r>
              <w:rPr>
                <w:rFonts w:ascii="Cambria Math" w:hAnsi="Cambria Math"/>
                <w:szCs w:val="21"/>
              </w:rPr>
              <m:t>R</m:t>
            </m:r>
          </m:e>
          <m:sub>
            <m:r>
              <w:rPr>
                <w:rFonts w:ascii="Cambria Math" w:hAnsi="Cambria Math"/>
                <w:szCs w:val="21"/>
              </w:rPr>
              <m:t>i</m:t>
            </m:r>
          </m:sub>
        </m:sSub>
      </m:oMath>
      <w:r>
        <w:rPr>
          <w:rFonts w:ascii="宋体" w:hint="eastAsia"/>
          <w:szCs w:val="21"/>
        </w:rPr>
        <w:t>指该时间区间每个自然日的每万份收益。</w:t>
      </w:r>
      <m:oMath>
        <m:sSub>
          <m:sSubPr>
            <m:ctrlPr>
              <w:rPr>
                <w:rFonts w:ascii="Cambria Math" w:hAnsi="Cambria Math"/>
                <w:i/>
                <w:szCs w:val="21"/>
              </w:rPr>
            </m:ctrlPr>
          </m:sSubPr>
          <m:e>
            <m:r>
              <w:rPr>
                <w:rFonts w:ascii="Cambria Math" w:hAnsi="Cambria Math"/>
                <w:szCs w:val="21"/>
              </w:rPr>
              <m:t>R</m:t>
            </m:r>
          </m:e>
          <m:sub>
            <m:r>
              <w:rPr>
                <w:rFonts w:ascii="Cambria Math" w:hAnsi="Cambria Math"/>
                <w:szCs w:val="21"/>
              </w:rPr>
              <m:t>1</m:t>
            </m:r>
          </m:sub>
        </m:sSub>
      </m:oMath>
      <w:r>
        <w:rPr>
          <w:rFonts w:ascii="宋体" w:hint="eastAsia"/>
          <w:szCs w:val="21"/>
        </w:rPr>
        <w:t>指N月前最后一个自然日的每万份收益，</w:t>
      </w:r>
      <m:oMath>
        <m:sSub>
          <m:sSubPr>
            <m:ctrlPr>
              <w:rPr>
                <w:rFonts w:ascii="Cambria Math" w:hAnsi="Cambria Math"/>
                <w:i/>
                <w:szCs w:val="21"/>
              </w:rPr>
            </m:ctrlPr>
          </m:sSubPr>
          <m:e>
            <m:r>
              <w:rPr>
                <w:rFonts w:ascii="Cambria Math" w:hAnsi="Cambria Math"/>
                <w:szCs w:val="21"/>
              </w:rPr>
              <m:t>R</m:t>
            </m:r>
          </m:e>
          <m:sub>
            <m:r>
              <w:rPr>
                <w:rFonts w:ascii="Cambria Math" w:hAnsi="Cambria Math"/>
                <w:szCs w:val="21"/>
              </w:rPr>
              <m:t>n</m:t>
            </m:r>
          </m:sub>
        </m:sSub>
      </m:oMath>
      <w:r>
        <w:rPr>
          <w:rFonts w:ascii="宋体" w:hint="eastAsia"/>
          <w:szCs w:val="21"/>
        </w:rPr>
        <w:t>指最近一个自然日的每万份收益。N=最近一个自然日-N月前最后一个自然日+1；每万份收益=当日理财产品已实现收益/当日理财产品总份额*10000。</w:t>
      </w:r>
    </w:p>
    <w:p w:rsidR="002D5BC9" w:rsidP="002D5BC9">
      <w:pPr>
        <w:pStyle w:val="ccb"/>
        <w:ind w:firstLine="0" w:firstLineChars="0"/>
        <w:jc w:val="left"/>
        <w:rPr>
          <w:rFonts w:ascii="宋体" w:eastAsia="宋体"/>
          <w:color w:val="auto"/>
          <w:sz w:val="21"/>
          <w:szCs w:val="21"/>
        </w:rPr>
      </w:pPr>
      <w:r>
        <w:rPr>
          <w:rFonts w:ascii="宋体" w:eastAsia="宋体" w:hint="eastAsia"/>
          <w:color w:val="auto"/>
          <w:sz w:val="21"/>
          <w:szCs w:val="21"/>
        </w:rPr>
        <w:t>近N个会计年度年化收益率（现金产品）</w:t>
      </w:r>
    </w:p>
    <w:p w:rsidR="002D5BC9" w:rsidP="002D5BC9">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2D5BC9" w:rsidP="002D5BC9">
      <w:pPr>
        <w:rPr>
          <w:rFonts w:ascii="宋体"/>
          <w:szCs w:val="21"/>
        </w:rPr>
      </w:pPr>
      <w:r>
        <w:rPr>
          <w:rFonts w:ascii="宋体" w:hint="eastAsia"/>
          <w:szCs w:val="21"/>
        </w:rPr>
        <w:t>i=1,2,...,N，Π代表连乘，N为XX年1月1日到XX年12月31日的自然天数，</w:t>
      </w:r>
      <m:oMath>
        <m:sSub>
          <m:sSubPr>
            <m:ctrlPr>
              <w:rPr>
                <w:rFonts w:ascii="Cambria Math" w:hAnsi="Cambria Math"/>
                <w:i/>
                <w:szCs w:val="21"/>
              </w:rPr>
            </m:ctrlPr>
          </m:sSubPr>
          <m:e>
            <m:r>
              <w:rPr>
                <w:rFonts w:ascii="Cambria Math" w:hAnsi="Cambria Math"/>
                <w:szCs w:val="21"/>
              </w:rPr>
              <m:t>R</m:t>
            </m:r>
          </m:e>
          <m:sub>
            <m:r>
              <w:rPr>
                <w:rFonts w:ascii="Cambria Math" w:hAnsi="Cambria Math"/>
                <w:szCs w:val="21"/>
              </w:rPr>
              <m:t>i</m:t>
            </m:r>
          </m:sub>
        </m:sSub>
      </m:oMath>
      <w:r>
        <w:rPr>
          <w:rFonts w:ascii="宋体" w:hint="eastAsia"/>
          <w:szCs w:val="21"/>
        </w:rPr>
        <w:t>为XX年第i个自然日的每万份收益；每万份收益=当日理财产品已实现收益/当日理财产品总份额*10000。</w:t>
      </w:r>
    </w:p>
    <w:p w:rsidR="002D5BC9" w:rsidP="002D5BC9">
      <w:pPr>
        <w:pStyle w:val="ccb"/>
        <w:ind w:firstLine="0" w:firstLineChars="0"/>
        <w:jc w:val="left"/>
        <w:rPr>
          <w:rFonts w:ascii="宋体" w:eastAsia="宋体"/>
          <w:color w:val="auto"/>
          <w:sz w:val="21"/>
          <w:szCs w:val="21"/>
        </w:rPr>
      </w:pPr>
      <w:r>
        <w:rPr>
          <w:rFonts w:ascii="宋体" w:eastAsia="宋体" w:hint="eastAsia"/>
          <w:color w:val="auto"/>
          <w:sz w:val="21"/>
          <w:szCs w:val="21"/>
        </w:rPr>
        <w:t>成立至今年化收益率（现金产品）</w:t>
      </w:r>
    </w:p>
    <w:p w:rsidR="002D5BC9" w:rsidP="002D5BC9">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831BAD" w:rsidRPr="0032645F" w:rsidP="002D5BC9">
      <w:pPr>
        <w:spacing w:line="360" w:lineRule="auto"/>
        <w:rPr>
          <w:rFonts w:ascii="宋体" w:hAnsi="宋体"/>
          <w:sz w:val="24"/>
        </w:rPr>
      </w:pPr>
      <w:r>
        <w:rPr>
          <w:rFonts w:ascii="宋体" w:hint="eastAsia"/>
          <w:szCs w:val="21"/>
        </w:rPr>
        <w:t>i=1,2,...,N，Π代表连乘，</w:t>
      </w:r>
      <m:oMath>
        <m:sSub>
          <m:sSubPr>
            <m:ctrlPr>
              <w:rPr>
                <w:rFonts w:ascii="Cambria Math" w:hAnsi="Cambria Math" w:cs="宋体"/>
                <w:i/>
                <w:sz w:val="24"/>
                <w:szCs w:val="21"/>
              </w:rPr>
            </m:ctrlPr>
          </m:sSubPr>
          <m:e>
            <m:r>
              <w:rPr>
                <w:rFonts w:ascii="Cambria Math" w:hAnsi="Cambria Math"/>
                <w:szCs w:val="21"/>
              </w:rPr>
              <m:t>R</m:t>
            </m:r>
          </m:e>
          <m:sub>
            <m:r>
              <w:rPr>
                <w:rFonts w:ascii="Cambria Math" w:hAnsi="Cambria Math"/>
                <w:szCs w:val="21"/>
              </w:rPr>
              <m:t>i</m:t>
            </m:r>
          </m:sub>
        </m:sSub>
      </m:oMath>
      <w:r>
        <w:rPr>
          <w:rFonts w:ascii="宋体" w:hint="eastAsia"/>
          <w:szCs w:val="21"/>
        </w:rPr>
        <w:t>指成立以来至最近一个自然日区间每个自然日的每万份收益。</w:t>
      </w:r>
      <m:oMath>
        <m:sSub>
          <m:sSubPr>
            <m:ctrlPr>
              <w:rPr>
                <w:rFonts w:ascii="Cambria Math" w:hAnsi="Cambria Math" w:cs="宋体"/>
                <w:i/>
                <w:sz w:val="24"/>
                <w:szCs w:val="21"/>
              </w:rPr>
            </m:ctrlPr>
          </m:sSubPr>
          <m:e>
            <m:r>
              <w:rPr>
                <w:rFonts w:ascii="Cambria Math" w:hAnsi="Cambria Math"/>
                <w:szCs w:val="21"/>
              </w:rPr>
              <m:t>R</m:t>
            </m:r>
          </m:e>
          <m:sub>
            <m:r>
              <w:rPr>
                <w:rFonts w:ascii="Cambria Math" w:hAnsi="Cambria Math"/>
                <w:szCs w:val="21"/>
              </w:rPr>
              <m:t>1</m:t>
            </m:r>
          </m:sub>
        </m:sSub>
      </m:oMath>
      <w:r>
        <w:rPr>
          <w:rFonts w:ascii="宋体" w:hint="eastAsia"/>
          <w:szCs w:val="21"/>
        </w:rPr>
        <w:t>指成立日当日的每万份收益，</w:t>
      </w:r>
      <m:oMath>
        <m:sSub>
          <m:sSubPr>
            <m:ctrlPr>
              <w:rPr>
                <w:rFonts w:ascii="Cambria Math" w:hAnsi="Cambria Math" w:cs="宋体"/>
                <w:i/>
                <w:sz w:val="24"/>
                <w:szCs w:val="21"/>
              </w:rPr>
            </m:ctrlPr>
          </m:sSubPr>
          <m:e>
            <m:r>
              <w:rPr>
                <w:rFonts w:ascii="Cambria Math" w:hAnsi="Cambria Math"/>
                <w:szCs w:val="21"/>
              </w:rPr>
              <m:t>R</m:t>
            </m:r>
          </m:e>
          <m:sub>
            <m:r>
              <w:rPr>
                <w:rFonts w:ascii="Cambria Math" w:hAnsi="Cambria Math"/>
                <w:szCs w:val="21"/>
              </w:rPr>
              <m:t>n</m:t>
            </m:r>
          </m:sub>
        </m:sSub>
      </m:oMath>
      <w:r>
        <w:rPr>
          <w:rFonts w:ascii="宋体" w:hint="eastAsia"/>
          <w:szCs w:val="21"/>
        </w:rPr>
        <w:t>指最近一个自然日的每万份收益。N=最近一个自然日-成立日期+1；每万份收益=当日理财产品已实现收益/当日理财产品总份额*10000。</w:t>
      </w:r>
    </w:p>
    <w:p w:rsidR="00380479" w:rsidRPr="00C01C40">
      <w:pPr>
        <w:pStyle w:val="Heading1"/>
        <w:jc w:val="center"/>
        <w:rPr>
          <w:rFonts w:ascii="宋体" w:hAnsi="宋体"/>
          <w:sz w:val="24"/>
          <w:szCs w:val="24"/>
          <w:shd w:val="clear" w:color="auto" w:fill="FFFFFF"/>
        </w:rPr>
      </w:pPr>
      <w:bookmarkStart w:id="10" w:name="_Toc256000008"/>
      <w:r w:rsidRPr="00C01C40">
        <w:rPr>
          <w:rFonts w:ascii="宋体" w:hAnsi="宋体" w:hint="eastAsia"/>
          <w:sz w:val="24"/>
          <w:szCs w:val="24"/>
          <w:shd w:val="clear" w:color="auto" w:fill="FFFFFF"/>
        </w:rPr>
        <w:t>§4 管理人报告</w:t>
      </w:r>
      <w:bookmarkEnd w:id="10"/>
    </w:p>
    <w:p w:rsidR="00380479" w:rsidRPr="00C01C40" w:rsidP="003F7FB0">
      <w:pPr>
        <w:pStyle w:val="Heading2"/>
        <w:rPr>
          <w:sz w:val="24"/>
          <w:szCs w:val="24"/>
          <w:shd w:val="clear" w:color="auto" w:fill="FFFFFF"/>
        </w:rPr>
      </w:pPr>
      <w:bookmarkStart w:id="11" w:name="_Toc256000009"/>
      <w:r w:rsidRPr="00C01C40">
        <w:rPr>
          <w:rFonts w:hint="eastAsia"/>
          <w:sz w:val="24"/>
          <w:szCs w:val="24"/>
          <w:shd w:val="clear" w:color="auto" w:fill="FFFFFF"/>
        </w:rPr>
        <w:t>4.1 管理人对报告期内理财产品的投资策略说明</w:t>
      </w:r>
      <w:bookmarkEnd w:id="11"/>
    </w:p>
    <w:p w:rsidR="00F6717A" w:rsidRPr="00C01C40" w:rsidP="00F6717A">
      <w:pPr>
        <w:pStyle w:val="Heading3"/>
        <w:rPr>
          <w:sz w:val="24"/>
          <w:szCs w:val="24"/>
          <w:shd w:val="clear" w:color="auto" w:fill="FFFFFF"/>
        </w:rPr>
      </w:pPr>
      <w:r w:rsidRPr="00C01C40">
        <w:rPr>
          <w:rFonts w:hint="eastAsia"/>
          <w:sz w:val="24"/>
          <w:szCs w:val="24"/>
          <w:shd w:val="clear" w:color="auto" w:fill="FFFFFF"/>
        </w:rPr>
        <w:t>4.1.1 报告期内理财产品投资策略和运作分析</w:t>
      </w:r>
    </w:p>
    <w:p w:rsidR="00A26C4D" w:rsidRPr="003E7AF6" w:rsidP="0015356D">
      <w:pPr>
        <w:ind w:firstLine="420" w:firstLineChars="200"/>
        <w:rPr>
          <w:rFonts w:ascii="宋体" w:hAnsi="宋体"/>
          <w:sz w:val="24"/>
          <w:szCs w:val="24"/>
          <w:shd w:val="clear" w:color="auto" w:fill="FFFFFF"/>
        </w:rPr>
      </w:pPr>
      <w:bookmarkStart w:id="12" w:name="运作分析"/>
      <w:r w:rsidRPr="003E7AF6">
        <w:rPr>
          <w:rFonts w:ascii="宋体" w:hAnsi="宋体"/>
          <w:sz w:val="24"/>
          <w:szCs w:val="24"/>
          <w:shd w:val="clear" w:color="auto" w:fill="FFFFFF"/>
        </w:rPr>
        <w:t>2025年债券市场收益率整体上行。一季度受信贷开门红、资金面收紧等因素影响，各期限品种债券收益率均快速走高，并呈现长短端倒挂状态，直至3月下旬央行释放边际宽松信号，资金面压力缓解，债市收益率转而下行。进入二季度，关税冲击下避险交易及其对经济预期冲击带动债市快速走强，后伴随央行降准降息，长短端倒挂得以修复。三季度债市熊陡，反内卷、雅下水电站项目改变股市预期，股债跷跷板效应带动债市长端走弱，而后基金销售新规进一步引发市场抛售。四季度长债震荡，超长端弱势，主要受制于机构行为及对超长债供需结构担忧。整个下半年在央行维持适度宽松定调及市场利率围绕政策利率波动的基础上，短端整体呈现低波状态。</w:t>
      </w:r>
    </w:p>
    <w:p w:rsidR="00A26C4D" w:rsidRPr="003E7AF6" w:rsidP="0015356D">
      <w:pPr>
        <w:ind w:firstLine="420" w:firstLineChars="200"/>
        <w:rPr>
          <w:rFonts w:ascii="宋体" w:hAnsi="宋体"/>
          <w:sz w:val="24"/>
          <w:szCs w:val="24"/>
          <w:shd w:val="clear" w:color="auto" w:fill="FFFFFF"/>
        </w:rPr>
      </w:pPr>
      <w:r w:rsidRPr="003E7AF6">
        <w:rPr>
          <w:rFonts w:ascii="宋体" w:hAnsi="宋体"/>
          <w:sz w:val="24"/>
          <w:szCs w:val="24"/>
          <w:shd w:val="clear" w:color="auto" w:fill="FFFFFF"/>
        </w:rPr>
        <w:t>报告期内本理财产品运作稳健，申赎正常开展。在资产配置上持续坚持以存款、同业存单及高等级债券等资产配置为主，在流动性稳健的前提下，力争取得具有竞争力的收益表现。</w:t>
      </w:r>
      <w:bookmarkEnd w:id="12"/>
    </w:p>
    <w:p w:rsidR="00F6717A" w:rsidRPr="0015356D" w:rsidP="00F6717A">
      <w:pPr>
        <w:ind w:firstLine="420" w:firstLineChars="200"/>
        <w:rPr>
          <w:rFonts w:ascii="宋体" w:hAnsi="宋体"/>
          <w:sz w:val="24"/>
          <w:szCs w:val="24"/>
          <w:shd w:val="clear" w:color="auto" w:fill="FFFFFF"/>
        </w:rPr>
      </w:pPr>
      <w:r>
        <w:rPr>
          <w:rFonts w:ascii="宋体" w:eastAsia="宋体" w:hAnsi="宋体" w:cs="宋体"/>
          <w:b w:val="0"/>
          <w:i w:val="0"/>
          <w:color w:val="000000"/>
          <w:position w:val="-1"/>
          <w:sz w:val="24"/>
          <w:u w:val="none"/>
        </w:rPr>
        <w:t xml:space="preserve"> </w:t>
      </w:r>
    </w:p>
    <w:p w:rsidR="00F6717A" w:rsidP="00F6717A">
      <w:pPr>
        <w:ind w:firstLine="420" w:firstLineChars="200"/>
        <w:rPr>
          <w:rFonts w:ascii="宋体" w:hAnsi="宋体"/>
          <w:b/>
          <w:sz w:val="24"/>
          <w:shd w:val="clear" w:color="auto" w:fill="FFFFFF"/>
        </w:rPr>
      </w:pPr>
      <w:r w:rsidRPr="00B63470">
        <w:rPr>
          <w:rFonts w:ascii="宋体" w:hAnsi="宋体" w:hint="eastAsia"/>
          <w:b/>
          <w:sz w:val="24"/>
          <w:shd w:val="clear" w:color="auto" w:fill="FFFFFF"/>
        </w:rPr>
        <w:t>附:与</w:t>
      </w:r>
      <w:r w:rsidRPr="00B63470">
        <w:rPr>
          <w:rFonts w:ascii="宋体" w:hAnsi="宋体"/>
          <w:b/>
          <w:sz w:val="24"/>
          <w:shd w:val="clear" w:color="auto" w:fill="FFFFFF"/>
        </w:rPr>
        <w:t>私募</w:t>
      </w:r>
      <w:r w:rsidRPr="00B63470">
        <w:rPr>
          <w:rFonts w:ascii="宋体" w:hAnsi="宋体" w:hint="eastAsia"/>
          <w:b/>
          <w:sz w:val="24"/>
          <w:shd w:val="clear" w:color="auto" w:fill="FFFFFF"/>
        </w:rPr>
        <w:t>合作机构</w:t>
      </w:r>
      <w:r w:rsidRPr="00B63470">
        <w:rPr>
          <w:rFonts w:ascii="宋体" w:hAnsi="宋体"/>
          <w:b/>
          <w:sz w:val="24"/>
          <w:shd w:val="clear" w:color="auto" w:fill="FFFFFF"/>
        </w:rPr>
        <w:t>合作情况</w:t>
      </w:r>
    </w:p>
    <w:tbl>
      <w:tblPr>
        <w:tblStyle w:val="TableGrid"/>
        <w:tblW w:w="0" w:type="auto"/>
        <w:tblLook w:val="04A0"/>
      </w:tblPr>
      <w:tblGrid>
        <w:gridCol w:w="3823"/>
        <w:gridCol w:w="4110"/>
      </w:tblGrid>
      <w:tr w:rsidTr="005D68AD">
        <w:tblPrEx>
          <w:tblW w:w="0" w:type="auto"/>
          <w:tblLook w:val="04A0"/>
        </w:tblPrEx>
        <w:tc>
          <w:tcPr>
            <w:tcW w:w="3823" w:type="dxa"/>
          </w:tcPr>
          <w:p w:rsidR="00F6717A" w:rsidP="005D68AD">
            <w:pPr>
              <w:jc w:val="center"/>
              <w:rPr>
                <w:rFonts w:ascii="宋体" w:hAnsi="宋体"/>
                <w:b/>
                <w:sz w:val="24"/>
                <w:shd w:val="clear" w:color="auto" w:fill="FFFFFF"/>
              </w:rPr>
            </w:pPr>
            <w:r w:rsidRPr="00B63470">
              <w:rPr>
                <w:rFonts w:ascii="宋体" w:hAnsi="宋体" w:cs="宋体" w:hint="eastAsia"/>
                <w:b/>
                <w:kern w:val="0"/>
                <w:szCs w:val="21"/>
                <w:shd w:val="clear" w:color="auto" w:fill="FFFFFF"/>
              </w:rPr>
              <w:t>私募合作机构</w:t>
            </w:r>
          </w:p>
        </w:tc>
        <w:tc>
          <w:tcPr>
            <w:tcW w:w="4110" w:type="dxa"/>
          </w:tcPr>
          <w:p w:rsidR="00F6717A" w:rsidP="005D68AD">
            <w:pPr>
              <w:jc w:val="center"/>
              <w:rPr>
                <w:rFonts w:ascii="宋体" w:hAnsi="宋体"/>
                <w:b/>
                <w:sz w:val="24"/>
                <w:shd w:val="clear" w:color="auto" w:fill="FFFFFF"/>
              </w:rPr>
            </w:pPr>
            <w:r w:rsidRPr="00B63470">
              <w:rPr>
                <w:rFonts w:ascii="宋体" w:hAnsi="宋体" w:cs="宋体" w:hint="eastAsia"/>
                <w:b/>
                <w:kern w:val="0"/>
                <w:szCs w:val="21"/>
                <w:shd w:val="clear" w:color="auto" w:fill="FFFFFF"/>
              </w:rPr>
              <w:t>合作模式</w:t>
            </w:r>
          </w:p>
        </w:tc>
      </w:tr>
      <w:tr w:rsidTr="005D68AD">
        <w:tblPrEx>
          <w:tblW w:w="0" w:type="auto"/>
          <w:tblLook w:val="04A0"/>
        </w:tblPrEx>
        <w:tc>
          <w:tcPr>
            <w:tcW w:w="3823" w:type="dxa"/>
          </w:tcPr>
          <w:p>
            <w:pPr>
              <w:ind w:left="-1" w:right="-1"/>
              <w:jc w:val="center"/>
            </w:pPr>
            <w:r>
              <w:rPr>
                <w:rFonts w:ascii="宋体" w:eastAsia="宋体" w:hAnsi="宋体" w:cs="宋体"/>
                <w:b w:val="0"/>
                <w:i w:val="0"/>
                <w:color w:val="000000"/>
                <w:spacing w:val="0"/>
                <w:position w:val="-1"/>
                <w:sz w:val="24"/>
                <w:u w:val="none"/>
                <w:vertAlign w:val="baseline"/>
              </w:rPr>
              <w:t>-</w:t>
            </w:r>
          </w:p>
        </w:tc>
        <w:tc>
          <w:tcPr>
            <w:tcW w:w="4110" w:type="dxa"/>
          </w:tcPr>
          <w:p>
            <w:pPr>
              <w:ind w:left="-1" w:right="-1"/>
              <w:jc w:val="center"/>
            </w:pPr>
            <w:r>
              <w:rPr>
                <w:rFonts w:ascii="宋体" w:eastAsia="宋体" w:hAnsi="宋体" w:cs="宋体"/>
                <w:b w:val="0"/>
                <w:i w:val="0"/>
                <w:color w:val="000000"/>
                <w:spacing w:val="0"/>
                <w:position w:val="-1"/>
                <w:sz w:val="24"/>
                <w:u w:val="none"/>
                <w:vertAlign w:val="baseline"/>
              </w:rPr>
              <w:t>-</w:t>
            </w:r>
          </w:p>
        </w:tc>
      </w:tr>
    </w:tbl>
    <w:p w:rsidR="008D77ED" w:rsidRPr="00C01C40" w:rsidP="00C01C40">
      <w:pPr>
        <w:pStyle w:val="Heading3"/>
        <w:rPr>
          <w:sz w:val="24"/>
          <w:szCs w:val="24"/>
          <w:shd w:val="clear" w:color="auto" w:fill="FFFFFF"/>
        </w:rPr>
      </w:pPr>
      <w:r w:rsidRPr="00C01C40">
        <w:rPr>
          <w:rFonts w:hint="eastAsia"/>
          <w:sz w:val="24"/>
          <w:szCs w:val="24"/>
          <w:shd w:val="clear" w:color="auto" w:fill="FFFFFF"/>
        </w:rPr>
        <w:t>4.1.</w:t>
      </w:r>
      <w:r w:rsidRPr="00C01C40">
        <w:rPr>
          <w:sz w:val="24"/>
          <w:szCs w:val="24"/>
          <w:shd w:val="clear" w:color="auto" w:fill="FFFFFF"/>
        </w:rPr>
        <w:t>2</w:t>
      </w:r>
      <w:r w:rsidRPr="00C01C40">
        <w:rPr>
          <w:rFonts w:hint="eastAsia"/>
          <w:sz w:val="24"/>
          <w:szCs w:val="24"/>
          <w:shd w:val="clear" w:color="auto" w:fill="FFFFFF"/>
        </w:rPr>
        <w:t xml:space="preserve"> 报告期内理财产品流动性风险分析</w:t>
      </w:r>
    </w:p>
    <w:p w:rsidR="008D77ED" w:rsidRPr="008D77ED" w:rsidP="008D77ED">
      <w:pPr>
        <w:ind w:firstLine="420" w:firstLineChars="200"/>
        <w:rPr>
          <w:sz w:val="24"/>
          <w:shd w:val="clear" w:color="auto" w:fill="FFFFFF"/>
        </w:rPr>
      </w:pPr>
      <w:r w:rsidRPr="008D77ED">
        <w:rPr>
          <w:rFonts w:hint="eastAsia"/>
          <w:sz w:val="24"/>
          <w:shd w:val="clear" w:color="auto" w:fill="FFFFFF"/>
        </w:rPr>
        <w:t>流动性风险是指产品在履行与金融负债有关的义务时遇到资金短缺的风险。本产品的流动性风险一方面来自理财份额持有人可在约定的开放日或到期日提出赎回其持有的理财份额，另一方面来自于投资品种所处的交易市场不活跃可能带来的资产变现困难或产品持仓资产在市场出现剧烈波动的情况下难以以合理价格变现的风险。</w:t>
      </w:r>
    </w:p>
    <w:p w:rsidR="008D77ED" w:rsidP="008D77ED">
      <w:pPr>
        <w:ind w:firstLine="420" w:firstLineChars="200"/>
        <w:rPr>
          <w:sz w:val="24"/>
          <w:shd w:val="clear" w:color="auto" w:fill="FFFFFF"/>
        </w:rPr>
      </w:pPr>
      <w:r w:rsidRPr="008D77ED">
        <w:rPr>
          <w:rFonts w:hint="eastAsia"/>
          <w:sz w:val="24"/>
          <w:shd w:val="clear" w:color="auto" w:fill="FFFFFF"/>
        </w:rPr>
        <w:t>本理财产品管理人通过合理安排产品的投资品种和期限结构、限制资产持仓集中度、监控组合资金头寸等方式管理产品的流动性风险，确保本产品资产的变现能力与投资者赎回需求的匹配。报告期内，本产品未发生重大流动性风险事件。</w:t>
      </w:r>
    </w:p>
    <w:p w:rsidR="008D77ED" w:rsidRPr="008D77ED" w:rsidP="008D77ED">
      <w:pPr>
        <w:rPr>
          <w:rFonts w:ascii="宋体" w:hAnsi="宋体"/>
          <w:szCs w:val="21"/>
          <w:shd w:val="clear" w:color="auto" w:fill="FFFFFF"/>
        </w:rPr>
      </w:pPr>
    </w:p>
    <w:p w:rsidR="00F6717A" w:rsidRPr="00C01C40" w:rsidP="00C01C40">
      <w:pPr>
        <w:pStyle w:val="Heading3"/>
        <w:rPr>
          <w:sz w:val="24"/>
          <w:szCs w:val="24"/>
          <w:shd w:val="clear" w:color="auto" w:fill="FFFFFF"/>
        </w:rPr>
      </w:pPr>
      <w:r w:rsidRPr="00C01C40">
        <w:rPr>
          <w:rFonts w:hint="eastAsia"/>
          <w:sz w:val="24"/>
          <w:szCs w:val="24"/>
          <w:shd w:val="clear" w:color="auto" w:fill="FFFFFF"/>
        </w:rPr>
        <w:t>4.1.</w:t>
      </w:r>
      <w:r w:rsidRPr="00C01C40">
        <w:rPr>
          <w:sz w:val="24"/>
          <w:szCs w:val="24"/>
          <w:shd w:val="clear" w:color="auto" w:fill="FFFFFF"/>
        </w:rPr>
        <w:t>3</w:t>
      </w:r>
      <w:r w:rsidRPr="00C01C40">
        <w:rPr>
          <w:rFonts w:hint="eastAsia"/>
          <w:sz w:val="24"/>
          <w:szCs w:val="24"/>
          <w:shd w:val="clear" w:color="auto" w:fill="FFFFFF"/>
        </w:rPr>
        <w:t xml:space="preserve"> 管理人对未来的简要展望</w:t>
      </w:r>
    </w:p>
    <w:p w:rsidR="00A26C4D" w:rsidP="0015356D">
      <w:pPr>
        <w:ind w:firstLine="420" w:firstLineChars="200"/>
        <w:rPr>
          <w:rFonts w:ascii="宋体" w:hAnsi="宋体"/>
          <w:sz w:val="24"/>
          <w:szCs w:val="24"/>
          <w:shd w:val="clear" w:color="auto" w:fill="FFFFFF"/>
        </w:rPr>
      </w:pPr>
      <w:bookmarkStart w:id="13" w:name="简要展望"/>
      <w:r>
        <w:rPr>
          <w:rFonts w:ascii="宋体" w:hAnsi="宋体"/>
          <w:sz w:val="24"/>
          <w:szCs w:val="24"/>
          <w:shd w:val="clear" w:color="auto" w:fill="FFFFFF"/>
        </w:rPr>
        <w:t>展望2026年，作为“十五五”规划开局之年，预计财政温和扩张，货币维持适度宽松。国内经济预计延续K型复苏，通胀有望温和回升。一季度市场面临政府债供给压力，长债预计弱势震荡。短端来看，虽然总量货币政策空间有限，但央行引导隔夜利率围绕政策利率波动，预计短端具备较强确定性。后续需重点关注政府债供应节奏、机构行为、及市场风偏变化对债券市场的影响。</w:t>
      </w:r>
      <w:bookmarkEnd w:id="13"/>
    </w:p>
    <w:p w:rsidR="00380479" w:rsidRPr="00C01C40" w:rsidP="00C01C40">
      <w:pPr>
        <w:pStyle w:val="Heading2"/>
        <w:rPr>
          <w:sz w:val="24"/>
          <w:szCs w:val="24"/>
          <w:shd w:val="clear" w:color="auto" w:fill="FFFFFF"/>
        </w:rPr>
      </w:pPr>
      <w:bookmarkStart w:id="14" w:name="_Toc256000010"/>
      <w:r w:rsidRPr="00C01C40">
        <w:rPr>
          <w:rFonts w:hint="eastAsia"/>
          <w:sz w:val="24"/>
          <w:szCs w:val="24"/>
          <w:shd w:val="clear" w:color="auto" w:fill="FFFFFF"/>
        </w:rPr>
        <w:t>4.2 理财产品报告期内</w:t>
      </w:r>
      <w:r w:rsidRPr="00C01C40" w:rsidR="004D600F">
        <w:rPr>
          <w:rFonts w:hint="eastAsia"/>
          <w:sz w:val="24"/>
          <w:szCs w:val="24"/>
          <w:shd w:val="clear" w:color="auto" w:fill="FFFFFF"/>
        </w:rPr>
        <w:t>关联交易发生情况</w:t>
      </w:r>
      <w:bookmarkEnd w:id="14"/>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1本产品投资于关联方发行的证券，投资金额总计</w:t>
      </w:r>
      <w:r>
        <w:rPr>
          <w:rFonts w:ascii="宋体" w:eastAsia="宋体" w:hAnsi="宋体" w:cs="宋体"/>
          <w:b w:val="0"/>
          <w:color w:val="000000"/>
          <w:sz w:val="24"/>
        </w:rPr>
        <w:t>186,416,345.35</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2本产品投资于关联方承销的证券，投资金额总计</w:t>
      </w:r>
      <w:r>
        <w:rPr>
          <w:rFonts w:ascii="宋体" w:eastAsia="宋体" w:hAnsi="宋体" w:cs="宋体"/>
          <w:b w:val="0"/>
          <w:color w:val="000000"/>
          <w:sz w:val="24"/>
        </w:rPr>
        <w:t>15,000,000.00</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sz w:val="24"/>
          <w:szCs w:val="24"/>
          <w:lang w:val="zh-CN"/>
        </w:rPr>
        <w:t>3</w:t>
      </w:r>
      <w:r>
        <w:rPr>
          <w:rFonts w:ascii="宋体" w:hAnsi="宋体" w:hint="eastAsia"/>
          <w:sz w:val="24"/>
          <w:szCs w:val="24"/>
          <w:lang w:val="zh-CN"/>
        </w:rPr>
        <w:t>本产品与关联方发生的服务类关联交易</w:t>
      </w:r>
    </w:p>
    <w:p w:rsidR="000E06DE">
      <w:pPr>
        <w:ind w:firstLine="420" w:firstLineChars="200"/>
        <w:rPr>
          <w:rFonts w:ascii="宋体" w:hAnsi="宋体"/>
          <w:sz w:val="24"/>
          <w:szCs w:val="24"/>
          <w:lang w:val="zh-CN"/>
        </w:rPr>
      </w:pPr>
      <w:r>
        <w:rPr>
          <w:rFonts w:ascii="宋体" w:eastAsia="宋体" w:hAnsi="宋体" w:cs="宋体"/>
          <w:b w:val="0"/>
          <w:color w:val="000000"/>
          <w:sz w:val="24"/>
        </w:rPr>
        <w:t>1、本产品投资于关联方发行管理的资管产品，应付管理费30.28元；</w:t>
      </w:r>
    </w:p>
    <w:p w:rsidR="000E06DE" w:rsidRPr="001B5777" w:rsidP="001B5777">
      <w:pPr>
        <w:rPr>
          <w:rFonts w:ascii="宋体" w:hAnsi="宋体"/>
          <w:sz w:val="18"/>
          <w:szCs w:val="18"/>
          <w:shd w:val="clear" w:color="auto" w:fill="FFFFFF"/>
        </w:rPr>
      </w:pPr>
      <w:r w:rsidRPr="001B5777">
        <w:rPr>
          <w:rFonts w:ascii="宋体" w:hAnsi="宋体" w:hint="eastAsia"/>
          <w:szCs w:val="21"/>
          <w:shd w:val="clear" w:color="auto" w:fill="FFFFFF"/>
        </w:rPr>
        <w:t>注：此处管理费为应付金额，根据管理人或托管行等第三方提供的管理费率按日加总计算，可能与实付金额存在一定误差。</w:t>
      </w:r>
      <w:r>
        <w:cr/>
      </w:r>
      <w:r>
        <w:rPr>
          <w:rFonts w:ascii="宋体" w:eastAsia="宋体" w:hAnsi="宋体" w:cs="宋体"/>
          <w:b w:val="0"/>
          <w:i w:val="0"/>
          <w:color w:val="000000"/>
          <w:position w:val="-1"/>
          <w:sz w:val="24"/>
          <w:u w:val="none"/>
        </w:rPr>
        <w:t xml:space="preserve">    2、报告期内，本产品向招商银行股份有限公司实付销售服务费用47,770.38元，实付托管费用231,187.53元。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4本产品发生的其他类关联交易，</w:t>
      </w:r>
      <w:r>
        <w:rPr>
          <w:rFonts w:ascii="宋体" w:hAnsi="宋体" w:hint="eastAsia"/>
          <w:sz w:val="24"/>
          <w:szCs w:val="24"/>
        </w:rPr>
        <w:t>合计关联交易金额为</w:t>
      </w:r>
      <w:r>
        <w:rPr>
          <w:rFonts w:ascii="宋体" w:eastAsia="宋体" w:hAnsi="宋体" w:cs="宋体"/>
          <w:b w:val="0"/>
          <w:color w:val="000000"/>
          <w:sz w:val="24"/>
        </w:rPr>
        <w:t>55,190,712.07</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5本产品报告期内重大关联交易发生情况</w:t>
      </w:r>
    </w:p>
    <w:p w:rsidR="000E06DE" w:rsidP="006979CC">
      <w:pPr>
        <w:rPr>
          <w:rFonts w:ascii="宋体" w:hAnsi="宋体"/>
          <w:sz w:val="24"/>
          <w:szCs w:val="24"/>
          <w:lang w:val="zh-CN"/>
        </w:rPr>
      </w:pPr>
      <w:r>
        <w:rPr>
          <w:rFonts w:ascii="宋体" w:hAnsi="宋体"/>
          <w:sz w:val="24"/>
          <w:szCs w:val="24"/>
          <w:lang w:val="zh-CN"/>
        </w:rPr>
        <w:tab/>
      </w:r>
      <w:r>
        <w:rPr>
          <w:rFonts w:ascii="宋体" w:eastAsia="宋体" w:hAnsi="宋体" w:cs="宋体"/>
          <w:b w:val="0"/>
          <w:color w:val="000000"/>
          <w:sz w:val="24"/>
        </w:rPr>
        <w:t>报告期内，本产品未发生重大关联交易。</w:t>
      </w:r>
    </w:p>
    <w:p w:rsidR="00380479" w:rsidRPr="00C01C40">
      <w:pPr>
        <w:pStyle w:val="Heading1"/>
        <w:jc w:val="center"/>
        <w:rPr>
          <w:rFonts w:ascii="宋体" w:hAnsi="宋体"/>
          <w:sz w:val="24"/>
          <w:szCs w:val="24"/>
          <w:shd w:val="clear" w:color="auto" w:fill="FFFFFF"/>
        </w:rPr>
      </w:pPr>
      <w:bookmarkStart w:id="16" w:name="_Toc256000011"/>
      <w:r w:rsidRPr="00C01C40">
        <w:rPr>
          <w:rFonts w:ascii="宋体" w:hAnsi="宋体" w:hint="eastAsia"/>
          <w:sz w:val="24"/>
          <w:szCs w:val="24"/>
          <w:shd w:val="clear" w:color="auto" w:fill="FFFFFF"/>
        </w:rPr>
        <w:t>§</w:t>
      </w:r>
      <w:r w:rsidRPr="00C01C40" w:rsidR="00C75C5E">
        <w:rPr>
          <w:rFonts w:ascii="宋体" w:hAnsi="宋体"/>
          <w:sz w:val="24"/>
          <w:szCs w:val="24"/>
          <w:shd w:val="clear" w:color="auto" w:fill="FFFFFF"/>
        </w:rPr>
        <w:t>5</w:t>
      </w:r>
      <w:r w:rsidRPr="00C01C40">
        <w:rPr>
          <w:rFonts w:ascii="宋体" w:hAnsi="宋体" w:hint="eastAsia"/>
          <w:sz w:val="24"/>
          <w:szCs w:val="24"/>
          <w:shd w:val="clear" w:color="auto" w:fill="FFFFFF"/>
        </w:rPr>
        <w:t xml:space="preserve"> 投资组合报告</w:t>
      </w:r>
      <w:bookmarkEnd w:id="16"/>
    </w:p>
    <w:p w:rsidR="00B05C45" w:rsidRPr="00C01C40" w:rsidP="00C01C40">
      <w:pPr>
        <w:pStyle w:val="Heading2"/>
        <w:rPr>
          <w:sz w:val="24"/>
          <w:szCs w:val="24"/>
          <w:shd w:val="clear" w:color="auto" w:fill="FFFFFF"/>
        </w:rPr>
      </w:pPr>
      <w:bookmarkStart w:id="17" w:name="_Toc256000012"/>
      <w:r w:rsidRPr="00C01C40">
        <w:rPr>
          <w:sz w:val="24"/>
          <w:szCs w:val="24"/>
          <w:shd w:val="clear" w:color="auto" w:fill="FFFFFF"/>
        </w:rPr>
        <w:t>5</w:t>
      </w:r>
      <w:r w:rsidRPr="00C01C40">
        <w:rPr>
          <w:rFonts w:hint="eastAsia"/>
          <w:sz w:val="24"/>
          <w:szCs w:val="24"/>
          <w:shd w:val="clear" w:color="auto" w:fill="FFFFFF"/>
        </w:rPr>
        <w:t>.1 期末理财产品资产组合情况</w:t>
      </w:r>
      <w:bookmarkEnd w:id="17"/>
    </w:p>
    <w:tbl>
      <w:tblPr>
        <w:tblW w:w="933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
        <w:gridCol w:w="1729"/>
        <w:gridCol w:w="2149"/>
        <w:gridCol w:w="1417"/>
        <w:gridCol w:w="2149"/>
        <w:gridCol w:w="1417"/>
      </w:tblGrid>
      <w:tr w:rsidTr="00634720">
        <w:tblPrEx>
          <w:tblW w:w="933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92"/>
        </w:trPr>
        <w:tc>
          <w:tcPr>
            <w:tcW w:w="46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序号</w:t>
            </w:r>
          </w:p>
        </w:tc>
        <w:tc>
          <w:tcPr>
            <w:tcW w:w="172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项目</w:t>
            </w:r>
          </w:p>
        </w:tc>
        <w:tc>
          <w:tcPr>
            <w:tcW w:w="356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穿透前</w:t>
            </w:r>
          </w:p>
        </w:tc>
        <w:tc>
          <w:tcPr>
            <w:tcW w:w="356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穿透后</w:t>
            </w:r>
          </w:p>
        </w:tc>
      </w:tr>
      <w:tr w:rsidTr="004F1CBD">
        <w:tblPrEx>
          <w:tblW w:w="9330" w:type="dxa"/>
          <w:tblInd w:w="-7" w:type="dxa"/>
          <w:tblLayout w:type="fixed"/>
          <w:tblLook w:val="04A0"/>
        </w:tblPrEx>
        <w:trPr>
          <w:trHeight w:val="692"/>
        </w:trPr>
        <w:tc>
          <w:tcPr>
            <w:tcW w:w="469" w:type="dxa"/>
            <w:vMerge/>
            <w:tcBorders>
              <w:top w:val="single" w:sz="4" w:space="0" w:color="auto"/>
              <w:left w:val="single" w:sz="4" w:space="0" w:color="auto"/>
              <w:bottom w:val="single" w:sz="4" w:space="0" w:color="auto"/>
              <w:right w:val="single" w:sz="4" w:space="0" w:color="auto"/>
            </w:tcBorders>
            <w:vAlign w:val="center"/>
          </w:tcPr>
          <w:p w:rsidR="00FD0633" w:rsidP="00634720">
            <w:pPr>
              <w:widowControl/>
              <w:jc w:val="left"/>
              <w:rPr>
                <w:rFonts w:ascii="宋体" w:hAnsi="宋体"/>
                <w:b/>
                <w:szCs w:val="21"/>
              </w:rPr>
            </w:pPr>
          </w:p>
        </w:tc>
        <w:tc>
          <w:tcPr>
            <w:tcW w:w="1729" w:type="dxa"/>
            <w:vMerge/>
            <w:tcBorders>
              <w:top w:val="single" w:sz="4" w:space="0" w:color="auto"/>
              <w:left w:val="single" w:sz="4" w:space="0" w:color="auto"/>
              <w:bottom w:val="single" w:sz="4" w:space="0" w:color="auto"/>
              <w:right w:val="single" w:sz="4" w:space="0" w:color="auto"/>
            </w:tcBorders>
            <w:vAlign w:val="center"/>
          </w:tcPr>
          <w:p w:rsidR="00FD0633" w:rsidP="00634720">
            <w:pPr>
              <w:widowControl/>
              <w:jc w:val="left"/>
              <w:rPr>
                <w:rFonts w:ascii="宋体" w:hAnsi="宋体"/>
                <w:b/>
                <w:szCs w:val="21"/>
              </w:rPr>
            </w:pPr>
          </w:p>
        </w:tc>
        <w:tc>
          <w:tcPr>
            <w:tcW w:w="2149" w:type="dxa"/>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资产余额</w:t>
            </w:r>
          </w:p>
          <w:p w:rsidR="00FD0633" w:rsidP="00634720">
            <w:pPr>
              <w:jc w:val="center"/>
              <w:rPr>
                <w:rFonts w:ascii="宋体" w:hAnsi="宋体"/>
                <w:b/>
                <w:szCs w:val="21"/>
              </w:rPr>
            </w:pPr>
            <w:r>
              <w:rPr>
                <w:rFonts w:ascii="宋体" w:hAnsi="宋体" w:hint="eastAsia"/>
                <w:b/>
                <w:szCs w:val="21"/>
              </w:rPr>
              <w:t>（单位：</w:t>
            </w:r>
            <w:r>
              <w:rPr>
                <w:rFonts w:ascii="宋体" w:eastAsia="宋体" w:hAnsi="宋体" w:cs="宋体"/>
                <w:b/>
                <w:i w:val="0"/>
                <w:color w:val="000000"/>
                <w:position w:val="-1"/>
                <w:u w:val="none"/>
              </w:rPr>
              <w:t>元</w:t>
            </w:r>
            <w:r>
              <w:rPr>
                <w:rFonts w:ascii="宋体" w:hAnsi="宋体" w:hint="eastAsia"/>
                <w:b/>
                <w:szCs w:val="21"/>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占产品总资产的比例（%）</w:t>
            </w:r>
          </w:p>
        </w:tc>
        <w:tc>
          <w:tcPr>
            <w:tcW w:w="2149" w:type="dxa"/>
            <w:tcBorders>
              <w:top w:val="single" w:sz="4" w:space="0" w:color="auto"/>
              <w:left w:val="single" w:sz="4" w:space="0" w:color="auto"/>
              <w:bottom w:val="single" w:sz="4" w:space="0" w:color="auto"/>
              <w:right w:val="single" w:sz="4" w:space="0" w:color="auto"/>
            </w:tcBorders>
            <w:shd w:val="clear" w:color="auto" w:fill="D9D9D9"/>
            <w:vAlign w:val="center"/>
          </w:tcPr>
          <w:p w:rsidR="00FD0633" w:rsidP="004F1CBD">
            <w:pPr>
              <w:jc w:val="center"/>
              <w:rPr>
                <w:rFonts w:ascii="宋体" w:hAnsi="宋体"/>
                <w:b/>
                <w:szCs w:val="21"/>
              </w:rPr>
            </w:pPr>
            <w:r>
              <w:rPr>
                <w:rFonts w:ascii="宋体" w:hAnsi="宋体" w:hint="eastAsia"/>
                <w:b/>
                <w:szCs w:val="21"/>
              </w:rPr>
              <w:t>资产余额</w:t>
            </w:r>
          </w:p>
          <w:p w:rsidR="00FD0633" w:rsidP="004F1CBD">
            <w:pPr>
              <w:jc w:val="center"/>
              <w:rPr>
                <w:rFonts w:ascii="宋体" w:hAnsi="宋体"/>
                <w:b/>
                <w:szCs w:val="21"/>
              </w:rPr>
            </w:pPr>
            <w:r>
              <w:rPr>
                <w:rFonts w:ascii="宋体" w:hAnsi="宋体" w:hint="eastAsia"/>
                <w:b/>
                <w:szCs w:val="21"/>
              </w:rPr>
              <w:t>（单位：</w:t>
            </w:r>
            <w:r>
              <w:rPr>
                <w:rFonts w:ascii="宋体" w:eastAsia="宋体" w:hAnsi="宋体" w:cs="宋体"/>
                <w:b/>
                <w:i w:val="0"/>
                <w:color w:val="000000"/>
                <w:position w:val="-1"/>
                <w:u w:val="none"/>
              </w:rPr>
              <w:t>元</w:t>
            </w:r>
            <w:r>
              <w:rPr>
                <w:rFonts w:ascii="宋体" w:hAnsi="宋体" w:hint="eastAsia"/>
                <w:b/>
                <w:szCs w:val="21"/>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FD0633" w:rsidP="00634720">
            <w:pPr>
              <w:jc w:val="center"/>
              <w:rPr>
                <w:rFonts w:ascii="宋体" w:hAnsi="宋体"/>
                <w:b/>
                <w:szCs w:val="21"/>
              </w:rPr>
            </w:pPr>
            <w:r>
              <w:rPr>
                <w:rFonts w:ascii="宋体" w:hAnsi="宋体" w:hint="eastAsia"/>
                <w:b/>
                <w:szCs w:val="21"/>
              </w:rPr>
              <w:t>占产品总资产的比例（%）</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szCs w:val="21"/>
              </w:rPr>
              <w:t>1</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现金及银行存款</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1,070,146,276.78</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12.75</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1,116,401,581.13</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13.30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2</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同业存单</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597,147,565.99</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7.12</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3,180,475,445.02</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37.90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3</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拆放同业及债券买入返售</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1,159,996,653.50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13.82</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1,715,828,423.64</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20.45</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4</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债券</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818,491,147.99</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9.75</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2,359,072,382.92</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28.11</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5</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非标准化债权类资产</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6</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权益类投资</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7</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金融衍生品</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8</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代客境外理财投资QDII</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9</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商品类资产</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1</w:t>
            </w:r>
            <w:r>
              <w:rPr>
                <w:rFonts w:ascii="宋体" w:hAnsi="宋体"/>
                <w:szCs w:val="21"/>
              </w:rPr>
              <w:t>0</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另类资产</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1</w:t>
            </w:r>
            <w:r>
              <w:rPr>
                <w:rFonts w:ascii="宋体" w:hAnsi="宋体"/>
                <w:szCs w:val="21"/>
              </w:rPr>
              <w:t>1</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公募基金</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20,003,561.21</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0.24</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20,003,561.21</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0.24</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1</w:t>
            </w:r>
            <w:r>
              <w:rPr>
                <w:rFonts w:ascii="宋体" w:hAnsi="宋体"/>
                <w:szCs w:val="21"/>
              </w:rPr>
              <w:t>2</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私募基金</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1</w:t>
            </w:r>
            <w:r>
              <w:rPr>
                <w:rFonts w:ascii="宋体" w:hAnsi="宋体"/>
                <w:szCs w:val="21"/>
              </w:rPr>
              <w:t>3</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资产管理产品</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4,725,754,709.16</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56.32</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r>
              <w:rPr>
                <w:rFonts w:ascii="宋体" w:hAnsi="宋体" w:hint="eastAsia"/>
                <w:szCs w:val="21"/>
              </w:rPr>
              <w:t>1</w:t>
            </w:r>
            <w:r>
              <w:rPr>
                <w:rFonts w:ascii="宋体" w:hAnsi="宋体"/>
                <w:szCs w:val="21"/>
              </w:rPr>
              <w:t>4</w:t>
            </w: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委外投资-协议方式</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szCs w:val="21"/>
              </w:rPr>
            </w:pPr>
          </w:p>
        </w:tc>
        <w:tc>
          <w:tcPr>
            <w:tcW w:w="1729" w:type="dxa"/>
            <w:tcBorders>
              <w:top w:val="single" w:sz="4" w:space="0" w:color="auto"/>
              <w:left w:val="single" w:sz="4" w:space="0" w:color="auto"/>
              <w:bottom w:val="single" w:sz="4" w:space="0" w:color="auto"/>
              <w:right w:val="single" w:sz="4" w:space="0" w:color="auto"/>
            </w:tcBorders>
            <w:vAlign w:val="center"/>
          </w:tcPr>
          <w:p w:rsidR="00FD0633" w:rsidP="00634720">
            <w:pPr>
              <w:spacing w:line="360" w:lineRule="auto"/>
              <w:jc w:val="center"/>
              <w:rPr>
                <w:rFonts w:ascii="宋体" w:hAnsi="宋体"/>
                <w:szCs w:val="21"/>
              </w:rPr>
            </w:pPr>
            <w:r>
              <w:rPr>
                <w:rFonts w:ascii="宋体" w:hAnsi="宋体" w:hint="eastAsia"/>
                <w:szCs w:val="21"/>
              </w:rPr>
              <w:t>合计</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8,391,539,914.63</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100.00</w:t>
            </w:r>
          </w:p>
        </w:tc>
        <w:tc>
          <w:tcPr>
            <w:tcW w:w="2149"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8,391,781,393.92</w:t>
            </w:r>
          </w:p>
        </w:tc>
        <w:tc>
          <w:tcPr>
            <w:tcW w:w="1417" w:type="dxa"/>
            <w:tcBorders>
              <w:top w:val="single" w:sz="4" w:space="0" w:color="auto"/>
              <w:left w:val="single" w:sz="4" w:space="0" w:color="auto"/>
              <w:bottom w:val="single" w:sz="4" w:space="0" w:color="auto"/>
              <w:right w:val="single" w:sz="4" w:space="0" w:color="auto"/>
            </w:tcBorders>
            <w:vAlign w:val="center"/>
          </w:tcPr>
          <w:p w:rsidR="00FD0633" w:rsidP="00634720">
            <w:pPr>
              <w:jc w:val="center"/>
              <w:rPr>
                <w:rFonts w:ascii="宋体" w:hAnsi="宋体"/>
              </w:rPr>
            </w:pPr>
            <w:r>
              <w:rPr>
                <w:rFonts w:ascii="宋体" w:eastAsia="宋体" w:hAnsi="宋体" w:cs="宋体"/>
                <w:b w:val="0"/>
                <w:i w:val="0"/>
                <w:color w:val="000000"/>
                <w:position w:val="-1"/>
                <w:u w:val="none"/>
              </w:rPr>
              <w:t>100.00</w:t>
            </w:r>
          </w:p>
        </w:tc>
      </w:tr>
    </w:tbl>
    <w:p w:rsidR="00CC32FE" w:rsidRPr="00CC32FE" w:rsidP="00B04E24">
      <w:pPr>
        <w:rPr>
          <w:rFonts w:ascii="宋体" w:hAnsi="宋体"/>
          <w:szCs w:val="21"/>
          <w:shd w:val="clear" w:color="auto" w:fill="FFFFFF"/>
        </w:rPr>
      </w:pPr>
      <w:r w:rsidRPr="00AB4088">
        <w:rPr>
          <w:rFonts w:ascii="宋体" w:hAnsi="宋体" w:hint="eastAsia"/>
          <w:szCs w:val="21"/>
          <w:shd w:val="clear" w:color="auto" w:fill="FFFFFF"/>
        </w:rPr>
        <w:t>注</w:t>
      </w:r>
      <w:r w:rsidR="006135F4">
        <w:rPr>
          <w:rFonts w:ascii="宋体" w:hAnsi="宋体" w:hint="eastAsia"/>
          <w:szCs w:val="21"/>
          <w:shd w:val="clear" w:color="auto" w:fill="FFFFFF"/>
        </w:rPr>
        <w:t>：</w:t>
      </w:r>
    </w:p>
    <w:p w:rsidR="00B04E24" w:rsidRPr="00B04E24" w:rsidP="00B04E24">
      <w:r w:rsidRPr="00B04E24">
        <w:rPr>
          <w:rFonts w:hint="eastAsia"/>
        </w:rPr>
        <w:t>1.</w:t>
      </w:r>
      <w:r w:rsidRPr="00B04E24">
        <w:rPr>
          <w:rFonts w:ascii="宋体" w:hAnsi="宋体"/>
        </w:rPr>
        <w:t>穿透前列示的为理财产品直接投资</w:t>
      </w:r>
      <w:r w:rsidRPr="00B04E24">
        <w:rPr>
          <w:rFonts w:ascii="宋体" w:hAnsi="宋体" w:hint="eastAsia"/>
        </w:rPr>
        <w:t>并持有</w:t>
      </w:r>
      <w:r w:rsidRPr="00B04E24">
        <w:rPr>
          <w:rFonts w:ascii="宋体" w:hAnsi="宋体"/>
        </w:rPr>
        <w:t>的各类资产</w:t>
      </w:r>
      <w:r w:rsidRPr="00B04E24">
        <w:rPr>
          <w:rFonts w:ascii="宋体" w:hAnsi="宋体" w:hint="eastAsia"/>
        </w:rPr>
        <w:t>，包括公募基金、私募基金、资产管理产品、通过签订协议的方式开展委托投资</w:t>
      </w:r>
      <w:r w:rsidRPr="00B04E24">
        <w:rPr>
          <w:rFonts w:hint="eastAsia"/>
        </w:rPr>
        <w:t>-</w:t>
      </w:r>
      <w:r w:rsidRPr="00B04E24">
        <w:rPr>
          <w:rFonts w:ascii="宋体" w:hAnsi="宋体" w:hint="eastAsia"/>
        </w:rPr>
        <w:t>协议方式持有资产以及其他直接投资并持有的资产的余额及占比</w:t>
      </w:r>
      <w:r w:rsidRPr="00B04E24">
        <w:rPr>
          <w:rFonts w:ascii="宋体" w:hAnsi="宋体"/>
        </w:rPr>
        <w:t>，穿透后</w:t>
      </w:r>
      <w:r w:rsidRPr="00B04E24">
        <w:rPr>
          <w:rFonts w:ascii="宋体" w:hAnsi="宋体" w:hint="eastAsia"/>
        </w:rPr>
        <w:t>列示的为</w:t>
      </w:r>
      <w:r w:rsidRPr="00B04E24">
        <w:rPr>
          <w:rFonts w:ascii="宋体" w:hAnsi="宋体"/>
        </w:rPr>
        <w:t>理财产品</w:t>
      </w:r>
      <w:r w:rsidRPr="00B04E24">
        <w:rPr>
          <w:rFonts w:ascii="宋体" w:hAnsi="宋体" w:hint="eastAsia"/>
        </w:rPr>
        <w:t>直接持有的各类资产、公募基金（无需穿透），以及对于</w:t>
      </w:r>
      <w:r w:rsidRPr="00B04E24">
        <w:rPr>
          <w:rFonts w:ascii="宋体" w:hAnsi="宋体"/>
        </w:rPr>
        <w:t>间接</w:t>
      </w:r>
      <w:r w:rsidRPr="00B04E24">
        <w:rPr>
          <w:rFonts w:ascii="宋体" w:hAnsi="宋体" w:hint="eastAsia"/>
        </w:rPr>
        <w:t>持有</w:t>
      </w:r>
      <w:r w:rsidRPr="00B04E24">
        <w:rPr>
          <w:rFonts w:ascii="宋体" w:hAnsi="宋体"/>
        </w:rPr>
        <w:t>的通过</w:t>
      </w:r>
      <w:r w:rsidRPr="00B04E24">
        <w:rPr>
          <w:rFonts w:ascii="宋体" w:hAnsi="宋体" w:hint="eastAsia"/>
        </w:rPr>
        <w:t>私募基金、</w:t>
      </w:r>
      <w:r w:rsidRPr="00B04E24">
        <w:rPr>
          <w:rFonts w:ascii="宋体" w:hAnsi="宋体"/>
        </w:rPr>
        <w:t>资产管理产品</w:t>
      </w:r>
      <w:r w:rsidRPr="00B04E24">
        <w:rPr>
          <w:rFonts w:ascii="宋体" w:hAnsi="宋体" w:hint="eastAsia"/>
        </w:rPr>
        <w:t>、委外投资-协议方式</w:t>
      </w:r>
      <w:r w:rsidRPr="00B04E24">
        <w:rPr>
          <w:rFonts w:ascii="宋体" w:hAnsi="宋体"/>
        </w:rPr>
        <w:t>投资的资产，即</w:t>
      </w:r>
      <w:r w:rsidRPr="00B04E24">
        <w:rPr>
          <w:rFonts w:ascii="宋体" w:hAnsi="宋体" w:hint="eastAsia"/>
        </w:rPr>
        <w:t>私募基金、</w:t>
      </w:r>
      <w:r w:rsidRPr="00B04E24">
        <w:rPr>
          <w:rFonts w:ascii="宋体" w:hAnsi="宋体"/>
        </w:rPr>
        <w:t>资产管理产品</w:t>
      </w:r>
      <w:r w:rsidRPr="00B04E24">
        <w:rPr>
          <w:rFonts w:ascii="宋体" w:hAnsi="宋体" w:hint="eastAsia"/>
        </w:rPr>
        <w:t>、委外投资-协议方式</w:t>
      </w:r>
      <w:r w:rsidRPr="00B04E24">
        <w:rPr>
          <w:rFonts w:ascii="宋体" w:hAnsi="宋体"/>
        </w:rPr>
        <w:t>投资需穿透至底层资产</w:t>
      </w:r>
      <w:r w:rsidRPr="00B04E24">
        <w:rPr>
          <w:rFonts w:ascii="宋体" w:hAnsi="宋体" w:hint="eastAsia"/>
        </w:rPr>
        <w:t>，</w:t>
      </w:r>
      <w:r w:rsidRPr="00B04E24">
        <w:rPr>
          <w:rFonts w:ascii="宋体" w:hAnsi="宋体"/>
        </w:rPr>
        <w:t>按照理财产品持有比例计算</w:t>
      </w:r>
      <w:r w:rsidRPr="00B04E24">
        <w:rPr>
          <w:rFonts w:ascii="宋体" w:hAnsi="宋体" w:hint="eastAsia"/>
        </w:rPr>
        <w:t>的</w:t>
      </w:r>
      <w:r w:rsidRPr="00B04E24">
        <w:rPr>
          <w:rFonts w:ascii="宋体" w:hAnsi="宋体"/>
        </w:rPr>
        <w:t>底层资产</w:t>
      </w:r>
      <w:r w:rsidRPr="00B04E24">
        <w:rPr>
          <w:rFonts w:ascii="宋体" w:hAnsi="宋体" w:hint="eastAsia"/>
        </w:rPr>
        <w:t>余额及占比</w:t>
      </w:r>
      <w:r w:rsidRPr="00B04E24">
        <w:rPr>
          <w:rFonts w:ascii="宋体" w:hAnsi="宋体"/>
        </w:rPr>
        <w:t>。</w:t>
      </w:r>
    </w:p>
    <w:p w:rsidR="00B04E24" w:rsidRPr="00B04E24" w:rsidP="00B04E24">
      <w:r w:rsidRPr="00B04E24">
        <w:rPr>
          <w:rFonts w:hint="eastAsia"/>
        </w:rPr>
        <w:t>2</w:t>
      </w:r>
      <w:r w:rsidRPr="00B04E24">
        <w:t>.</w:t>
      </w:r>
      <w:r w:rsidRPr="00B04E24">
        <w:rPr>
          <w:rFonts w:ascii="宋体" w:hAnsi="宋体" w:hint="eastAsia"/>
        </w:rPr>
        <w:t>金额中包含资产应计利息、其他应收款项、清算款项和待摊费用。</w:t>
      </w:r>
    </w:p>
    <w:p w:rsidR="00CC32FE" w:rsidRPr="00B04E24" w:rsidP="00B04E24">
      <w:r w:rsidRPr="00B04E24">
        <w:rPr>
          <w:rFonts w:hint="eastAsia"/>
        </w:rPr>
        <w:t>3.</w:t>
      </w:r>
      <w:r w:rsidRPr="00B04E24">
        <w:rPr>
          <w:rFonts w:ascii="宋体" w:hAnsi="宋体" w:hint="eastAsia"/>
        </w:rPr>
        <w:t>占</w:t>
      </w:r>
      <w:r w:rsidRPr="00B04E24">
        <w:rPr>
          <w:rFonts w:ascii="宋体" w:hAnsi="宋体"/>
        </w:rPr>
        <w:t>产品总资产的比例</w:t>
      </w:r>
      <w:r w:rsidRPr="00B04E24">
        <w:t>=</w:t>
      </w:r>
      <w:r w:rsidRPr="00B04E24">
        <w:rPr>
          <w:rFonts w:ascii="宋体" w:hAnsi="宋体"/>
        </w:rPr>
        <w:t>资产</w:t>
      </w:r>
      <w:r w:rsidRPr="00B04E24">
        <w:rPr>
          <w:rFonts w:ascii="宋体" w:hAnsi="宋体" w:hint="eastAsia"/>
        </w:rPr>
        <w:t>余额</w:t>
      </w:r>
      <w:r w:rsidRPr="00B04E24">
        <w:rPr>
          <w:rFonts w:hint="eastAsia"/>
        </w:rPr>
        <w:t>/</w:t>
      </w:r>
      <w:r w:rsidRPr="00B04E24">
        <w:rPr>
          <w:rFonts w:ascii="宋体" w:hAnsi="宋体" w:hint="eastAsia"/>
        </w:rPr>
        <w:t>产品</w:t>
      </w:r>
      <w:r w:rsidRPr="00B04E24">
        <w:rPr>
          <w:rFonts w:ascii="宋体" w:hAnsi="宋体"/>
        </w:rPr>
        <w:t>总资产，</w:t>
      </w:r>
      <w:r w:rsidRPr="00B04E24">
        <w:rPr>
          <w:rFonts w:ascii="宋体" w:hAnsi="宋体" w:hint="eastAsia"/>
        </w:rPr>
        <w:t>占比</w:t>
      </w:r>
      <w:r w:rsidRPr="00B04E24">
        <w:rPr>
          <w:rFonts w:ascii="宋体" w:hAnsi="宋体"/>
        </w:rPr>
        <w:t>结果</w:t>
      </w:r>
      <w:r w:rsidRPr="00B04E24">
        <w:rPr>
          <w:rFonts w:ascii="宋体" w:hAnsi="宋体" w:hint="eastAsia"/>
        </w:rPr>
        <w:t>保留两位小数（因第二位小数四舍五入，可能存在尾差）。</w:t>
      </w:r>
      <w:bookmarkStart w:id="18" w:name="前十大"/>
    </w:p>
    <w:p w:rsidR="00EA25B3">
      <w:pPr>
        <w:pStyle w:val="Heading2"/>
        <w:widowControl/>
        <w:rPr>
          <w:rFonts w:cs="宋体" w:hint="default"/>
          <w:color w:val="333333"/>
          <w:kern w:val="0"/>
          <w:szCs w:val="21"/>
          <w:highlight w:val="lightGray"/>
          <w:shd w:val="clear" w:color="auto" w:fill="FFFFFF"/>
        </w:rPr>
      </w:pPr>
      <w:bookmarkStart w:id="19" w:name="_Toc256000013"/>
      <w:r>
        <w:rPr>
          <w:sz w:val="24"/>
          <w:szCs w:val="24"/>
          <w:shd w:val="clear" w:color="auto" w:fill="FFFFFF"/>
        </w:rPr>
        <w:t>5.2 期末投资组合前十项资产</w:t>
      </w:r>
      <w:bookmarkEnd w:id="19"/>
    </w:p>
    <w:tbl>
      <w:tblPr>
        <w:tblStyle w:val="TableNormal"/>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09"/>
        <w:gridCol w:w="2386"/>
        <w:gridCol w:w="3046"/>
        <w:gridCol w:w="1631"/>
      </w:tblGrid>
      <w:tr>
        <w:tblPrEx>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009"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sidRPr="0090581A">
              <w:rPr>
                <w:rFonts w:ascii="宋体" w:hAnsi="宋体" w:cs="宋体" w:hint="eastAsia"/>
                <w:b/>
                <w:szCs w:val="21"/>
              </w:rPr>
              <w:t>序号</w:t>
            </w:r>
          </w:p>
        </w:tc>
        <w:tc>
          <w:tcPr>
            <w:tcW w:w="2386"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资产名称</w:t>
            </w:r>
          </w:p>
        </w:tc>
        <w:tc>
          <w:tcPr>
            <w:tcW w:w="3046"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资产余额</w:t>
            </w:r>
          </w:p>
          <w:p w:rsidR="00EA25B3">
            <w:pPr>
              <w:widowControl/>
              <w:jc w:val="center"/>
              <w:rPr>
                <w:rFonts w:ascii="宋体" w:hAnsi="宋体" w:cs="宋体"/>
                <w:b/>
                <w:szCs w:val="21"/>
              </w:rPr>
            </w:pPr>
            <w:r>
              <w:rPr>
                <w:rFonts w:ascii="宋体" w:hAnsi="宋体" w:cs="宋体" w:hint="eastAsia"/>
                <w:b/>
                <w:szCs w:val="21"/>
              </w:rPr>
              <w:t>（单位：</w:t>
            </w:r>
            <w:r>
              <w:rPr>
                <w:rFonts w:ascii="宋体" w:eastAsia="宋体" w:hAnsi="宋体" w:cs="宋体"/>
                <w:b/>
                <w:i w:val="0"/>
                <w:color w:val="000000"/>
                <w:position w:val="-1"/>
                <w:u w:val="none"/>
              </w:rPr>
              <w:t>元</w:t>
            </w:r>
            <w:r>
              <w:rPr>
                <w:rFonts w:ascii="宋体" w:hAnsi="宋体" w:cs="宋体" w:hint="eastAsia"/>
                <w:b/>
                <w:szCs w:val="21"/>
              </w:rPr>
              <w:t>）</w:t>
            </w:r>
          </w:p>
        </w:tc>
        <w:tc>
          <w:tcPr>
            <w:tcW w:w="1631" w:type="dxa"/>
            <w:shd w:val="clear" w:color="auto" w:fill="BFBFBF"/>
            <w:vAlign w:val="center"/>
          </w:tcPr>
          <w:p w:rsidR="00EA25B3">
            <w:pPr>
              <w:widowControl/>
              <w:jc w:val="center"/>
              <w:rPr>
                <w:rFonts w:ascii="宋体" w:hAnsi="宋体" w:cs="宋体"/>
                <w:b/>
                <w:szCs w:val="21"/>
              </w:rPr>
            </w:pPr>
            <w:r>
              <w:rPr>
                <w:rFonts w:ascii="宋体" w:hAnsi="宋体" w:cs="宋体" w:hint="eastAsia"/>
                <w:b/>
                <w:szCs w:val="21"/>
              </w:rPr>
              <w:t>占产品净资产</w:t>
            </w:r>
          </w:p>
          <w:p w:rsidR="00EA25B3">
            <w:pPr>
              <w:widowControl/>
              <w:jc w:val="center"/>
              <w:rPr>
                <w:rFonts w:ascii="宋体" w:hAnsi="宋体" w:cs="宋体"/>
                <w:b/>
                <w:color w:val="333333"/>
                <w:kern w:val="0"/>
                <w:szCs w:val="21"/>
                <w:highlight w:val="lightGray"/>
                <w:shd w:val="clear" w:color="auto" w:fill="FFFFFF"/>
              </w:rPr>
            </w:pPr>
            <w:r>
              <w:rPr>
                <w:rFonts w:ascii="宋体" w:hAnsi="宋体" w:cs="宋体"/>
                <w:b/>
                <w:szCs w:val="21"/>
              </w:rPr>
              <w:t>的</w:t>
            </w:r>
            <w:r>
              <w:rPr>
                <w:rFonts w:ascii="宋体" w:hAnsi="宋体" w:cs="宋体" w:hint="eastAsia"/>
                <w:b/>
                <w:szCs w:val="21"/>
              </w:rPr>
              <w:t>比例（%）</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21邮储银行永续债01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271,081,149.61</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3.44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21工商银行永续债01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261,874,479.91</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3.32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21交通银行永续债</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204,586,995.83</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2.59</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4</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定期存款125035517</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200,497,777.78</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5</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25申D15</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200,314,520.54</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6</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定期存款125045656</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200,018,222.22</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2.53</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7</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25中信银行CD405</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199,233,779.94</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8</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21农业银行永续债01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161,682,976.70</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2.05</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9</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25浦发银行CD087</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143,744,953.06</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1.82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10</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25工商银行CD107</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138,368,365.26</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1.75</w:t>
            </w:r>
          </w:p>
        </w:tc>
      </w:tr>
    </w:tbl>
    <w:p w:rsidR="00EA25B3" w:rsidP="005016D1">
      <w:pPr>
        <w:rPr>
          <w:rFonts w:ascii="宋体" w:hAnsi="宋体"/>
          <w:szCs w:val="21"/>
          <w:shd w:val="clear" w:color="auto" w:fill="FFFFFF"/>
        </w:rPr>
      </w:pPr>
      <w:r>
        <w:rPr>
          <w:rFonts w:ascii="宋体" w:hAnsi="宋体" w:hint="eastAsia"/>
          <w:szCs w:val="21"/>
          <w:shd w:val="clear" w:color="auto" w:fill="FFFFFF"/>
        </w:rPr>
        <w:t>注：</w:t>
      </w:r>
    </w:p>
    <w:p w:rsidR="005016D1" w:rsidRPr="005016D1" w:rsidP="005016D1">
      <w:r w:rsidRPr="005016D1">
        <w:t>1.</w:t>
      </w:r>
      <w:r w:rsidRPr="005016D1">
        <w:rPr>
          <w:rFonts w:ascii="宋体" w:hAnsi="宋体" w:hint="eastAsia"/>
        </w:rPr>
        <w:t>本表格列示穿透后投资规模占比较高的前十项资产，不包括现金、活期存款、备付金、保证金、同业拆借及回购等资产。</w:t>
      </w:r>
    </w:p>
    <w:p w:rsidR="005016D1" w:rsidRPr="005016D1" w:rsidP="005016D1">
      <w:r w:rsidRPr="005016D1">
        <w:rPr>
          <w:rFonts w:hint="eastAsia"/>
        </w:rPr>
        <w:t>2.</w:t>
      </w:r>
      <w:r w:rsidRPr="005016D1">
        <w:rPr>
          <w:rFonts w:ascii="宋体" w:hAnsi="宋体" w:hint="eastAsia"/>
        </w:rPr>
        <w:t>金额中包含资产应计利息、其他应收款项、清算款项和待摊费用。</w:t>
      </w:r>
    </w:p>
    <w:p w:rsidR="005016D1" w:rsidRPr="005016D1" w:rsidP="005016D1">
      <w:r w:rsidRPr="005016D1">
        <w:rPr>
          <w:rFonts w:hint="eastAsia"/>
        </w:rPr>
        <w:t>3.</w:t>
      </w:r>
      <w:r w:rsidRPr="005016D1">
        <w:rPr>
          <w:rFonts w:ascii="宋体" w:hAnsi="宋体" w:hint="eastAsia"/>
        </w:rPr>
        <w:t>占</w:t>
      </w:r>
      <w:r w:rsidRPr="005016D1">
        <w:rPr>
          <w:rFonts w:ascii="宋体" w:hAnsi="宋体"/>
        </w:rPr>
        <w:t>产品</w:t>
      </w:r>
      <w:r w:rsidRPr="005016D1">
        <w:rPr>
          <w:rFonts w:ascii="宋体" w:hAnsi="宋体" w:hint="eastAsia"/>
        </w:rPr>
        <w:t>净</w:t>
      </w:r>
      <w:r w:rsidRPr="005016D1">
        <w:rPr>
          <w:rFonts w:ascii="宋体" w:hAnsi="宋体"/>
        </w:rPr>
        <w:t>资产的比例</w:t>
      </w:r>
      <w:r w:rsidRPr="005016D1">
        <w:t>=</w:t>
      </w:r>
      <w:r w:rsidRPr="005016D1">
        <w:rPr>
          <w:rFonts w:ascii="宋体" w:hAnsi="宋体"/>
        </w:rPr>
        <w:t>资产</w:t>
      </w:r>
      <w:r w:rsidRPr="005016D1">
        <w:rPr>
          <w:rFonts w:ascii="宋体" w:hAnsi="宋体" w:hint="eastAsia"/>
        </w:rPr>
        <w:t>余额</w:t>
      </w:r>
      <w:r w:rsidRPr="005016D1">
        <w:rPr>
          <w:rFonts w:hint="eastAsia"/>
        </w:rPr>
        <w:t>/</w:t>
      </w:r>
      <w:r w:rsidRPr="005016D1">
        <w:rPr>
          <w:rFonts w:ascii="宋体" w:hAnsi="宋体" w:hint="eastAsia"/>
        </w:rPr>
        <w:t>产品净</w:t>
      </w:r>
      <w:r w:rsidRPr="005016D1">
        <w:rPr>
          <w:rFonts w:ascii="宋体" w:hAnsi="宋体"/>
        </w:rPr>
        <w:t>资产，</w:t>
      </w:r>
      <w:r w:rsidRPr="005016D1">
        <w:rPr>
          <w:rFonts w:ascii="宋体" w:hAnsi="宋体" w:hint="eastAsia"/>
        </w:rPr>
        <w:t>占比</w:t>
      </w:r>
      <w:r w:rsidRPr="005016D1">
        <w:rPr>
          <w:rFonts w:ascii="宋体" w:hAnsi="宋体"/>
        </w:rPr>
        <w:t>结果</w:t>
      </w:r>
      <w:r w:rsidRPr="005016D1">
        <w:rPr>
          <w:rFonts w:ascii="宋体" w:hAnsi="宋体" w:hint="eastAsia"/>
        </w:rPr>
        <w:t>保留两位小数（因第二位小数四舍五入，可能存在尾差）。</w:t>
      </w:r>
    </w:p>
    <w:p w:rsidR="004D600F" w:rsidRPr="00C01C40" w:rsidP="00C01C40">
      <w:pPr>
        <w:pStyle w:val="Heading2"/>
        <w:rPr>
          <w:sz w:val="24"/>
          <w:szCs w:val="24"/>
          <w:shd w:val="clear" w:color="auto" w:fill="FFFFFF"/>
        </w:rPr>
      </w:pPr>
      <w:bookmarkStart w:id="20" w:name="_Toc256000014"/>
      <w:r w:rsidRPr="00C01C40">
        <w:rPr>
          <w:sz w:val="24"/>
          <w:szCs w:val="24"/>
          <w:shd w:val="clear" w:color="auto" w:fill="FFFFFF"/>
        </w:rPr>
        <w:t>5</w:t>
      </w:r>
      <w:r w:rsidRPr="00C01C40">
        <w:rPr>
          <w:rFonts w:hint="eastAsia"/>
          <w:sz w:val="24"/>
          <w:szCs w:val="24"/>
          <w:shd w:val="clear" w:color="auto" w:fill="FFFFFF"/>
        </w:rPr>
        <w:t>.3 报告期末非标准化债权类资产信息</w:t>
      </w:r>
      <w:bookmarkEnd w:id="20"/>
    </w:p>
    <w:tbl>
      <w:tblPr>
        <w:tblStyle w:val="TableGrid"/>
        <w:tblW w:w="9067" w:type="dxa"/>
        <w:tblLook w:val="04A0"/>
      </w:tblPr>
      <w:tblGrid>
        <w:gridCol w:w="2122"/>
        <w:gridCol w:w="1559"/>
        <w:gridCol w:w="1843"/>
        <w:gridCol w:w="1559"/>
        <w:gridCol w:w="1984"/>
      </w:tblGrid>
      <w:tr w:rsidTr="00093F57">
        <w:tblPrEx>
          <w:tblW w:w="9067" w:type="dxa"/>
          <w:tblLook w:val="04A0"/>
        </w:tblPrEx>
        <w:tc>
          <w:tcPr>
            <w:tcW w:w="2122" w:type="dxa"/>
            <w:shd w:val="clear" w:color="auto" w:fill="BFBFBF" w:themeFill="background1" w:themeFillShade="BF"/>
            <w:vAlign w:val="center"/>
          </w:tcPr>
          <w:p w:rsidR="004D600F" w:rsidRPr="00085A6E" w:rsidP="00093F57">
            <w:pPr>
              <w:widowControl/>
              <w:jc w:val="center"/>
              <w:rPr>
                <w:rFonts w:ascii="宋体" w:hAnsi="宋体" w:cs="宋体"/>
                <w:b/>
                <w:szCs w:val="21"/>
              </w:rPr>
            </w:pPr>
            <w:r w:rsidRPr="00B53D88">
              <w:rPr>
                <w:rFonts w:ascii="宋体" w:hAnsi="宋体" w:cs="宋体" w:hint="eastAsia"/>
                <w:b/>
                <w:szCs w:val="21"/>
              </w:rPr>
              <w:t>资产名称</w:t>
            </w:r>
          </w:p>
        </w:tc>
        <w:tc>
          <w:tcPr>
            <w:tcW w:w="1559" w:type="dxa"/>
            <w:shd w:val="clear" w:color="auto" w:fill="BFBFBF" w:themeFill="background1" w:themeFillShade="BF"/>
            <w:vAlign w:val="center"/>
          </w:tcPr>
          <w:p w:rsidR="004D600F" w:rsidRPr="00B53D88" w:rsidP="00093F57">
            <w:pPr>
              <w:widowControl/>
              <w:jc w:val="center"/>
              <w:rPr>
                <w:rFonts w:ascii="宋体" w:hAnsi="宋体" w:cs="宋体"/>
                <w:b/>
                <w:szCs w:val="21"/>
              </w:rPr>
            </w:pPr>
            <w:r w:rsidRPr="00B53D88">
              <w:rPr>
                <w:rFonts w:ascii="宋体" w:hAnsi="宋体" w:cs="宋体" w:hint="eastAsia"/>
                <w:b/>
                <w:szCs w:val="21"/>
              </w:rPr>
              <w:t>融资客户名称</w:t>
            </w:r>
          </w:p>
        </w:tc>
        <w:tc>
          <w:tcPr>
            <w:tcW w:w="1843" w:type="dxa"/>
            <w:shd w:val="clear" w:color="auto" w:fill="BFBFBF" w:themeFill="background1" w:themeFillShade="BF"/>
            <w:vAlign w:val="center"/>
          </w:tcPr>
          <w:p w:rsidR="004D600F" w:rsidRPr="00B53D88" w:rsidP="00093F57">
            <w:pPr>
              <w:widowControl/>
              <w:jc w:val="center"/>
              <w:rPr>
                <w:rFonts w:ascii="宋体" w:hAnsi="宋体" w:cs="宋体"/>
                <w:b/>
                <w:szCs w:val="21"/>
              </w:rPr>
            </w:pPr>
            <w:r w:rsidRPr="00B53D88">
              <w:rPr>
                <w:rFonts w:ascii="宋体" w:hAnsi="宋体" w:cs="宋体" w:hint="eastAsia"/>
                <w:b/>
                <w:szCs w:val="21"/>
              </w:rPr>
              <w:t>项目剩余</w:t>
            </w:r>
          </w:p>
          <w:p w:rsidR="004D600F" w:rsidRPr="00B53D88" w:rsidP="00093F57">
            <w:pPr>
              <w:widowControl/>
              <w:jc w:val="center"/>
              <w:rPr>
                <w:rFonts w:ascii="宋体" w:hAnsi="宋体" w:cs="宋体"/>
                <w:b/>
                <w:szCs w:val="21"/>
              </w:rPr>
            </w:pPr>
            <w:r w:rsidRPr="00B53D88">
              <w:rPr>
                <w:rFonts w:ascii="宋体" w:hAnsi="宋体" w:cs="宋体" w:hint="eastAsia"/>
                <w:b/>
                <w:szCs w:val="21"/>
              </w:rPr>
              <w:t>融资期限</w:t>
            </w:r>
          </w:p>
          <w:p w:rsidR="004D600F" w:rsidRPr="00085A6E" w:rsidP="00093F57">
            <w:pPr>
              <w:widowControl/>
              <w:jc w:val="center"/>
              <w:rPr>
                <w:rFonts w:ascii="宋体" w:hAnsi="宋体" w:cs="宋体"/>
                <w:b/>
                <w:szCs w:val="21"/>
              </w:rPr>
            </w:pPr>
            <w:r w:rsidRPr="00B53D88">
              <w:rPr>
                <w:rFonts w:ascii="宋体" w:hAnsi="宋体" w:cs="宋体" w:hint="eastAsia"/>
                <w:b/>
                <w:szCs w:val="21"/>
              </w:rPr>
              <w:t>（单位：天）</w:t>
            </w:r>
          </w:p>
        </w:tc>
        <w:tc>
          <w:tcPr>
            <w:tcW w:w="1559" w:type="dxa"/>
            <w:shd w:val="clear" w:color="auto" w:fill="BFBFBF" w:themeFill="background1" w:themeFillShade="BF"/>
            <w:vAlign w:val="center"/>
          </w:tcPr>
          <w:p w:rsidR="004D600F" w:rsidRPr="00085A6E" w:rsidP="00093F57">
            <w:pPr>
              <w:widowControl/>
              <w:jc w:val="center"/>
              <w:rPr>
                <w:rFonts w:ascii="宋体" w:hAnsi="宋体" w:cs="宋体"/>
                <w:b/>
                <w:szCs w:val="21"/>
              </w:rPr>
            </w:pPr>
            <w:r w:rsidRPr="00B53D88">
              <w:rPr>
                <w:rFonts w:ascii="宋体" w:hAnsi="宋体" w:cs="宋体" w:hint="eastAsia"/>
                <w:b/>
                <w:szCs w:val="21"/>
              </w:rPr>
              <w:t>交易</w:t>
            </w:r>
            <w:r w:rsidRPr="00B53D88">
              <w:rPr>
                <w:rFonts w:ascii="宋体" w:hAnsi="宋体" w:cs="宋体"/>
                <w:b/>
                <w:szCs w:val="21"/>
              </w:rPr>
              <w:t>结构</w:t>
            </w:r>
          </w:p>
        </w:tc>
        <w:tc>
          <w:tcPr>
            <w:tcW w:w="1984" w:type="dxa"/>
            <w:shd w:val="clear" w:color="auto" w:fill="BFBFBF" w:themeFill="background1" w:themeFillShade="BF"/>
            <w:vAlign w:val="center"/>
          </w:tcPr>
          <w:p w:rsidR="004D600F" w:rsidRPr="00085A6E" w:rsidP="00093F57">
            <w:pPr>
              <w:widowControl/>
              <w:jc w:val="center"/>
              <w:rPr>
                <w:rFonts w:ascii="宋体" w:hAnsi="宋体" w:cs="宋体"/>
                <w:b/>
                <w:szCs w:val="21"/>
              </w:rPr>
            </w:pPr>
            <w:r w:rsidRPr="00085A6E">
              <w:rPr>
                <w:rFonts w:ascii="宋体" w:hAnsi="宋体" w:cs="宋体" w:hint="eastAsia"/>
                <w:b/>
                <w:szCs w:val="21"/>
              </w:rPr>
              <w:t>风险状况</w:t>
            </w:r>
          </w:p>
        </w:tc>
      </w:tr>
      <w:tr w:rsidTr="00093F57">
        <w:tblPrEx>
          <w:tblW w:w="9067" w:type="dxa"/>
          <w:tblLook w:val="04A0"/>
        </w:tblPrEx>
        <w:trPr>
          <w:trHeight w:val="431"/>
        </w:trPr>
        <w:tc>
          <w:tcPr>
            <w:tcW w:w="2122"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5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84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5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984"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8D77ED" w:rsidRPr="004D600F" w:rsidP="008D77ED">
      <w:pPr>
        <w:rPr>
          <w:shd w:val="clear" w:color="auto" w:fill="FFFFFF"/>
        </w:rPr>
      </w:pPr>
      <w:r w:rsidRPr="0057019B">
        <w:rPr>
          <w:rFonts w:hint="eastAsia"/>
          <w:shd w:val="clear" w:color="auto" w:fill="FFFFFF"/>
        </w:rPr>
        <w:t>注</w:t>
      </w:r>
      <w:r w:rsidR="006135F4">
        <w:rPr>
          <w:rFonts w:hint="eastAsia"/>
          <w:shd w:val="clear" w:color="auto" w:fill="FFFFFF"/>
        </w:rPr>
        <w:t>：</w:t>
      </w:r>
      <w:r w:rsidRPr="0057019B">
        <w:rPr>
          <w:rFonts w:hint="eastAsia"/>
          <w:shd w:val="clear" w:color="auto" w:fill="FFFFFF"/>
        </w:rPr>
        <w:t>项目剩余融资期限为非标准化债权类资产自报告期末至项目结束之间的期限，如该笔资产在报告期内已到期或已卖出，则显示为“</w:t>
      </w:r>
      <w:r w:rsidRPr="0057019B">
        <w:rPr>
          <w:rFonts w:hint="eastAsia"/>
          <w:shd w:val="clear" w:color="auto" w:fill="FFFFFF"/>
        </w:rPr>
        <w:t>-</w:t>
      </w:r>
      <w:r w:rsidRPr="0057019B">
        <w:rPr>
          <w:rFonts w:hint="eastAsia"/>
          <w:shd w:val="clear" w:color="auto" w:fill="FFFFFF"/>
        </w:rPr>
        <w:t>”。</w:t>
      </w:r>
    </w:p>
    <w:p w:rsidR="004D600F" w:rsidRPr="00C01C40" w:rsidP="00C01C40">
      <w:pPr>
        <w:pStyle w:val="Heading2"/>
        <w:rPr>
          <w:sz w:val="24"/>
          <w:szCs w:val="24"/>
          <w:shd w:val="clear" w:color="auto" w:fill="FFFFFF"/>
        </w:rPr>
      </w:pPr>
      <w:bookmarkStart w:id="21" w:name="_Toc96614799"/>
      <w:bookmarkStart w:id="22" w:name="_Toc256000015"/>
      <w:r w:rsidRPr="00C01C40">
        <w:rPr>
          <w:sz w:val="24"/>
          <w:szCs w:val="24"/>
          <w:shd w:val="clear" w:color="auto" w:fill="FFFFFF"/>
        </w:rPr>
        <w:t>5</w:t>
      </w:r>
      <w:r w:rsidRPr="00C01C40">
        <w:rPr>
          <w:rFonts w:hint="eastAsia"/>
          <w:sz w:val="24"/>
          <w:szCs w:val="24"/>
          <w:shd w:val="clear" w:color="auto" w:fill="FFFFFF"/>
        </w:rPr>
        <w:t>.</w:t>
      </w:r>
      <w:r w:rsidRPr="00C01C40">
        <w:rPr>
          <w:sz w:val="24"/>
          <w:szCs w:val="24"/>
          <w:shd w:val="clear" w:color="auto" w:fill="FFFFFF"/>
        </w:rPr>
        <w:t>4</w:t>
      </w:r>
      <w:r w:rsidRPr="00C01C40">
        <w:rPr>
          <w:rFonts w:hint="eastAsia"/>
          <w:sz w:val="24"/>
          <w:szCs w:val="24"/>
          <w:shd w:val="clear" w:color="auto" w:fill="FFFFFF"/>
        </w:rPr>
        <w:t xml:space="preserve"> 报告期</w:t>
      </w:r>
      <w:r w:rsidRPr="00C01C40">
        <w:rPr>
          <w:sz w:val="24"/>
          <w:szCs w:val="24"/>
          <w:shd w:val="clear" w:color="auto" w:fill="FFFFFF"/>
        </w:rPr>
        <w:t>内</w:t>
      </w:r>
      <w:r w:rsidRPr="00C01C40">
        <w:rPr>
          <w:rFonts w:hint="eastAsia"/>
          <w:sz w:val="24"/>
          <w:szCs w:val="24"/>
          <w:shd w:val="clear" w:color="auto" w:fill="FFFFFF"/>
        </w:rPr>
        <w:t>到期</w:t>
      </w:r>
      <w:r w:rsidRPr="00C01C40">
        <w:rPr>
          <w:sz w:val="24"/>
          <w:szCs w:val="24"/>
          <w:shd w:val="clear" w:color="auto" w:fill="FFFFFF"/>
        </w:rPr>
        <w:t>的</w:t>
      </w:r>
      <w:r w:rsidRPr="00C01C40">
        <w:rPr>
          <w:rFonts w:hint="eastAsia"/>
          <w:sz w:val="24"/>
          <w:szCs w:val="24"/>
          <w:shd w:val="clear" w:color="auto" w:fill="FFFFFF"/>
        </w:rPr>
        <w:t>非标准化</w:t>
      </w:r>
      <w:r w:rsidRPr="00C01C40">
        <w:rPr>
          <w:sz w:val="24"/>
          <w:szCs w:val="24"/>
          <w:shd w:val="clear" w:color="auto" w:fill="FFFFFF"/>
        </w:rPr>
        <w:t>债权类资产及收益情况</w:t>
      </w:r>
      <w:bookmarkEnd w:id="22"/>
      <w:bookmarkEnd w:id="21"/>
    </w:p>
    <w:tbl>
      <w:tblPr>
        <w:tblStyle w:val="TableGrid"/>
        <w:tblW w:w="9060" w:type="dxa"/>
        <w:tblLook w:val="04A0"/>
      </w:tblPr>
      <w:tblGrid>
        <w:gridCol w:w="1953"/>
        <w:gridCol w:w="1188"/>
        <w:gridCol w:w="1543"/>
        <w:gridCol w:w="1123"/>
        <w:gridCol w:w="1133"/>
        <w:gridCol w:w="2120"/>
      </w:tblGrid>
      <w:tr w:rsidTr="00194161">
        <w:tblPrEx>
          <w:tblW w:w="9060" w:type="dxa"/>
          <w:tblLook w:val="04A0"/>
        </w:tblPrEx>
        <w:tc>
          <w:tcPr>
            <w:tcW w:w="1953" w:type="dxa"/>
            <w:shd w:val="clear" w:color="auto" w:fill="BFBFBF" w:themeFill="background1" w:themeFillShade="BF"/>
            <w:vAlign w:val="center"/>
          </w:tcPr>
          <w:p w:rsidR="00886267" w:rsidRPr="00085A6E" w:rsidP="00194161">
            <w:pPr>
              <w:widowControl/>
              <w:jc w:val="center"/>
              <w:rPr>
                <w:rFonts w:ascii="宋体" w:hAnsi="宋体" w:cs="宋体"/>
                <w:b/>
                <w:szCs w:val="21"/>
              </w:rPr>
            </w:pPr>
            <w:r w:rsidRPr="00B53D88">
              <w:rPr>
                <w:rFonts w:ascii="宋体" w:hAnsi="宋体" w:cs="宋体" w:hint="eastAsia"/>
                <w:b/>
                <w:szCs w:val="21"/>
              </w:rPr>
              <w:t>资产名称</w:t>
            </w:r>
          </w:p>
        </w:tc>
        <w:tc>
          <w:tcPr>
            <w:tcW w:w="1188" w:type="dxa"/>
            <w:shd w:val="clear" w:color="auto" w:fill="BFBFBF" w:themeFill="background1" w:themeFillShade="BF"/>
            <w:vAlign w:val="center"/>
          </w:tcPr>
          <w:p w:rsidR="00886267" w:rsidRPr="00B53D88" w:rsidP="00194161">
            <w:pPr>
              <w:widowControl/>
              <w:jc w:val="center"/>
              <w:rPr>
                <w:rFonts w:ascii="宋体" w:hAnsi="宋体" w:cs="宋体"/>
                <w:b/>
                <w:szCs w:val="21"/>
              </w:rPr>
            </w:pPr>
            <w:r w:rsidRPr="00B53D88">
              <w:rPr>
                <w:rFonts w:ascii="宋体" w:hAnsi="宋体" w:cs="宋体" w:hint="eastAsia"/>
                <w:b/>
                <w:szCs w:val="21"/>
              </w:rPr>
              <w:t>融资客户名称</w:t>
            </w:r>
          </w:p>
        </w:tc>
        <w:tc>
          <w:tcPr>
            <w:tcW w:w="1543" w:type="dxa"/>
            <w:shd w:val="clear" w:color="auto" w:fill="BFBFBF" w:themeFill="background1" w:themeFillShade="BF"/>
            <w:vAlign w:val="center"/>
          </w:tcPr>
          <w:p w:rsidR="00886267" w:rsidRPr="00B53D88" w:rsidP="00194161">
            <w:pPr>
              <w:widowControl/>
              <w:jc w:val="center"/>
              <w:rPr>
                <w:rFonts w:ascii="宋体" w:hAnsi="宋体" w:cs="宋体"/>
                <w:b/>
                <w:szCs w:val="21"/>
              </w:rPr>
            </w:pPr>
            <w:r w:rsidRPr="00B53D88">
              <w:rPr>
                <w:rFonts w:ascii="宋体" w:hAnsi="宋体" w:cs="宋体" w:hint="eastAsia"/>
                <w:b/>
                <w:szCs w:val="21"/>
              </w:rPr>
              <w:t>项目剩余融资期限</w:t>
            </w:r>
          </w:p>
          <w:p w:rsidR="00886267" w:rsidRPr="00085A6E" w:rsidP="00194161">
            <w:pPr>
              <w:widowControl/>
              <w:jc w:val="center"/>
              <w:rPr>
                <w:rFonts w:ascii="宋体" w:hAnsi="宋体" w:cs="宋体"/>
                <w:b/>
                <w:szCs w:val="21"/>
              </w:rPr>
            </w:pPr>
            <w:r w:rsidRPr="00B53D88">
              <w:rPr>
                <w:rFonts w:ascii="宋体" w:hAnsi="宋体" w:cs="宋体" w:hint="eastAsia"/>
                <w:b/>
                <w:szCs w:val="21"/>
              </w:rPr>
              <w:t>（单位：天）</w:t>
            </w:r>
          </w:p>
        </w:tc>
        <w:tc>
          <w:tcPr>
            <w:tcW w:w="1123" w:type="dxa"/>
            <w:shd w:val="clear" w:color="auto" w:fill="BFBFBF" w:themeFill="background1" w:themeFillShade="BF"/>
            <w:vAlign w:val="center"/>
          </w:tcPr>
          <w:p w:rsidR="00886267" w:rsidRPr="00085A6E" w:rsidP="00194161">
            <w:pPr>
              <w:widowControl/>
              <w:jc w:val="center"/>
              <w:rPr>
                <w:rFonts w:ascii="宋体" w:hAnsi="宋体" w:cs="宋体"/>
                <w:b/>
                <w:szCs w:val="21"/>
              </w:rPr>
            </w:pPr>
            <w:r w:rsidRPr="00B53D88">
              <w:rPr>
                <w:rFonts w:ascii="宋体" w:hAnsi="宋体" w:cs="宋体" w:hint="eastAsia"/>
                <w:b/>
                <w:szCs w:val="21"/>
              </w:rPr>
              <w:t>交易</w:t>
            </w:r>
            <w:r w:rsidRPr="00B53D88">
              <w:rPr>
                <w:rFonts w:ascii="宋体" w:hAnsi="宋体" w:cs="宋体"/>
                <w:b/>
                <w:szCs w:val="21"/>
              </w:rPr>
              <w:t>结构</w:t>
            </w:r>
          </w:p>
        </w:tc>
        <w:tc>
          <w:tcPr>
            <w:tcW w:w="1133" w:type="dxa"/>
            <w:shd w:val="clear" w:color="auto" w:fill="BFBFBF" w:themeFill="background1" w:themeFillShade="BF"/>
            <w:vAlign w:val="center"/>
          </w:tcPr>
          <w:p w:rsidR="00886267" w:rsidRPr="00085A6E" w:rsidP="00194161">
            <w:pPr>
              <w:widowControl/>
              <w:jc w:val="center"/>
              <w:rPr>
                <w:rFonts w:ascii="宋体" w:hAnsi="宋体" w:cs="宋体"/>
                <w:b/>
                <w:szCs w:val="21"/>
              </w:rPr>
            </w:pPr>
            <w:r w:rsidRPr="00085A6E">
              <w:rPr>
                <w:rFonts w:ascii="宋体" w:hAnsi="宋体" w:cs="宋体" w:hint="eastAsia"/>
                <w:b/>
                <w:szCs w:val="21"/>
              </w:rPr>
              <w:t>风险状况</w:t>
            </w:r>
          </w:p>
        </w:tc>
        <w:tc>
          <w:tcPr>
            <w:tcW w:w="2120" w:type="dxa"/>
            <w:shd w:val="clear" w:color="auto" w:fill="BFBFBF" w:themeFill="background1" w:themeFillShade="BF"/>
            <w:vAlign w:val="center"/>
          </w:tcPr>
          <w:p w:rsidR="00886267" w:rsidP="00194161">
            <w:pPr>
              <w:widowControl/>
              <w:jc w:val="center"/>
              <w:rPr>
                <w:rFonts w:ascii="宋体" w:hAnsi="宋体" w:cs="宋体"/>
                <w:b/>
                <w:szCs w:val="21"/>
              </w:rPr>
            </w:pPr>
            <w:r w:rsidRPr="00AE53EF">
              <w:rPr>
                <w:rFonts w:ascii="宋体" w:hAnsi="宋体" w:cs="宋体" w:hint="eastAsia"/>
                <w:b/>
                <w:szCs w:val="21"/>
              </w:rPr>
              <w:t>投资收益</w:t>
            </w:r>
          </w:p>
          <w:p w:rsidR="00886267" w:rsidRPr="00085A6E" w:rsidP="00194161">
            <w:pPr>
              <w:widowControl/>
              <w:jc w:val="center"/>
              <w:rPr>
                <w:rFonts w:ascii="宋体" w:hAnsi="宋体" w:cs="宋体"/>
                <w:b/>
                <w:szCs w:val="21"/>
              </w:rPr>
            </w:pPr>
            <w:r w:rsidRPr="00AE53EF">
              <w:rPr>
                <w:rFonts w:ascii="宋体" w:hAnsi="宋体" w:cs="宋体" w:hint="eastAsia"/>
                <w:b/>
                <w:szCs w:val="21"/>
              </w:rPr>
              <w:t>（单位：</w:t>
            </w:r>
            <w:r>
              <w:rPr>
                <w:rFonts w:ascii="宋体" w:eastAsia="宋体" w:hAnsi="宋体" w:cs="宋体"/>
                <w:b/>
                <w:i w:val="0"/>
                <w:color w:val="000000"/>
                <w:position w:val="-1"/>
                <w:u w:val="none"/>
              </w:rPr>
              <w:t>元</w:t>
            </w:r>
            <w:r w:rsidRPr="00AE53EF">
              <w:rPr>
                <w:rFonts w:ascii="宋体" w:hAnsi="宋体" w:cs="宋体" w:hint="eastAsia"/>
                <w:b/>
                <w:szCs w:val="21"/>
              </w:rPr>
              <w:t>）</w:t>
            </w:r>
          </w:p>
        </w:tc>
      </w:tr>
      <w:tr w:rsidTr="00B2318D">
        <w:tblPrEx>
          <w:tblW w:w="9060" w:type="dxa"/>
          <w:tblLook w:val="04A0"/>
        </w:tblPrEx>
        <w:trPr>
          <w:trHeight w:val="431"/>
        </w:trPr>
        <w:tc>
          <w:tcPr>
            <w:tcW w:w="195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188"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4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12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13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120"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886267" w:rsidP="00886267">
      <w:pPr>
        <w:rPr>
          <w:shd w:val="clear" w:color="auto" w:fill="FFFFFF"/>
        </w:rPr>
      </w:pPr>
      <w:r w:rsidRPr="008535C8">
        <w:rPr>
          <w:rFonts w:hint="eastAsia"/>
          <w:shd w:val="clear" w:color="auto" w:fill="FFFFFF"/>
        </w:rPr>
        <w:t>注</w:t>
      </w:r>
      <w:r>
        <w:rPr>
          <w:rFonts w:hint="eastAsia"/>
          <w:shd w:val="clear" w:color="auto" w:fill="FFFFFF"/>
        </w:rPr>
        <w:t>：</w:t>
      </w:r>
    </w:p>
    <w:p w:rsidR="00886267" w:rsidP="00886267">
      <w:pPr>
        <w:rPr>
          <w:shd w:val="clear" w:color="auto" w:fill="FFFFFF"/>
        </w:rPr>
      </w:pPr>
      <w:r>
        <w:rPr>
          <w:rFonts w:ascii="宋体" w:hAnsi="宋体" w:hint="eastAsia"/>
          <w:szCs w:val="21"/>
          <w:shd w:val="clear" w:color="auto" w:fill="FFFFFF"/>
        </w:rPr>
        <w:t>1</w:t>
      </w:r>
      <w:r>
        <w:rPr>
          <w:rFonts w:ascii="宋体" w:hAnsi="宋体"/>
          <w:szCs w:val="21"/>
          <w:shd w:val="clear" w:color="auto" w:fill="FFFFFF"/>
        </w:rPr>
        <w:t>.</w:t>
      </w:r>
      <w:r w:rsidRPr="008535C8">
        <w:rPr>
          <w:rFonts w:hint="eastAsia"/>
          <w:shd w:val="clear" w:color="auto" w:fill="FFFFFF"/>
        </w:rPr>
        <w:t>项目剩余融资期限为非标准化债权类资产自报告期末至项目结束之间的期限，如该笔资产在报告期内已到期或已卖出，则显示为“</w:t>
      </w:r>
      <w:r w:rsidRPr="008535C8">
        <w:rPr>
          <w:rFonts w:hint="eastAsia"/>
          <w:shd w:val="clear" w:color="auto" w:fill="FFFFFF"/>
        </w:rPr>
        <w:t>-</w:t>
      </w:r>
      <w:r w:rsidRPr="008535C8">
        <w:rPr>
          <w:rFonts w:hint="eastAsia"/>
          <w:shd w:val="clear" w:color="auto" w:fill="FFFFFF"/>
        </w:rPr>
        <w:t>”。</w:t>
      </w:r>
    </w:p>
    <w:p w:rsidR="00886267" w:rsidRPr="00AE53EF" w:rsidP="00886267">
      <w:pPr>
        <w:rPr>
          <w:shd w:val="clear" w:color="auto" w:fill="FFFFFF"/>
        </w:rPr>
      </w:pPr>
      <w:r>
        <w:rPr>
          <w:rFonts w:ascii="宋体" w:hAnsi="宋体" w:hint="eastAsia"/>
          <w:szCs w:val="21"/>
          <w:shd w:val="clear" w:color="auto" w:fill="FFFFFF"/>
        </w:rPr>
        <w:t>2</w:t>
      </w:r>
      <w:r>
        <w:rPr>
          <w:rFonts w:ascii="宋体" w:hAnsi="宋体"/>
          <w:szCs w:val="21"/>
          <w:shd w:val="clear" w:color="auto" w:fill="FFFFFF"/>
        </w:rPr>
        <w:t>.</w:t>
      </w:r>
      <w:r w:rsidRPr="00931AE2">
        <w:rPr>
          <w:shd w:val="clear" w:color="auto" w:fill="FFFFFF"/>
        </w:rPr>
        <w:t>投资收益为理财产品持有该笔资产期间</w:t>
      </w:r>
      <w:r w:rsidRPr="00931AE2">
        <w:rPr>
          <w:rFonts w:hint="eastAsia"/>
        </w:rPr>
        <w:t>的投资收益情况。</w:t>
      </w:r>
    </w:p>
    <w:p w:rsidR="0032309F" w:rsidRPr="00C01C40" w:rsidP="00C01C40">
      <w:pPr>
        <w:pStyle w:val="Heading2"/>
        <w:rPr>
          <w:sz w:val="24"/>
          <w:szCs w:val="24"/>
          <w:shd w:val="clear" w:color="auto" w:fill="FFFFFF"/>
        </w:rPr>
      </w:pPr>
      <w:bookmarkStart w:id="23" w:name="_Toc256000016"/>
      <w:r w:rsidRPr="00C01C40">
        <w:rPr>
          <w:sz w:val="24"/>
          <w:szCs w:val="24"/>
          <w:shd w:val="clear" w:color="auto" w:fill="FFFFFF"/>
        </w:rPr>
        <w:t>5</w:t>
      </w:r>
      <w:r w:rsidRPr="00C01C40">
        <w:rPr>
          <w:rFonts w:hint="eastAsia"/>
          <w:sz w:val="24"/>
          <w:szCs w:val="24"/>
          <w:shd w:val="clear" w:color="auto" w:fill="FFFFFF"/>
        </w:rPr>
        <w:t>.</w:t>
      </w:r>
      <w:r w:rsidRPr="00C01C40">
        <w:rPr>
          <w:sz w:val="24"/>
          <w:szCs w:val="24"/>
          <w:shd w:val="clear" w:color="auto" w:fill="FFFFFF"/>
        </w:rPr>
        <w:t>5</w:t>
      </w:r>
      <w:r w:rsidRPr="00C01C40">
        <w:rPr>
          <w:rFonts w:hint="eastAsia"/>
          <w:sz w:val="24"/>
          <w:szCs w:val="24"/>
          <w:shd w:val="clear" w:color="auto" w:fill="FFFFFF"/>
        </w:rPr>
        <w:t xml:space="preserve"> 报告期末信贷资产收受益权资产信息</w:t>
      </w:r>
      <w:bookmarkEnd w:id="23"/>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7"/>
        <w:gridCol w:w="2703"/>
        <w:gridCol w:w="3840"/>
      </w:tblGrid>
      <w:tr w:rsidTr="00886267">
        <w:tblPrEx>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76"/>
        </w:trPr>
        <w:tc>
          <w:tcPr>
            <w:tcW w:w="1405" w:type="pct"/>
            <w:shd w:val="clear" w:color="auto" w:fill="BFBFBF"/>
            <w:vAlign w:val="center"/>
            <w:hideMark/>
          </w:tcPr>
          <w:p w:rsidR="0032309F" w:rsidRPr="004C7F8B" w:rsidP="00093F57">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w:t>
            </w:r>
            <w:r w:rsidRPr="004C7F8B">
              <w:rPr>
                <w:rFonts w:ascii="宋体" w:hAnsi="宋体" w:cs="宋体" w:hint="eastAsia"/>
                <w:b/>
                <w:szCs w:val="21"/>
              </w:rPr>
              <w:t>名称</w:t>
            </w:r>
          </w:p>
        </w:tc>
        <w:tc>
          <w:tcPr>
            <w:tcW w:w="1485" w:type="pct"/>
            <w:shd w:val="clear" w:color="auto" w:fill="BFBFBF"/>
            <w:vAlign w:val="center"/>
            <w:hideMark/>
          </w:tcPr>
          <w:p w:rsidR="0032309F" w:rsidRPr="004C7F8B" w:rsidP="00093F57">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原始权益人</w:t>
            </w:r>
            <w:r w:rsidRPr="004C7F8B">
              <w:rPr>
                <w:rFonts w:ascii="宋体" w:hAnsi="宋体" w:cs="宋体" w:hint="eastAsia"/>
                <w:b/>
                <w:szCs w:val="21"/>
              </w:rPr>
              <w:t>名称</w:t>
            </w:r>
          </w:p>
        </w:tc>
        <w:tc>
          <w:tcPr>
            <w:tcW w:w="2110" w:type="pct"/>
            <w:shd w:val="clear" w:color="auto" w:fill="BFBFBF"/>
            <w:vAlign w:val="center"/>
            <w:hideMark/>
          </w:tcPr>
          <w:p w:rsidR="0032309F" w:rsidRPr="00931AE2" w:rsidP="00093F57">
            <w:pPr>
              <w:widowControl/>
              <w:jc w:val="center"/>
              <w:rPr>
                <w:rFonts w:ascii="宋体" w:hAnsi="宋体" w:cs="宋体"/>
                <w:b/>
                <w:szCs w:val="21"/>
              </w:rPr>
            </w:pPr>
            <w:r w:rsidRPr="00931AE2">
              <w:rPr>
                <w:rFonts w:ascii="宋体" w:hAnsi="宋体" w:cs="宋体" w:hint="eastAsia"/>
                <w:b/>
                <w:szCs w:val="21"/>
              </w:rPr>
              <w:t>项目剩余融资期限</w:t>
            </w:r>
          </w:p>
          <w:p w:rsidR="0032309F" w:rsidRPr="004C7F8B" w:rsidP="00093F57">
            <w:pPr>
              <w:widowControl/>
              <w:jc w:val="center"/>
              <w:rPr>
                <w:rFonts w:ascii="宋体" w:hAnsi="宋体" w:cs="宋体"/>
                <w:b/>
                <w:color w:val="333333"/>
                <w:kern w:val="0"/>
                <w:szCs w:val="21"/>
                <w:highlight w:val="lightGray"/>
                <w:shd w:val="clear" w:color="auto" w:fill="FFFFFF"/>
              </w:rPr>
            </w:pPr>
            <w:r w:rsidRPr="00931AE2">
              <w:rPr>
                <w:rFonts w:ascii="宋体" w:hAnsi="宋体" w:cs="宋体" w:hint="eastAsia"/>
                <w:b/>
                <w:szCs w:val="21"/>
              </w:rPr>
              <w:t>（单位：天）</w:t>
            </w:r>
          </w:p>
        </w:tc>
      </w:tr>
      <w:tr w:rsidTr="00886267">
        <w:tblPrEx>
          <w:tblW w:w="5022" w:type="pct"/>
          <w:tblLook w:val="04A0"/>
        </w:tblPrEx>
        <w:trPr>
          <w:trHeight w:val="440"/>
        </w:trPr>
        <w:tc>
          <w:tcPr>
            <w:tcW w:w="1405" w:type="pct"/>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485" w:type="pct"/>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110" w:type="pct"/>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8B7BD8" w:rsidRPr="00BB25DC" w:rsidP="00BB25DC">
      <w:pPr>
        <w:pStyle w:val="Heading2"/>
        <w:rPr>
          <w:sz w:val="24"/>
          <w:szCs w:val="24"/>
          <w:shd w:val="clear" w:color="auto" w:fill="FFFFFF"/>
        </w:rPr>
      </w:pPr>
      <w:bookmarkStart w:id="25" w:name="_Toc256000017"/>
      <w:r w:rsidRPr="00BB25DC">
        <w:rPr>
          <w:sz w:val="24"/>
          <w:szCs w:val="24"/>
          <w:shd w:val="clear" w:color="auto" w:fill="FFFFFF"/>
        </w:rPr>
        <w:t>5</w:t>
      </w:r>
      <w:r w:rsidRPr="00BB25DC">
        <w:rPr>
          <w:rFonts w:hint="eastAsia"/>
          <w:sz w:val="24"/>
          <w:szCs w:val="24"/>
          <w:shd w:val="clear" w:color="auto" w:fill="FFFFFF"/>
        </w:rPr>
        <w:t>.</w:t>
      </w:r>
      <w:r w:rsidRPr="00BB25DC">
        <w:rPr>
          <w:sz w:val="24"/>
          <w:szCs w:val="24"/>
          <w:shd w:val="clear" w:color="auto" w:fill="FFFFFF"/>
        </w:rPr>
        <w:t>6</w:t>
      </w:r>
      <w:r w:rsidRPr="00BB25DC">
        <w:rPr>
          <w:rFonts w:hint="eastAsia"/>
          <w:sz w:val="24"/>
          <w:szCs w:val="24"/>
          <w:shd w:val="clear" w:color="auto" w:fill="FFFFFF"/>
        </w:rPr>
        <w:t xml:space="preserve"> 报告</w:t>
      </w:r>
      <w:r w:rsidRPr="00BB25DC">
        <w:rPr>
          <w:sz w:val="24"/>
          <w:szCs w:val="24"/>
          <w:shd w:val="clear" w:color="auto" w:fill="FFFFFF"/>
        </w:rPr>
        <w:t>期</w:t>
      </w:r>
      <w:r w:rsidRPr="00BB25DC">
        <w:rPr>
          <w:rFonts w:hint="eastAsia"/>
          <w:sz w:val="24"/>
          <w:szCs w:val="24"/>
          <w:shd w:val="clear" w:color="auto" w:fill="FFFFFF"/>
        </w:rPr>
        <w:t>末商品及金融衍生</w:t>
      </w:r>
      <w:r w:rsidRPr="00BB25DC">
        <w:rPr>
          <w:rFonts w:hint="eastAsia"/>
          <w:sz w:val="24"/>
          <w:szCs w:val="24"/>
          <w:shd w:val="clear" w:color="auto" w:fill="FFFFFF"/>
        </w:rPr>
        <w:t>品</w:t>
      </w:r>
      <w:r w:rsidRPr="00BB25DC">
        <w:rPr>
          <w:sz w:val="24"/>
          <w:szCs w:val="24"/>
          <w:shd w:val="clear" w:color="auto" w:fill="FFFFFF"/>
        </w:rPr>
        <w:t>资产</w:t>
      </w:r>
      <w:r w:rsidRPr="00BB25DC">
        <w:rPr>
          <w:rFonts w:hint="eastAsia"/>
          <w:sz w:val="24"/>
          <w:szCs w:val="24"/>
          <w:shd w:val="clear" w:color="auto" w:fill="FFFFFF"/>
        </w:rPr>
        <w:t>信息</w:t>
      </w:r>
      <w:bookmarkEnd w:id="25"/>
    </w:p>
    <w:p w:rsidR="008B7BD8" w:rsidRPr="00E43FC7" w:rsidP="00BA42D8">
      <w:pPr>
        <w:ind w:firstLine="420" w:firstLineChars="200"/>
        <w:rPr>
          <w:rFonts w:ascii="宋体" w:hAnsi="宋体"/>
          <w:sz w:val="24"/>
          <w:shd w:val="clear" w:color="auto" w:fill="FFFFFF"/>
        </w:rPr>
      </w:pPr>
      <w:r>
        <w:rPr>
          <w:rFonts w:ascii="宋体" w:eastAsia="宋体" w:hAnsi="宋体" w:cs="宋体"/>
          <w:b w:val="0"/>
          <w:color w:val="000000"/>
          <w:sz w:val="24"/>
        </w:rPr>
        <w:t>无</w:t>
      </w:r>
    </w:p>
    <w:p w:rsidR="004B3394" w:rsidRPr="008B7BD8" w:rsidP="008B7BD8">
      <w:pPr>
        <w:rPr>
          <w:rFonts w:ascii="宋体" w:hAnsi="宋体"/>
        </w:rPr>
      </w:pPr>
      <w:r>
        <w:rPr>
          <w:rFonts w:ascii="宋体" w:eastAsia="宋体" w:hAnsi="宋体" w:cs="宋体"/>
          <w:b w:val="0"/>
          <w:color w:val="000000"/>
        </w:rPr>
        <w:t xml:space="preserve"> </w:t>
      </w:r>
    </w:p>
    <w:p w:rsidR="0032309F" w:rsidRPr="00C01C40" w:rsidP="0032309F">
      <w:pPr>
        <w:pStyle w:val="Heading1"/>
        <w:jc w:val="center"/>
        <w:rPr>
          <w:rFonts w:ascii="宋体" w:hAnsi="宋体"/>
          <w:sz w:val="24"/>
          <w:szCs w:val="24"/>
          <w:shd w:val="clear" w:color="auto" w:fill="FFFFFF"/>
        </w:rPr>
      </w:pPr>
      <w:bookmarkStart w:id="26" w:name="_Toc256000018"/>
      <w:r w:rsidRPr="00C01C40">
        <w:rPr>
          <w:rFonts w:ascii="宋体" w:hAnsi="宋体" w:hint="eastAsia"/>
          <w:sz w:val="24"/>
          <w:szCs w:val="24"/>
          <w:shd w:val="clear" w:color="auto" w:fill="FFFFFF"/>
        </w:rPr>
        <w:t>§</w:t>
      </w:r>
      <w:r w:rsidRPr="00C01C40">
        <w:rPr>
          <w:rFonts w:ascii="宋体" w:hAnsi="宋体"/>
          <w:sz w:val="24"/>
          <w:szCs w:val="24"/>
          <w:shd w:val="clear" w:color="auto" w:fill="FFFFFF"/>
        </w:rPr>
        <w:t>6</w:t>
      </w:r>
      <w:r w:rsidRPr="00C01C40">
        <w:rPr>
          <w:rFonts w:ascii="宋体" w:hAnsi="宋体" w:hint="eastAsia"/>
          <w:sz w:val="24"/>
          <w:szCs w:val="24"/>
          <w:shd w:val="clear" w:color="auto" w:fill="FFFFFF"/>
        </w:rPr>
        <w:t xml:space="preserve"> 托管人报告</w:t>
      </w:r>
      <w:bookmarkEnd w:id="26"/>
    </w:p>
    <w:p w:rsidR="0032309F" w:rsidRPr="00C01C40" w:rsidP="00C01C40">
      <w:pPr>
        <w:pStyle w:val="Heading2"/>
        <w:rPr>
          <w:sz w:val="24"/>
          <w:szCs w:val="24"/>
          <w:shd w:val="clear" w:color="auto" w:fill="FFFFFF"/>
        </w:rPr>
      </w:pPr>
      <w:bookmarkStart w:id="27" w:name="_Toc256000019"/>
      <w:r w:rsidRPr="00C01C40">
        <w:rPr>
          <w:sz w:val="24"/>
          <w:szCs w:val="24"/>
          <w:shd w:val="clear" w:color="auto" w:fill="FFFFFF"/>
        </w:rPr>
        <w:t>6</w:t>
      </w:r>
      <w:r w:rsidRPr="00C01C40">
        <w:rPr>
          <w:rFonts w:hint="eastAsia"/>
          <w:sz w:val="24"/>
          <w:szCs w:val="24"/>
          <w:shd w:val="clear" w:color="auto" w:fill="FFFFFF"/>
        </w:rPr>
        <w:t>.1 托管人报告</w:t>
      </w:r>
      <w:bookmarkEnd w:id="27"/>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6.1.1托管人履职情况</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（一）托管资产保管</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托管资产独立于托管人的自有资产及其托管的其他资产，不同投资账户之间的托管资产之间互相独立。托管人按照监管相关规定，完整保存与托管资产有关的会计档案、与托管资产有关的投资记录、指令和合同等。</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（二）会计核算和估值</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托管人按照与管理人在托管协议中约定的统一记账方法和会计处理原则，独立地设置、登录和保管本产品的全套账册，进行会计核算和资产估值。</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（三）定期核对有关数据</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托管人根据托管协议约定与管理人定期进行账务核对。</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（四）投资监督</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托管人根据法规、托管协议以及双方约定的投资监督条款，对投资运作情况进行监督。</w:t>
      </w:r>
    </w:p>
    <w:p w:rsidR="003A637E" w:rsidP="003A637E">
      <w:pPr>
        <w:ind w:firstLine="420" w:firstLineChars="200"/>
        <w:rPr>
          <w:rFonts w:ascii="宋体" w:hAnsi="宋体"/>
          <w:sz w:val="24"/>
          <w:szCs w:val="24"/>
          <w:shd w:val="clear" w:color="auto" w:fill="FFFFFF"/>
        </w:rPr>
      </w:pPr>
      <w:r>
        <w:rPr>
          <w:rFonts w:ascii="宋体" w:hAnsi="宋体" w:hint="eastAsia"/>
          <w:sz w:val="24"/>
          <w:szCs w:val="24"/>
          <w:shd w:val="clear" w:color="auto" w:fill="FFFFFF"/>
        </w:rPr>
        <w:t>6.1.2托管人声明</w:t>
      </w:r>
    </w:p>
    <w:p w:rsidR="0032309F" w:rsidRPr="003A637E" w:rsidP="003A637E">
      <w:pPr>
        <w:ind w:firstLine="420"/>
        <w:rPr>
          <w:szCs w:val="21"/>
        </w:rPr>
      </w:pPr>
      <w:r>
        <w:rPr>
          <w:rFonts w:ascii="宋体" w:hAnsi="宋体" w:hint="eastAsia"/>
          <w:sz w:val="24"/>
          <w:szCs w:val="24"/>
          <w:shd w:val="clear" w:color="auto" w:fill="FFFFFF"/>
        </w:rPr>
        <w:t>托管人具备完善的公司治理结构、内部稽核监控制度和风险控制制度，托管人在本产品托管的过程中，严格遵守有关法律法规、托管协议的规定，尽职尽责地履行托管义务并安全保管托管资产。</w:t>
      </w:r>
    </w:p>
    <w:p w:rsidR="000F7649" w:rsidRPr="00135202" w:rsidP="00E74A84">
      <w:pPr>
        <w:pStyle w:val="Heading1"/>
        <w:jc w:val="center"/>
        <w:rPr>
          <w:rFonts w:ascii="宋体" w:hAnsi="宋体"/>
          <w:sz w:val="24"/>
          <w:szCs w:val="24"/>
          <w:shd w:val="clear" w:color="auto" w:fill="FFFFFF"/>
        </w:rPr>
      </w:pPr>
      <w:bookmarkStart w:id="29" w:name="_Toc118393540"/>
      <w:bookmarkStart w:id="30" w:name="_Toc256000020"/>
      <w:r w:rsidRPr="00135202">
        <w:rPr>
          <w:rFonts w:ascii="宋体" w:hAnsi="宋体" w:hint="eastAsia"/>
          <w:sz w:val="24"/>
          <w:szCs w:val="24"/>
          <w:shd w:val="clear" w:color="auto" w:fill="FFFFFF"/>
        </w:rPr>
        <w:t>§</w:t>
      </w:r>
      <w:r w:rsidRPr="00135202" w:rsidR="00C532AE">
        <w:rPr>
          <w:rFonts w:ascii="宋体" w:hAnsi="宋体"/>
          <w:sz w:val="24"/>
          <w:szCs w:val="24"/>
          <w:shd w:val="clear" w:color="auto" w:fill="FFFFFF"/>
        </w:rPr>
        <w:t xml:space="preserve">7 </w:t>
      </w:r>
      <w:r w:rsidRPr="00135202">
        <w:rPr>
          <w:rFonts w:ascii="宋体" w:hAnsi="宋体" w:hint="eastAsia"/>
          <w:sz w:val="24"/>
          <w:szCs w:val="24"/>
          <w:shd w:val="clear" w:color="auto" w:fill="FFFFFF"/>
        </w:rPr>
        <w:t>现金管理类理财产品前十名投资者情况</w:t>
      </w:r>
      <w:bookmarkEnd w:id="30"/>
      <w:bookmarkEnd w:id="29"/>
    </w:p>
    <w:tbl>
      <w:tblPr>
        <w:tblStyle w:val="TableNormal"/>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1"/>
        <w:gridCol w:w="2410"/>
        <w:gridCol w:w="2505"/>
        <w:gridCol w:w="2462"/>
      </w:tblGrid>
      <w:tr w:rsidTr="00385672">
        <w:tblPrEx>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5"/>
          <w:jc w:val="center"/>
        </w:trPr>
        <w:tc>
          <w:tcPr>
            <w:tcW w:w="1271"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b/>
                <w:szCs w:val="21"/>
              </w:rPr>
              <w:t>序号</w:t>
            </w:r>
          </w:p>
        </w:tc>
        <w:tc>
          <w:tcPr>
            <w:tcW w:w="2410"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投资者类别</w:t>
            </w:r>
          </w:p>
        </w:tc>
        <w:tc>
          <w:tcPr>
            <w:tcW w:w="2505"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期末持有份额（份）</w:t>
            </w:r>
          </w:p>
        </w:tc>
        <w:tc>
          <w:tcPr>
            <w:tcW w:w="2462"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占总份额比例（%）</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1</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200,394,098.94</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2.54</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2</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200,206,803.39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2.54</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3</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167,092,303.94</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2.12</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4</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125,000,000.00</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1.58</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5</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100,381,004.04</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1.27</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6</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100,381,004.04</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1.27</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7</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100,361,790.49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1.27</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8</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100,318,289.79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1.27</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9</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100,266,897.79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1.27</w:t>
            </w:r>
          </w:p>
        </w:tc>
      </w:tr>
      <w:tr w:rsidTr="00385672">
        <w:tblPrEx>
          <w:tblW w:w="8648" w:type="dxa"/>
          <w:jc w:val="center"/>
          <w:tblLayout w:type="fixed"/>
          <w:tblLook w:val="04A0"/>
        </w:tblPrEx>
        <w:trPr>
          <w:trHeight w:val="285"/>
          <w:jc w:val="center"/>
        </w:trPr>
        <w:tc>
          <w:tcPr>
            <w:tcW w:w="1271" w:type="dxa"/>
            <w:vAlign w:val="center"/>
          </w:tcPr>
          <w:p>
            <w:pPr>
              <w:ind w:left="-1" w:right="-1"/>
              <w:jc w:val="center"/>
            </w:pPr>
            <w:r>
              <w:rPr>
                <w:rFonts w:ascii="宋体" w:eastAsia="宋体" w:hAnsi="宋体" w:cs="宋体"/>
                <w:b w:val="0"/>
                <w:i w:val="0"/>
                <w:color w:val="000000"/>
                <w:spacing w:val="0"/>
                <w:position w:val="-1"/>
                <w:u w:val="none"/>
                <w:vertAlign w:val="baseline"/>
              </w:rPr>
              <w:t>10</w:t>
            </w:r>
          </w:p>
        </w:tc>
        <w:tc>
          <w:tcPr>
            <w:tcW w:w="2410" w:type="dxa"/>
            <w:vAlign w:val="center"/>
          </w:tcPr>
          <w:p>
            <w:pPr>
              <w:ind w:left="-1" w:right="-1"/>
              <w:jc w:val="center"/>
            </w:pPr>
            <w:r>
              <w:rPr>
                <w:rFonts w:ascii="宋体" w:eastAsia="宋体" w:hAnsi="宋体" w:cs="宋体"/>
                <w:b w:val="0"/>
                <w:i w:val="0"/>
                <w:color w:val="000000"/>
                <w:spacing w:val="0"/>
                <w:position w:val="-1"/>
                <w:u w:val="none"/>
                <w:vertAlign w:val="baseline"/>
              </w:rPr>
              <w:t>机构</w:t>
            </w:r>
          </w:p>
        </w:tc>
        <w:tc>
          <w:tcPr>
            <w:tcW w:w="2505" w:type="dxa"/>
            <w:vAlign w:val="center"/>
          </w:tcPr>
          <w:p>
            <w:pPr>
              <w:ind w:left="-1" w:right="-1"/>
              <w:jc w:val="center"/>
            </w:pPr>
            <w:r>
              <w:rPr>
                <w:rFonts w:ascii="宋体" w:eastAsia="宋体" w:hAnsi="宋体" w:cs="宋体"/>
                <w:b w:val="0"/>
                <w:i w:val="0"/>
                <w:color w:val="000000"/>
                <w:spacing w:val="0"/>
                <w:position w:val="-1"/>
                <w:u w:val="none"/>
                <w:vertAlign w:val="baseline"/>
              </w:rPr>
              <w:t>100,197,049.49</w:t>
            </w:r>
          </w:p>
        </w:tc>
        <w:tc>
          <w:tcPr>
            <w:tcW w:w="2462" w:type="dxa"/>
            <w:vAlign w:val="center"/>
          </w:tcPr>
          <w:p>
            <w:pPr>
              <w:ind w:left="-1" w:right="-1"/>
              <w:jc w:val="center"/>
            </w:pPr>
            <w:r>
              <w:rPr>
                <w:rFonts w:ascii="宋体" w:eastAsia="宋体" w:hAnsi="宋体" w:cs="宋体"/>
                <w:b w:val="0"/>
                <w:i w:val="0"/>
                <w:color w:val="000000"/>
                <w:spacing w:val="0"/>
                <w:position w:val="-1"/>
                <w:u w:val="none"/>
                <w:vertAlign w:val="baseline"/>
              </w:rPr>
              <w:t>1.27</w:t>
            </w:r>
          </w:p>
        </w:tc>
      </w:tr>
    </w:tbl>
    <w:p w:rsidR="000F7649" w:rsidRPr="00135202" w:rsidP="000F7649">
      <w:pPr>
        <w:pStyle w:val="Heading1"/>
        <w:jc w:val="center"/>
        <w:rPr>
          <w:rFonts w:ascii="宋体" w:hAnsi="宋体"/>
          <w:sz w:val="24"/>
          <w:szCs w:val="24"/>
          <w:shd w:val="clear" w:color="auto" w:fill="FFFFFF"/>
        </w:rPr>
      </w:pPr>
      <w:bookmarkStart w:id="31" w:name="_Toc118393541"/>
      <w:bookmarkStart w:id="32" w:name="_Toc256000021"/>
      <w:r w:rsidRPr="00135202">
        <w:rPr>
          <w:rFonts w:ascii="宋体" w:hAnsi="宋体" w:hint="eastAsia"/>
          <w:sz w:val="24"/>
          <w:szCs w:val="24"/>
          <w:shd w:val="clear" w:color="auto" w:fill="FFFFFF"/>
        </w:rPr>
        <w:t>§</w:t>
      </w:r>
      <w:r w:rsidRPr="00135202" w:rsidR="00C532AE">
        <w:rPr>
          <w:rFonts w:ascii="宋体" w:hAnsi="宋体"/>
          <w:sz w:val="24"/>
          <w:szCs w:val="24"/>
          <w:shd w:val="clear" w:color="auto" w:fill="FFFFFF"/>
        </w:rPr>
        <w:t xml:space="preserve">8 </w:t>
      </w:r>
      <w:r w:rsidRPr="00135202">
        <w:rPr>
          <w:rFonts w:ascii="宋体" w:hAnsi="宋体" w:hint="eastAsia"/>
          <w:sz w:val="24"/>
          <w:szCs w:val="24"/>
          <w:shd w:val="clear" w:color="auto" w:fill="FFFFFF"/>
        </w:rPr>
        <w:t>现金管理类理财产品持有份额不低于20%投资者情况</w:t>
      </w:r>
      <w:bookmarkEnd w:id="32"/>
      <w:bookmarkEnd w:id="31"/>
    </w:p>
    <w:tbl>
      <w:tblPr>
        <w:tblStyle w:val="TableNormal"/>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3"/>
        <w:gridCol w:w="1701"/>
        <w:gridCol w:w="1649"/>
        <w:gridCol w:w="1809"/>
        <w:gridCol w:w="2070"/>
      </w:tblGrid>
      <w:tr w:rsidTr="00385672">
        <w:tblPrEx>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5"/>
          <w:jc w:val="center"/>
        </w:trPr>
        <w:tc>
          <w:tcPr>
            <w:tcW w:w="1413"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序号</w:t>
            </w:r>
          </w:p>
        </w:tc>
        <w:tc>
          <w:tcPr>
            <w:tcW w:w="1701"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投资者类别</w:t>
            </w:r>
          </w:p>
        </w:tc>
        <w:tc>
          <w:tcPr>
            <w:tcW w:w="1649"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期末持有份额（份）</w:t>
            </w:r>
          </w:p>
        </w:tc>
        <w:tc>
          <w:tcPr>
            <w:tcW w:w="1809"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占总份额比例（%）</w:t>
            </w:r>
          </w:p>
        </w:tc>
        <w:tc>
          <w:tcPr>
            <w:tcW w:w="2070" w:type="dxa"/>
            <w:shd w:val="clear" w:color="auto" w:fill="BFBFBF" w:themeFill="background1" w:themeFillShade="BF"/>
            <w:vAlign w:val="center"/>
          </w:tcPr>
          <w:p w:rsidR="000F7649" w:rsidRPr="00CA5A17" w:rsidP="000A36B9">
            <w:pPr>
              <w:widowControl/>
              <w:jc w:val="center"/>
              <w:rPr>
                <w:rFonts w:ascii="宋体" w:hAnsi="宋体" w:cs="宋体"/>
                <w:b/>
                <w:szCs w:val="21"/>
              </w:rPr>
            </w:pPr>
            <w:r w:rsidRPr="00CA5A17">
              <w:rPr>
                <w:rFonts w:ascii="宋体" w:hAnsi="宋体" w:cs="宋体" w:hint="eastAsia"/>
                <w:b/>
                <w:szCs w:val="21"/>
              </w:rPr>
              <w:t>报告期内持有份额变化情况</w:t>
            </w:r>
          </w:p>
        </w:tc>
      </w:tr>
      <w:tr w:rsidTr="00385672">
        <w:tblPrEx>
          <w:tblW w:w="8642" w:type="dxa"/>
          <w:jc w:val="center"/>
          <w:tblLayout w:type="fixed"/>
          <w:tblLook w:val="04A0"/>
        </w:tblPrEx>
        <w:trPr>
          <w:trHeight w:val="285"/>
          <w:jc w:val="center"/>
        </w:trPr>
        <w:tc>
          <w:tcPr>
            <w:tcW w:w="141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701"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64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80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070"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E215B9" w:rsidP="00757F82"/>
    <w:p w:rsidR="0032309F" w:rsidRPr="00C01C40" w:rsidP="0032309F">
      <w:pPr>
        <w:jc w:val="right"/>
        <w:rPr>
          <w:rFonts w:ascii="宋体" w:hAnsi="宋体"/>
          <w:sz w:val="24"/>
          <w:szCs w:val="24"/>
        </w:rPr>
      </w:pPr>
      <w:r w:rsidRPr="00C01C40">
        <w:rPr>
          <w:sz w:val="24"/>
          <w:szCs w:val="24"/>
        </w:rPr>
        <w:t xml:space="preserve"> </w:t>
      </w:r>
      <w:r>
        <w:rPr>
          <w:rFonts w:ascii="宋体" w:eastAsia="宋体" w:hAnsi="宋体" w:cs="宋体"/>
          <w:b w:val="0"/>
          <w:i w:val="0"/>
          <w:color w:val="000000"/>
          <w:position w:val="-1"/>
          <w:sz w:val="24"/>
          <w:u w:val="none"/>
        </w:rPr>
        <w:t>招银理财有限责任公司</w:t>
      </w:r>
    </w:p>
    <w:p w:rsidR="00E35DF7" w:rsidRPr="00C01C40" w:rsidP="0032309F">
      <w:pPr>
        <w:jc w:val="right"/>
        <w:rPr>
          <w:rFonts w:ascii="宋体" w:hAnsi="宋体"/>
          <w:sz w:val="24"/>
          <w:szCs w:val="24"/>
        </w:rPr>
      </w:pPr>
      <w:r>
        <w:rPr>
          <w:rFonts w:ascii="宋体" w:eastAsia="宋体" w:hAnsi="宋体" w:cs="宋体"/>
          <w:b w:val="0"/>
          <w:i w:val="0"/>
          <w:color w:val="000000"/>
          <w:position w:val="-1"/>
          <w:sz w:val="24"/>
          <w:u w:val="none"/>
        </w:rPr>
        <w:t>2025年12月31日</w:t>
      </w:r>
    </w:p>
    <w:sectPr w:rsidSect="001C68D8">
      <w:headerReference w:type="default" r:id="rId5"/>
      <w:footerReference w:type="even" r:id="rId6"/>
      <w:footerReference w:type="default" r:id="rId7"/>
      <w:pgSz w:w="11906" w:h="16838"/>
      <w:pgMar w:top="1440" w:right="1418" w:bottom="1440" w:left="1418" w:header="851" w:footer="567"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彩虹小标宋">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pPr>
      <w:pStyle w:val="Footer"/>
      <w:framePr w:h="0" w:hRule="atLeast"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B326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rsidP="003C0BC7">
    <w:pPr>
      <w:pStyle w:val="Footer"/>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10</w:t>
    </w:r>
    <w:r>
      <w:rPr>
        <w:b/>
        <w:sz w:val="24"/>
        <w:szCs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rsidRPr="00BF4CF6" w:rsidP="00BF4CF6">
    <w:pPr>
      <w:pStyle w:val="Header"/>
      <w:jc w:val="left"/>
    </w:pPr>
    <w:r>
      <w:rPr>
        <w:rFonts w:ascii="宋体" w:eastAsia="宋体" w:hAnsi="宋体" w:cs="宋体"/>
        <w:b w:val="0"/>
        <w:i w:val="0"/>
        <w:color w:val="000000"/>
        <w:position w:val="-1"/>
        <w:u w:val="none"/>
      </w:rPr>
      <w:t>招银理财招赢日日金109号现金管理类理财计划2025年年度</w:t>
    </w:r>
    <w:r w:rsidR="005F5149">
      <w:rPr>
        <w:rFonts w:ascii="宋体" w:hAnsi="宋体" w:hint="eastAsia"/>
      </w:rPr>
      <w:t>报告（产品</w:t>
    </w:r>
    <w:r w:rsidRPr="00BF4CF6">
      <w:rPr>
        <w:rFonts w:ascii="宋体" w:hAnsi="宋体" w:hint="eastAsia"/>
      </w:rPr>
      <w:t>代码：</w:t>
    </w:r>
    <w:r>
      <w:rPr>
        <w:rFonts w:ascii="宋体" w:eastAsia="宋体" w:hAnsi="宋体" w:cs="宋体"/>
        <w:b w:val="0"/>
        <w:i w:val="0"/>
        <w:color w:val="000000"/>
        <w:position w:val="-1"/>
        <w:u w:val="none"/>
      </w:rPr>
      <w:t>8109</w:t>
    </w:r>
    <w:r w:rsidRPr="00BF4CF6">
      <w:rPr>
        <w:rFonts w:ascii="宋体" w:hAnsi="宋体"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2"/>
    <w:multiLevelType w:val="multilevel"/>
    <w:tmpl w:val="00000002"/>
    <w:lvl w:ilvl="0">
      <w:start w:val="1"/>
      <w:numFmt w:val="decimal"/>
      <w:pStyle w:val="115"/>
      <w:lvlText w:val="%1）"/>
      <w:lvlJc w:val="left"/>
      <w:pPr>
        <w:tabs>
          <w:tab w:val="num" w:pos="360"/>
        </w:tabs>
        <w:ind w:left="360" w:hanging="360"/>
      </w:pPr>
      <w:rPr>
        <w:rFonts w:hint="default"/>
      </w:rPr>
    </w:lvl>
    <w:lvl w:ilvl="1">
      <w:start w:val="1"/>
      <w:numFmt w:val="lowerLetter"/>
      <w:pStyle w:val="2111111"/>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B"/>
    <w:multiLevelType w:val="multilevel"/>
    <w:tmpl w:val="0000000B"/>
    <w:lvl w:ilvl="0">
      <w:start w:val="1"/>
      <w:numFmt w:val="decimal"/>
      <w:pStyle w:val="CharCharCharCharCharCharCharCharChar"/>
      <w:lvlText w:val="%1、"/>
      <w:lvlJc w:val="left"/>
      <w:pPr>
        <w:tabs>
          <w:tab w:val="num" w:pos="780"/>
        </w:tabs>
        <w:ind w:left="780" w:hanging="360"/>
      </w:pPr>
      <w:rPr>
        <w:rFonts w:hint="default"/>
        <w:color w:val="0000FF"/>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051114A2"/>
    <w:multiLevelType w:val="multilevel"/>
    <w:tmpl w:val="051114A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5AE0390"/>
    <w:multiLevelType w:val="hybridMultilevel"/>
    <w:tmpl w:val="ED961BE0"/>
    <w:lvl w:ilvl="0">
      <w:start w:val="1"/>
      <w:numFmt w:val="decimalEnclosedCircl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07230AF3"/>
    <w:multiLevelType w:val="hybridMultilevel"/>
    <w:tmpl w:val="6EC041A2"/>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103A36CE"/>
    <w:multiLevelType w:val="hybridMultilevel"/>
    <w:tmpl w:val="FBCEA0E4"/>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10F41FCB"/>
    <w:multiLevelType w:val="hybridMultilevel"/>
    <w:tmpl w:val="9D64A39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11D5526B"/>
    <w:multiLevelType w:val="hybridMultilevel"/>
    <w:tmpl w:val="4B22F04A"/>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1CBE6AA2"/>
    <w:multiLevelType w:val="hybridMultilevel"/>
    <w:tmpl w:val="2E2E253C"/>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2E8D0ABB"/>
    <w:multiLevelType w:val="hybridMultilevel"/>
    <w:tmpl w:val="3366504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321C1DE2"/>
    <w:multiLevelType w:val="hybridMultilevel"/>
    <w:tmpl w:val="22265DC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3ADF2A51"/>
    <w:multiLevelType w:val="hybridMultilevel"/>
    <w:tmpl w:val="29C617B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4C0F2D0C"/>
    <w:multiLevelType w:val="hybridMultilevel"/>
    <w:tmpl w:val="A38A8BA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4F4C6682"/>
    <w:multiLevelType w:val="hybridMultilevel"/>
    <w:tmpl w:val="68726F1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534A7AFE"/>
    <w:multiLevelType w:val="hybridMultilevel"/>
    <w:tmpl w:val="95F09A60"/>
    <w:lvl w:ilvl="0">
      <w:start w:val="1"/>
      <w:numFmt w:val="decimal"/>
      <w:lvlText w:val="%1、"/>
      <w:lvlJc w:val="left"/>
      <w:pPr>
        <w:ind w:left="786" w:hanging="360"/>
      </w:pPr>
      <w:rPr>
        <w:rFonts w:hint="default"/>
      </w:r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15">
    <w:nsid w:val="65D27ECA"/>
    <w:multiLevelType w:val="hybridMultilevel"/>
    <w:tmpl w:val="923A27B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1"/>
  </w:num>
  <w:num w:numId="3">
    <w:abstractNumId w:val="7"/>
  </w:num>
  <w:num w:numId="4">
    <w:abstractNumId w:val="2"/>
  </w:num>
  <w:num w:numId="5">
    <w:abstractNumId w:val="8"/>
  </w:num>
  <w:num w:numId="6">
    <w:abstractNumId w:val="3"/>
  </w:num>
  <w:num w:numId="7">
    <w:abstractNumId w:val="5"/>
  </w:num>
  <w:num w:numId="8">
    <w:abstractNumId w:val="15"/>
  </w:num>
  <w:num w:numId="9">
    <w:abstractNumId w:val="14"/>
  </w:num>
  <w:num w:numId="10">
    <w:abstractNumId w:val="11"/>
  </w:num>
  <w:num w:numId="11">
    <w:abstractNumId w:val="13"/>
  </w:num>
  <w:num w:numId="12">
    <w:abstractNumId w:val="12"/>
  </w:num>
  <w:num w:numId="13">
    <w:abstractNumId w:val="9"/>
  </w:num>
  <w:num w:numId="14">
    <w:abstractNumId w:val="4"/>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AC4F90"/>
    <w:pPr>
      <w:widowControl w:val="0"/>
      <w:jc w:val="both"/>
    </w:pPr>
    <w:rPr>
      <w:kern w:val="2"/>
      <w:sz w:val="21"/>
    </w:rPr>
  </w:style>
  <w:style w:type="paragraph" w:styleId="Heading1">
    <w:name w:val="heading 1"/>
    <w:basedOn w:val="Normal"/>
    <w:next w:val="Normal"/>
    <w:link w:val="10"/>
    <w:qFormat/>
    <w:rsid w:val="00AC4F90"/>
    <w:pPr>
      <w:keepNext/>
      <w:keepLines/>
      <w:spacing w:before="340" w:after="330" w:line="576" w:lineRule="auto"/>
      <w:outlineLvl w:val="0"/>
    </w:pPr>
    <w:rPr>
      <w:b/>
      <w:kern w:val="44"/>
      <w:sz w:val="44"/>
    </w:rPr>
  </w:style>
  <w:style w:type="paragraph" w:styleId="Heading2">
    <w:name w:val="heading 2"/>
    <w:basedOn w:val="Normal"/>
    <w:next w:val="Normal"/>
    <w:link w:val="2"/>
    <w:qFormat/>
    <w:rsid w:val="003F7FB0"/>
    <w:pPr>
      <w:keepNext/>
      <w:keepLines/>
      <w:spacing w:before="260" w:after="260" w:line="413" w:lineRule="auto"/>
      <w:outlineLvl w:val="1"/>
    </w:pPr>
    <w:rPr>
      <w:rFonts w:ascii="宋体" w:hAnsi="宋体"/>
      <w:b/>
      <w:sz w:val="26"/>
    </w:rPr>
  </w:style>
  <w:style w:type="paragraph" w:styleId="Heading3">
    <w:name w:val="heading 3"/>
    <w:basedOn w:val="Normal"/>
    <w:next w:val="Normal"/>
    <w:link w:val="30"/>
    <w:qFormat/>
    <w:rsid w:val="003F7FB0"/>
    <w:pPr>
      <w:keepNext/>
      <w:keepLines/>
      <w:spacing w:before="260" w:after="260" w:line="413" w:lineRule="auto"/>
      <w:outlineLvl w:val="2"/>
    </w:pPr>
    <w:rPr>
      <w:rFonts w:ascii="宋体" w:hAnsi="宋体"/>
      <w:b/>
      <w:sz w:val="26"/>
    </w:rPr>
  </w:style>
  <w:style w:type="paragraph" w:styleId="Heading4">
    <w:name w:val="heading 4"/>
    <w:basedOn w:val="Normal"/>
    <w:next w:val="Normal"/>
    <w:qFormat/>
    <w:rsid w:val="00AC4F90"/>
    <w:pPr>
      <w:keepNext/>
      <w:keepLines/>
      <w:spacing w:before="280" w:after="290" w:line="372" w:lineRule="auto"/>
      <w:outlineLvl w:val="3"/>
    </w:pPr>
    <w:rPr>
      <w:rFonts w:ascii="Arial" w:eastAsia="黑体" w:hAnsi="Arial"/>
      <w:b/>
      <w:sz w:val="28"/>
    </w:rPr>
  </w:style>
  <w:style w:type="paragraph" w:styleId="Heading5">
    <w:name w:val="heading 5"/>
    <w:basedOn w:val="Normal"/>
    <w:next w:val="Normal"/>
    <w:qFormat/>
    <w:rsid w:val="00AC4F90"/>
    <w:pPr>
      <w:keepNext/>
      <w:keepLines/>
      <w:spacing w:before="280" w:after="290" w:line="372" w:lineRule="auto"/>
      <w:outlineLvl w:val="4"/>
    </w:pPr>
    <w:rPr>
      <w:b/>
      <w:sz w:val="28"/>
    </w:rPr>
  </w:style>
  <w:style w:type="paragraph" w:styleId="Heading6">
    <w:name w:val="heading 6"/>
    <w:basedOn w:val="Normal"/>
    <w:next w:val="Normal"/>
    <w:qFormat/>
    <w:rsid w:val="00AC4F90"/>
    <w:pPr>
      <w:keepNext/>
      <w:keepLines/>
      <w:spacing w:before="240" w:after="64" w:line="317" w:lineRule="auto"/>
      <w:ind w:left="851" w:firstLine="200" w:firstLineChars="200"/>
      <w:outlineLvl w:val="5"/>
    </w:pPr>
    <w:rPr>
      <w:rFonts w:ascii="Arial" w:eastAsia="黑体" w:hAnsi="Arial"/>
      <w:b/>
      <w:sz w:val="24"/>
    </w:rPr>
  </w:style>
  <w:style w:type="paragraph" w:styleId="Heading7">
    <w:name w:val="heading 7"/>
    <w:basedOn w:val="Normal"/>
    <w:next w:val="Normal"/>
    <w:qFormat/>
    <w:rsid w:val="00AC4F90"/>
    <w:pPr>
      <w:keepNext/>
      <w:keepLines/>
      <w:spacing w:before="240" w:after="64" w:line="317" w:lineRule="auto"/>
      <w:ind w:left="851" w:firstLine="200" w:firstLineChars="200"/>
      <w:outlineLvl w:val="6"/>
    </w:pPr>
    <w:rPr>
      <w:b/>
      <w:sz w:val="24"/>
    </w:rPr>
  </w:style>
  <w:style w:type="paragraph" w:styleId="Heading8">
    <w:name w:val="heading 8"/>
    <w:basedOn w:val="Normal"/>
    <w:next w:val="Normal"/>
    <w:qFormat/>
    <w:rsid w:val="00AC4F90"/>
    <w:pPr>
      <w:keepNext/>
      <w:keepLines/>
      <w:spacing w:before="240" w:after="64" w:line="317" w:lineRule="auto"/>
      <w:ind w:left="851" w:firstLine="200" w:firstLineChars="200"/>
      <w:outlineLvl w:val="7"/>
    </w:pPr>
    <w:rPr>
      <w:rFonts w:ascii="Arial" w:eastAsia="黑体" w:hAnsi="Arial"/>
      <w:sz w:val="24"/>
    </w:rPr>
  </w:style>
  <w:style w:type="paragraph" w:styleId="Heading9">
    <w:name w:val="heading 9"/>
    <w:basedOn w:val="Normal"/>
    <w:next w:val="Normal"/>
    <w:qFormat/>
    <w:rsid w:val="00AC4F90"/>
    <w:pPr>
      <w:keepNext/>
      <w:keepLines/>
      <w:spacing w:before="240" w:after="64" w:line="317" w:lineRule="auto"/>
      <w:ind w:left="851" w:firstLine="200" w:firstLineChars="200"/>
      <w:outlineLvl w:val="8"/>
    </w:pPr>
    <w:rPr>
      <w:rFonts w:ascii="Arial" w:eastAsia="黑体"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正文文本 字符"/>
    <w:link w:val="BodyText"/>
    <w:rsid w:val="00AC4F90"/>
    <w:rPr>
      <w:rFonts w:ascii="仿宋_GB2312" w:eastAsia="仿宋_GB2312"/>
      <w:sz w:val="28"/>
      <w:lang w:val="en-US" w:eastAsia="zh-CN"/>
    </w:rPr>
  </w:style>
  <w:style w:type="character" w:customStyle="1" w:styleId="2CharCharChar">
    <w:name w:val="标题 2 Char Char Char"/>
    <w:rsid w:val="00AC4F90"/>
    <w:rPr>
      <w:rFonts w:ascii="Arial" w:eastAsia="宋体" w:hAnsi="Arial"/>
      <w:b/>
      <w:kern w:val="2"/>
      <w:sz w:val="28"/>
      <w:lang w:val="en-US" w:eastAsia="zh-CN"/>
    </w:rPr>
  </w:style>
  <w:style w:type="character" w:customStyle="1" w:styleId="a0">
    <w:name w:val="批注文字 字符"/>
    <w:link w:val="CommentText"/>
    <w:uiPriority w:val="99"/>
    <w:qFormat/>
    <w:rsid w:val="00AC4F90"/>
    <w:rPr>
      <w:rFonts w:eastAsia="宋体"/>
      <w:kern w:val="2"/>
      <w:sz w:val="21"/>
      <w:lang w:val="en-US" w:eastAsia="zh-CN"/>
    </w:rPr>
  </w:style>
  <w:style w:type="character" w:styleId="FootnoteReference">
    <w:name w:val="footnote reference"/>
    <w:uiPriority w:val="99"/>
    <w:rsid w:val="00AC4F90"/>
    <w:rPr>
      <w:vertAlign w:val="superscript"/>
    </w:rPr>
  </w:style>
  <w:style w:type="character" w:customStyle="1" w:styleId="a1">
    <w:name w:val="已访问的超链接"/>
    <w:rsid w:val="00AC4F90"/>
    <w:rPr>
      <w:color w:val="800080"/>
      <w:u w:val="single"/>
    </w:rPr>
  </w:style>
  <w:style w:type="character" w:customStyle="1" w:styleId="afont1">
    <w:name w:val="afont1"/>
    <w:rsid w:val="00AC4F90"/>
    <w:rPr>
      <w:rFonts w:ascii="Arial Narrow" w:hAnsi="Arial Narrow" w:hint="default"/>
      <w:sz w:val="21"/>
    </w:rPr>
  </w:style>
  <w:style w:type="character" w:styleId="Hyperlink">
    <w:name w:val="Hyperlink"/>
    <w:uiPriority w:val="99"/>
    <w:rsid w:val="00AC4F90"/>
    <w:rPr>
      <w:color w:val="0000FF"/>
      <w:u w:val="single"/>
    </w:rPr>
  </w:style>
  <w:style w:type="character" w:customStyle="1" w:styleId="2">
    <w:name w:val="标题 2 字符"/>
    <w:link w:val="Heading2"/>
    <w:rsid w:val="003F7FB0"/>
    <w:rPr>
      <w:rFonts w:ascii="宋体" w:hAnsi="宋体"/>
      <w:b/>
      <w:kern w:val="2"/>
      <w:sz w:val="26"/>
    </w:rPr>
  </w:style>
  <w:style w:type="character" w:styleId="PageNumber">
    <w:name w:val="page number"/>
    <w:basedOn w:val="DefaultParagraphFont"/>
    <w:rsid w:val="00AC4F90"/>
  </w:style>
  <w:style w:type="character" w:customStyle="1" w:styleId="CharCharCharCharCharCharCharChar">
    <w:name w:val="正文文字 Char Char Char Char Char Char Char Char"/>
    <w:aliases w:val="正文文本1,正文文本2,正文文本3"/>
    <w:rsid w:val="00AC4F90"/>
    <w:rPr>
      <w:rFonts w:ascii="仿宋_GB2312" w:eastAsia="仿宋_GB2312"/>
      <w:sz w:val="28"/>
      <w:lang w:val="en-US" w:eastAsia="zh-CN"/>
    </w:rPr>
  </w:style>
  <w:style w:type="character" w:styleId="Strong">
    <w:name w:val="Strong"/>
    <w:uiPriority w:val="22"/>
    <w:qFormat/>
    <w:rsid w:val="00AC4F90"/>
    <w:rPr>
      <w:b/>
    </w:rPr>
  </w:style>
  <w:style w:type="character" w:styleId="CommentReference">
    <w:name w:val="annotation reference"/>
    <w:uiPriority w:val="99"/>
    <w:rsid w:val="00AC4F90"/>
    <w:rPr>
      <w:sz w:val="21"/>
    </w:rPr>
  </w:style>
  <w:style w:type="paragraph" w:styleId="DocumentMap">
    <w:name w:val="Document Map"/>
    <w:basedOn w:val="Normal"/>
    <w:rsid w:val="00AC4F90"/>
    <w:pPr>
      <w:shd w:val="clear" w:color="auto" w:fill="000080"/>
    </w:pPr>
  </w:style>
  <w:style w:type="paragraph" w:styleId="BalloonText">
    <w:name w:val="Balloon Text"/>
    <w:basedOn w:val="Normal"/>
    <w:rsid w:val="00AC4F90"/>
    <w:rPr>
      <w:sz w:val="18"/>
    </w:rPr>
  </w:style>
  <w:style w:type="paragraph" w:customStyle="1" w:styleId="115">
    <w:name w:val="样式 标题 1 + 段前: 1.5 行"/>
    <w:basedOn w:val="Normal"/>
    <w:rsid w:val="00AC4F90"/>
    <w:pPr>
      <w:numPr>
        <w:numId w:val="1"/>
      </w:numPr>
      <w:tabs>
        <w:tab w:val="left" w:pos="360"/>
      </w:tabs>
    </w:pPr>
    <w:rPr>
      <w:sz w:val="24"/>
    </w:rPr>
  </w:style>
  <w:style w:type="paragraph" w:customStyle="1" w:styleId="CharChar2">
    <w:name w:val="Char Char2"/>
    <w:basedOn w:val="Normal"/>
    <w:rsid w:val="00AC4F90"/>
    <w:pPr>
      <w:autoSpaceDE w:val="0"/>
      <w:autoSpaceDN w:val="0"/>
      <w:adjustRightInd w:val="0"/>
      <w:jc w:val="left"/>
      <w:textAlignment w:val="baseline"/>
    </w:pPr>
    <w:rPr>
      <w:rFonts w:ascii="宋体"/>
      <w:kern w:val="0"/>
      <w:sz w:val="34"/>
    </w:rPr>
  </w:style>
  <w:style w:type="paragraph" w:customStyle="1" w:styleId="xl33">
    <w:name w:val="xl33"/>
    <w:basedOn w:val="Normal"/>
    <w:rsid w:val="00AC4F90"/>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4"/>
    </w:rPr>
  </w:style>
  <w:style w:type="paragraph" w:customStyle="1" w:styleId="Char">
    <w:name w:val="Char"/>
    <w:basedOn w:val="Normal"/>
    <w:rsid w:val="00AC4F90"/>
  </w:style>
  <w:style w:type="paragraph" w:customStyle="1" w:styleId="a2">
    <w:name w:val="简单回函地址"/>
    <w:basedOn w:val="Normal"/>
    <w:rsid w:val="00AC4F90"/>
  </w:style>
  <w:style w:type="paragraph" w:styleId="NormalWeb">
    <w:name w:val="Normal (Web)"/>
    <w:basedOn w:val="Normal"/>
    <w:uiPriority w:val="99"/>
    <w:rsid w:val="00AC4F90"/>
    <w:pPr>
      <w:widowControl/>
      <w:spacing w:before="100" w:beforeAutospacing="1" w:after="100" w:afterAutospacing="1"/>
      <w:jc w:val="left"/>
    </w:pPr>
    <w:rPr>
      <w:rFonts w:ascii="宋体" w:hAnsi="宋体"/>
      <w:kern w:val="0"/>
      <w:sz w:val="24"/>
    </w:rPr>
  </w:style>
  <w:style w:type="paragraph" w:styleId="TOC1">
    <w:name w:val="toc 1"/>
    <w:basedOn w:val="Normal"/>
    <w:next w:val="Normal"/>
    <w:uiPriority w:val="39"/>
    <w:rsid w:val="00AC4F90"/>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AC4F90"/>
    <w:pPr>
      <w:widowControl/>
      <w:spacing w:after="160" w:line="240" w:lineRule="exact"/>
      <w:jc w:val="left"/>
    </w:pPr>
    <w:rPr>
      <w:rFonts w:ascii="Verdana" w:eastAsia="Times New Roman" w:hAnsi="Verdana"/>
      <w:kern w:val="0"/>
      <w:sz w:val="20"/>
      <w:lang w:eastAsia="en-US"/>
    </w:rPr>
  </w:style>
  <w:style w:type="paragraph" w:customStyle="1" w:styleId="CharCharCharChar">
    <w:name w:val="Char Char Char Char"/>
    <w:basedOn w:val="Normal"/>
    <w:rsid w:val="00AC4F90"/>
    <w:pPr>
      <w:tabs>
        <w:tab w:val="left" w:pos="840"/>
      </w:tabs>
      <w:adjustRightInd w:val="0"/>
      <w:spacing w:line="360" w:lineRule="atLeast"/>
      <w:ind w:left="840" w:hanging="360"/>
      <w:textAlignment w:val="baseline"/>
    </w:pPr>
    <w:rPr>
      <w:sz w:val="24"/>
    </w:rPr>
  </w:style>
  <w:style w:type="paragraph" w:customStyle="1" w:styleId="Style22">
    <w:name w:val="_Style 22"/>
    <w:basedOn w:val="Normal"/>
    <w:rsid w:val="00AC4F90"/>
    <w:pPr>
      <w:autoSpaceDE w:val="0"/>
      <w:autoSpaceDN w:val="0"/>
      <w:adjustRightInd w:val="0"/>
      <w:jc w:val="left"/>
      <w:textAlignment w:val="baseline"/>
    </w:pPr>
  </w:style>
  <w:style w:type="paragraph" w:customStyle="1" w:styleId="FormLabel">
    <w:name w:val="Form Label"/>
    <w:basedOn w:val="Normal"/>
    <w:rsid w:val="00AC4F90"/>
    <w:pPr>
      <w:widowControl/>
      <w:spacing w:line="280" w:lineRule="exact"/>
      <w:jc w:val="left"/>
    </w:pPr>
    <w:rPr>
      <w:kern w:val="0"/>
      <w:sz w:val="18"/>
      <w:lang w:val="en-GB" w:eastAsia="en-US"/>
    </w:rPr>
  </w:style>
  <w:style w:type="paragraph" w:customStyle="1" w:styleId="CharCharCharCharCharCharCharCharChar">
    <w:name w:val="Char Char Char Char Char Char Char Char Char"/>
    <w:basedOn w:val="Normal"/>
    <w:rsid w:val="00AC4F90"/>
    <w:pPr>
      <w:numPr>
        <w:numId w:val="2"/>
      </w:numPr>
      <w:tabs>
        <w:tab w:val="left" w:pos="780"/>
      </w:tabs>
    </w:pPr>
    <w:rPr>
      <w:sz w:val="24"/>
    </w:rPr>
  </w:style>
  <w:style w:type="paragraph" w:customStyle="1" w:styleId="Char1CharCharCharChar">
    <w:name w:val="Char1 Char Char Char Char"/>
    <w:basedOn w:val="Normal"/>
    <w:rsid w:val="00AC4F90"/>
    <w:pPr>
      <w:widowControl/>
      <w:spacing w:after="160" w:line="240" w:lineRule="exact"/>
      <w:jc w:val="left"/>
    </w:pPr>
    <w:rPr>
      <w:rFonts w:ascii="Verdana" w:hAnsi="Verdana"/>
      <w:kern w:val="0"/>
      <w:sz w:val="20"/>
      <w:lang w:eastAsia="en-US"/>
    </w:rPr>
  </w:style>
  <w:style w:type="paragraph" w:customStyle="1" w:styleId="CharCharCharCharCharChar1CharCharChar">
    <w:name w:val="Char Char Char Char Char Char1 Char Char Char"/>
    <w:basedOn w:val="Normal"/>
    <w:rsid w:val="00AC4F90"/>
    <w:pPr>
      <w:autoSpaceDE w:val="0"/>
      <w:autoSpaceDN w:val="0"/>
      <w:adjustRightInd w:val="0"/>
      <w:jc w:val="left"/>
      <w:textAlignment w:val="baseline"/>
    </w:pPr>
    <w:rPr>
      <w:rFonts w:ascii="宋体"/>
      <w:kern w:val="0"/>
      <w:sz w:val="34"/>
    </w:rPr>
  </w:style>
  <w:style w:type="paragraph" w:styleId="CommentSubject">
    <w:name w:val="annotation subject"/>
    <w:basedOn w:val="CommentText"/>
    <w:next w:val="CommentText"/>
    <w:rsid w:val="00AC4F90"/>
    <w:rPr>
      <w:b/>
    </w:rPr>
  </w:style>
  <w:style w:type="paragraph" w:styleId="BodyText2">
    <w:name w:val="Body Text 2"/>
    <w:basedOn w:val="Normal"/>
    <w:rsid w:val="00AC4F90"/>
    <w:pPr>
      <w:spacing w:after="120" w:line="480" w:lineRule="auto"/>
    </w:pPr>
  </w:style>
  <w:style w:type="paragraph" w:customStyle="1" w:styleId="2111111">
    <w:name w:val="样式 样式 样式 标题 2 + 段前: 1 行 段后: 1 行1 + 段前: 1 行 段后: 1 行 + 段前: 1 行 段后..."/>
    <w:basedOn w:val="Normal"/>
    <w:rsid w:val="00AC4F90"/>
    <w:pPr>
      <w:keepNext/>
      <w:keepLines/>
      <w:numPr>
        <w:ilvl w:val="1"/>
        <w:numId w:val="1"/>
      </w:numPr>
      <w:tabs>
        <w:tab w:val="left" w:pos="840"/>
      </w:tabs>
      <w:spacing w:before="447" w:after="447"/>
      <w:outlineLvl w:val="1"/>
    </w:pPr>
    <w:rPr>
      <w:rFonts w:ascii="Arial" w:hAnsi="Arial"/>
      <w:b/>
      <w:sz w:val="28"/>
    </w:rPr>
  </w:style>
  <w:style w:type="paragraph" w:styleId="Header">
    <w:name w:val="header"/>
    <w:basedOn w:val="Normal"/>
    <w:rsid w:val="00AC4F90"/>
    <w:pPr>
      <w:pBdr>
        <w:bottom w:val="single" w:sz="6" w:space="1" w:color="auto"/>
      </w:pBdr>
      <w:tabs>
        <w:tab w:val="center" w:pos="4153"/>
        <w:tab w:val="right" w:pos="8306"/>
      </w:tabs>
      <w:snapToGrid w:val="0"/>
      <w:jc w:val="center"/>
    </w:pPr>
    <w:rPr>
      <w:sz w:val="18"/>
    </w:rPr>
  </w:style>
  <w:style w:type="paragraph" w:styleId="Date">
    <w:name w:val="Date"/>
    <w:basedOn w:val="Normal"/>
    <w:next w:val="Normal"/>
    <w:rsid w:val="00AC4F90"/>
    <w:rPr>
      <w:sz w:val="24"/>
    </w:rPr>
  </w:style>
  <w:style w:type="paragraph" w:styleId="FootnoteText">
    <w:name w:val="footnote text"/>
    <w:basedOn w:val="Normal"/>
    <w:link w:val="a5"/>
    <w:rsid w:val="00AC4F90"/>
    <w:pPr>
      <w:snapToGrid w:val="0"/>
      <w:jc w:val="left"/>
    </w:pPr>
    <w:rPr>
      <w:sz w:val="18"/>
    </w:rPr>
  </w:style>
  <w:style w:type="paragraph" w:customStyle="1" w:styleId="xl30">
    <w:name w:val="xl30"/>
    <w:basedOn w:val="Normal"/>
    <w:rsid w:val="00AC4F90"/>
    <w:pPr>
      <w:widowControl/>
      <w:spacing w:before="100" w:beforeAutospacing="1" w:after="100" w:afterAutospacing="1"/>
      <w:jc w:val="right"/>
    </w:pPr>
    <w:rPr>
      <w:rFonts w:eastAsia="Arial Unicode MS"/>
      <w:kern w:val="0"/>
    </w:rPr>
  </w:style>
  <w:style w:type="paragraph" w:customStyle="1" w:styleId="Char1">
    <w:name w:val="Char1"/>
    <w:basedOn w:val="Normal"/>
    <w:rsid w:val="00AC4F90"/>
  </w:style>
  <w:style w:type="paragraph" w:customStyle="1" w:styleId="Default">
    <w:name w:val="Default"/>
    <w:rsid w:val="00AC4F90"/>
    <w:pPr>
      <w:widowControl w:val="0"/>
      <w:autoSpaceDE w:val="0"/>
      <w:autoSpaceDN w:val="0"/>
      <w:adjustRightInd w:val="0"/>
    </w:pPr>
    <w:rPr>
      <w:rFonts w:ascii="宋体"/>
      <w:color w:val="000000"/>
      <w:sz w:val="24"/>
    </w:rPr>
  </w:style>
  <w:style w:type="paragraph" w:styleId="CommentText">
    <w:name w:val="annotation text"/>
    <w:basedOn w:val="Normal"/>
    <w:link w:val="a0"/>
    <w:uiPriority w:val="99"/>
    <w:qFormat/>
    <w:rsid w:val="00AC4F90"/>
    <w:pPr>
      <w:jc w:val="left"/>
    </w:pPr>
  </w:style>
  <w:style w:type="paragraph" w:customStyle="1" w:styleId="xl31">
    <w:name w:val="xl31"/>
    <w:basedOn w:val="Normal"/>
    <w:rsid w:val="00AC4F90"/>
    <w:pPr>
      <w:widowControl/>
      <w:spacing w:before="100" w:beforeAutospacing="1" w:after="100" w:afterAutospacing="1"/>
      <w:jc w:val="center"/>
      <w:textAlignment w:val="center"/>
    </w:pPr>
    <w:rPr>
      <w:rFonts w:ascii="宋体" w:hAnsi="宋体"/>
      <w:kern w:val="0"/>
      <w:sz w:val="24"/>
    </w:rPr>
  </w:style>
  <w:style w:type="paragraph" w:styleId="BodyText">
    <w:name w:val="Body Text"/>
    <w:basedOn w:val="Normal"/>
    <w:link w:val="a"/>
    <w:rsid w:val="00AC4F90"/>
    <w:pPr>
      <w:adjustRightInd w:val="0"/>
      <w:snapToGrid w:val="0"/>
      <w:spacing w:line="324" w:lineRule="auto"/>
      <w:ind w:right="28"/>
      <w:jc w:val="left"/>
    </w:pPr>
    <w:rPr>
      <w:rFonts w:ascii="仿宋_GB2312" w:eastAsia="仿宋_GB2312"/>
      <w:kern w:val="0"/>
      <w:sz w:val="28"/>
    </w:rPr>
  </w:style>
  <w:style w:type="paragraph" w:styleId="Footer">
    <w:name w:val="footer"/>
    <w:basedOn w:val="Normal"/>
    <w:link w:val="a3"/>
    <w:uiPriority w:val="99"/>
    <w:rsid w:val="00AC4F90"/>
    <w:pPr>
      <w:tabs>
        <w:tab w:val="center" w:pos="4153"/>
        <w:tab w:val="right" w:pos="8306"/>
      </w:tabs>
      <w:snapToGrid w:val="0"/>
      <w:jc w:val="left"/>
    </w:pPr>
    <w:rPr>
      <w:sz w:val="18"/>
    </w:rPr>
  </w:style>
  <w:style w:type="paragraph" w:styleId="TOC2">
    <w:name w:val="toc 2"/>
    <w:basedOn w:val="Normal"/>
    <w:next w:val="Normal"/>
    <w:uiPriority w:val="39"/>
    <w:rsid w:val="00AC4F90"/>
    <w:pPr>
      <w:ind w:left="420" w:leftChars="200"/>
    </w:pPr>
  </w:style>
  <w:style w:type="table" w:styleId="TableGrid">
    <w:name w:val="Table Grid"/>
    <w:basedOn w:val="TableNormal"/>
    <w:rsid w:val="00D00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C71A0"/>
    <w:pPr>
      <w:ind w:left="840" w:leftChars="400"/>
    </w:pPr>
    <w:rPr>
      <w:rFonts w:ascii="Calibri" w:hAnsi="Calibri"/>
      <w:szCs w:val="22"/>
    </w:rPr>
  </w:style>
  <w:style w:type="paragraph" w:styleId="TOC4">
    <w:name w:val="toc 4"/>
    <w:basedOn w:val="Normal"/>
    <w:next w:val="Normal"/>
    <w:autoRedefine/>
    <w:uiPriority w:val="39"/>
    <w:unhideWhenUsed/>
    <w:rsid w:val="00DC71A0"/>
    <w:pPr>
      <w:ind w:left="1260" w:leftChars="600"/>
    </w:pPr>
    <w:rPr>
      <w:rFonts w:ascii="Calibri" w:hAnsi="Calibri"/>
      <w:szCs w:val="22"/>
    </w:rPr>
  </w:style>
  <w:style w:type="paragraph" w:styleId="TOC5">
    <w:name w:val="toc 5"/>
    <w:basedOn w:val="Normal"/>
    <w:next w:val="Normal"/>
    <w:autoRedefine/>
    <w:uiPriority w:val="39"/>
    <w:unhideWhenUsed/>
    <w:rsid w:val="00DC71A0"/>
    <w:pPr>
      <w:ind w:left="1680" w:leftChars="800"/>
    </w:pPr>
    <w:rPr>
      <w:rFonts w:ascii="Calibri" w:hAnsi="Calibri"/>
      <w:szCs w:val="22"/>
    </w:rPr>
  </w:style>
  <w:style w:type="paragraph" w:styleId="TOC6">
    <w:name w:val="toc 6"/>
    <w:basedOn w:val="Normal"/>
    <w:next w:val="Normal"/>
    <w:autoRedefine/>
    <w:uiPriority w:val="39"/>
    <w:unhideWhenUsed/>
    <w:rsid w:val="00DC71A0"/>
    <w:pPr>
      <w:ind w:left="2100" w:leftChars="1000"/>
    </w:pPr>
    <w:rPr>
      <w:rFonts w:ascii="Calibri" w:hAnsi="Calibri"/>
      <w:szCs w:val="22"/>
    </w:rPr>
  </w:style>
  <w:style w:type="paragraph" w:styleId="TOC7">
    <w:name w:val="toc 7"/>
    <w:basedOn w:val="Normal"/>
    <w:next w:val="Normal"/>
    <w:autoRedefine/>
    <w:uiPriority w:val="39"/>
    <w:unhideWhenUsed/>
    <w:rsid w:val="00DC71A0"/>
    <w:pPr>
      <w:ind w:left="2520" w:leftChars="1200"/>
    </w:pPr>
    <w:rPr>
      <w:rFonts w:ascii="Calibri" w:hAnsi="Calibri"/>
      <w:szCs w:val="22"/>
    </w:rPr>
  </w:style>
  <w:style w:type="paragraph" w:styleId="TOC8">
    <w:name w:val="toc 8"/>
    <w:basedOn w:val="Normal"/>
    <w:next w:val="Normal"/>
    <w:autoRedefine/>
    <w:uiPriority w:val="39"/>
    <w:unhideWhenUsed/>
    <w:rsid w:val="00DC71A0"/>
    <w:pPr>
      <w:ind w:left="2940" w:leftChars="1400"/>
    </w:pPr>
    <w:rPr>
      <w:rFonts w:ascii="Calibri" w:hAnsi="Calibri"/>
      <w:szCs w:val="22"/>
    </w:rPr>
  </w:style>
  <w:style w:type="paragraph" w:styleId="TOC9">
    <w:name w:val="toc 9"/>
    <w:basedOn w:val="Normal"/>
    <w:next w:val="Normal"/>
    <w:autoRedefine/>
    <w:uiPriority w:val="39"/>
    <w:unhideWhenUsed/>
    <w:rsid w:val="00DC71A0"/>
    <w:pPr>
      <w:ind w:left="3360" w:leftChars="1600"/>
    </w:pPr>
    <w:rPr>
      <w:rFonts w:ascii="Calibri" w:hAnsi="Calibri"/>
      <w:szCs w:val="22"/>
    </w:rPr>
  </w:style>
  <w:style w:type="character" w:customStyle="1" w:styleId="10">
    <w:name w:val="标题 1 字符"/>
    <w:link w:val="Heading1"/>
    <w:rsid w:val="006515FF"/>
    <w:rPr>
      <w:b/>
      <w:kern w:val="44"/>
      <w:sz w:val="44"/>
    </w:rPr>
  </w:style>
  <w:style w:type="paragraph" w:styleId="ListParagraph">
    <w:name w:val="List Paragraph"/>
    <w:basedOn w:val="Normal"/>
    <w:uiPriority w:val="34"/>
    <w:qFormat/>
    <w:rsid w:val="008D034C"/>
    <w:pPr>
      <w:ind w:firstLine="420" w:firstLineChars="200"/>
    </w:pPr>
  </w:style>
  <w:style w:type="paragraph" w:styleId="Revision">
    <w:name w:val="Revision"/>
    <w:hidden/>
    <w:uiPriority w:val="71"/>
    <w:unhideWhenUsed/>
    <w:rsid w:val="0082197A"/>
    <w:rPr>
      <w:kern w:val="2"/>
      <w:sz w:val="21"/>
    </w:rPr>
  </w:style>
  <w:style w:type="paragraph" w:styleId="HTMLBottomofForm">
    <w:name w:val="HTML Bottom of Form"/>
    <w:basedOn w:val="Normal"/>
    <w:next w:val="Normal"/>
    <w:link w:val="z-"/>
    <w:hidden/>
    <w:uiPriority w:val="99"/>
    <w:semiHidden/>
    <w:unhideWhenUsed/>
    <w:rsid w:val="00F1715D"/>
    <w:pPr>
      <w:widowControl/>
      <w:pBdr>
        <w:top w:val="single" w:sz="6" w:space="1" w:color="auto"/>
      </w:pBdr>
      <w:jc w:val="center"/>
    </w:pPr>
    <w:rPr>
      <w:rFonts w:ascii="Arial" w:hAnsi="Arial"/>
      <w:vanish/>
      <w:kern w:val="0"/>
      <w:sz w:val="16"/>
      <w:szCs w:val="16"/>
    </w:rPr>
  </w:style>
  <w:style w:type="character" w:customStyle="1" w:styleId="z-">
    <w:name w:val="z-窗体底端 字符"/>
    <w:link w:val="HTMLBottomofForm"/>
    <w:uiPriority w:val="99"/>
    <w:semiHidden/>
    <w:rsid w:val="00F1715D"/>
    <w:rPr>
      <w:rFonts w:ascii="Arial" w:hAnsi="Arial" w:cs="Arial"/>
      <w:vanish/>
      <w:sz w:val="16"/>
      <w:szCs w:val="16"/>
    </w:rPr>
  </w:style>
  <w:style w:type="paragraph" w:customStyle="1" w:styleId="CharCharCharCharCharCharCharCharCharCharCharChar">
    <w:name w:val="Char Char Char Char Char Char Char Char Char Char Char Char"/>
    <w:basedOn w:val="Normal"/>
    <w:rsid w:val="00461210"/>
    <w:pPr>
      <w:widowControl/>
      <w:spacing w:after="160" w:line="240" w:lineRule="exact"/>
      <w:jc w:val="left"/>
    </w:pPr>
    <w:rPr>
      <w:rFonts w:ascii="Tahoma" w:hAnsi="Tahoma" w:cs="Tahoma"/>
      <w:szCs w:val="21"/>
    </w:rPr>
  </w:style>
  <w:style w:type="character" w:customStyle="1" w:styleId="a3">
    <w:name w:val="页脚 字符"/>
    <w:link w:val="Footer"/>
    <w:uiPriority w:val="99"/>
    <w:rsid w:val="001C68D8"/>
    <w:rPr>
      <w:kern w:val="2"/>
      <w:sz w:val="18"/>
    </w:rPr>
  </w:style>
  <w:style w:type="paragraph" w:customStyle="1" w:styleId="p0">
    <w:name w:val="p0"/>
    <w:basedOn w:val="Normal"/>
    <w:rsid w:val="006647E8"/>
    <w:pPr>
      <w:widowControl/>
      <w:spacing w:before="100" w:beforeAutospacing="1" w:after="100" w:afterAutospacing="1"/>
      <w:jc w:val="left"/>
    </w:pPr>
    <w:rPr>
      <w:rFonts w:ascii="宋体" w:hAnsi="宋体" w:cs="宋体"/>
      <w:kern w:val="0"/>
      <w:sz w:val="24"/>
      <w:szCs w:val="24"/>
    </w:rPr>
  </w:style>
  <w:style w:type="character" w:customStyle="1" w:styleId="Char10">
    <w:name w:val="批注文字 Char1"/>
    <w:uiPriority w:val="99"/>
    <w:semiHidden/>
    <w:rsid w:val="003B30D4"/>
  </w:style>
  <w:style w:type="paragraph" w:styleId="EndnoteText">
    <w:name w:val="endnote text"/>
    <w:basedOn w:val="Normal"/>
    <w:link w:val="a4"/>
    <w:semiHidden/>
    <w:unhideWhenUsed/>
    <w:rsid w:val="00983A08"/>
    <w:pPr>
      <w:snapToGrid w:val="0"/>
      <w:jc w:val="left"/>
    </w:pPr>
  </w:style>
  <w:style w:type="character" w:customStyle="1" w:styleId="a4">
    <w:name w:val="尾注文本 字符"/>
    <w:link w:val="EndnoteText"/>
    <w:semiHidden/>
    <w:rsid w:val="00983A08"/>
    <w:rPr>
      <w:kern w:val="2"/>
      <w:sz w:val="21"/>
    </w:rPr>
  </w:style>
  <w:style w:type="character" w:styleId="EndnoteReference">
    <w:name w:val="endnote reference"/>
    <w:semiHidden/>
    <w:unhideWhenUsed/>
    <w:rsid w:val="00983A08"/>
    <w:rPr>
      <w:vertAlign w:val="superscript"/>
    </w:rPr>
  </w:style>
  <w:style w:type="character" w:customStyle="1" w:styleId="11">
    <w:name w:val="批注文字 字符1"/>
    <w:rsid w:val="00120F3B"/>
    <w:rPr>
      <w:kern w:val="2"/>
      <w:sz w:val="21"/>
    </w:rPr>
  </w:style>
  <w:style w:type="character" w:customStyle="1" w:styleId="30">
    <w:name w:val="标题 3 字符"/>
    <w:basedOn w:val="DefaultParagraphFont"/>
    <w:link w:val="Heading3"/>
    <w:rsid w:val="00F6717A"/>
    <w:rPr>
      <w:rFonts w:ascii="宋体" w:hAnsi="宋体"/>
      <w:b/>
      <w:kern w:val="2"/>
      <w:sz w:val="26"/>
    </w:rPr>
  </w:style>
  <w:style w:type="character" w:customStyle="1" w:styleId="a5">
    <w:name w:val="脚注文本 字符"/>
    <w:link w:val="FootnoteText"/>
    <w:rsid w:val="008D77ED"/>
    <w:rPr>
      <w:kern w:val="2"/>
      <w:sz w:val="18"/>
    </w:rPr>
  </w:style>
  <w:style w:type="character" w:customStyle="1" w:styleId="2Char">
    <w:name w:val="标题 2 Char"/>
    <w:rsid w:val="00CC32FE"/>
    <w:rPr>
      <w:rFonts w:ascii="Arial" w:eastAsia="黑体" w:hAnsi="Arial"/>
      <w:b/>
      <w:kern w:val="2"/>
      <w:sz w:val="32"/>
      <w:lang w:val="en-US" w:eastAsia="zh-CN"/>
    </w:rPr>
  </w:style>
  <w:style w:type="paragraph" w:customStyle="1" w:styleId="ccb">
    <w:name w:val="ccb正文"/>
    <w:basedOn w:val="Normal"/>
    <w:qFormat/>
    <w:rsid w:val="002F38A1"/>
    <w:pPr>
      <w:spacing w:line="360" w:lineRule="auto"/>
      <w:ind w:firstLine="560" w:firstLineChars="200"/>
    </w:pPr>
    <w:rPr>
      <w:rFonts w:ascii="彩虹小标宋" w:eastAsia="彩虹小标宋" w:hAnsi="宋体" w:cs="宋体"/>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no"?>
<Relationships xmlns="http://schemas.openxmlformats.org/package/2006/relationships">
<Relationship Id="rId1" Target="settings.xml" Type="http://schemas.openxmlformats.org/officeDocument/2006/relationships/settings"/>
<Relationship Id="rId10" Target="styles.xml" Type="http://schemas.openxmlformats.org/officeDocument/2006/relationships/styles"/>
<Relationship Id="rId2" Target="webSettings.xml" Type="http://schemas.openxmlformats.org/officeDocument/2006/relationships/webSettings"/>
<Relationship Id="rId3" Target="fontTable.xml" Type="http://schemas.openxmlformats.org/officeDocument/2006/relationships/fontTable"/>
<Relationship Id="rId4" Target="../customXml/item1.xml" Type="http://schemas.openxmlformats.org/officeDocument/2006/relationships/customXml"/>
<Relationship Id="rId5" Target="header1.xml" Type="http://schemas.openxmlformats.org/officeDocument/2006/relationships/header"/>
<Relationship Id="rId6" Target="footer1.xml" Type="http://schemas.openxmlformats.org/officeDocument/2006/relationships/footer"/>
<Relationship Id="rId7" Target="footer2.xml" Type="http://schemas.openxmlformats.org/officeDocument/2006/relationships/footer"/>
<Relationship Id="rId8" Target="theme/theme1.xml" Type="http://schemas.openxmlformats.org/officeDocument/2006/relationships/theme"/>
<Relationship Id="rId9" Target="numbering.xml" Type="http://schemas.openxmlformats.org/officeDocument/2006/relationships/numberi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21244-82CC-42CF-9E78-E0A6043CE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636</Words>
  <Characters>3630</Characters>
  <Application>Microsoft Office Word</Application>
  <DocSecurity>0</DocSecurity>
  <Lines>30</Lines>
  <Paragraphs>8</Paragraphs>
  <ScaleCrop>false</ScaleCrop>
  <Company>WwW.YlmF.CoM</Company>
  <LinksUpToDate>false</LinksUpToDate>
  <CharactersWithSpaces>4258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2025-06-12T12:14:00Z</dcterms:created>
  <dc:creator>CSRC</dc:creator>
  <cp:lastModifiedBy>胡伟</cp:lastModifiedBy>
  <cp:lastPrinted>2019-06-25T10:32:00Z</cp:lastPrinted>
  <dcterms:modified xsi:type="dcterms:W3CDTF">2025-06-12T12:14:00Z</dcterms:modified>
  <cp:revision>3</cp:revision>
</cp:coreProperties>
</file>