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AA68D">
      <w:pPr>
        <w:tabs>
          <w:tab w:val="left" w:pos="915"/>
          <w:tab w:val="center" w:pos="5273"/>
        </w:tabs>
        <w:spacing w:before="50"/>
        <w:jc w:val="center"/>
        <w:outlineLvl w:val="0"/>
        <w:rPr>
          <w:rFonts w:hint="eastAsia" w:ascii="黑体" w:hAnsi="Times New Roman" w:eastAsia="黑体" w:cs="Times New Roman"/>
          <w:b/>
          <w:bCs/>
          <w:color w:val="000000"/>
          <w:sz w:val="30"/>
          <w:szCs w:val="30"/>
        </w:rPr>
      </w:pPr>
      <w:r>
        <w:rPr>
          <w:rFonts w:hint="eastAsia" w:ascii="黑体" w:hAnsi="Times New Roman" w:eastAsia="黑体" w:cs="Times New Roman"/>
          <w:b/>
          <w:bCs/>
          <w:color w:val="000000"/>
          <w:sz w:val="30"/>
          <w:szCs w:val="30"/>
        </w:rPr>
        <w:t>北银理财京华远见春系列易淘金2号现金管理类理财产品</w:t>
      </w:r>
    </w:p>
    <w:p w14:paraId="348C67FA">
      <w:pPr>
        <w:tabs>
          <w:tab w:val="left" w:pos="915"/>
          <w:tab w:val="center" w:pos="5273"/>
        </w:tabs>
        <w:spacing w:before="50"/>
        <w:jc w:val="center"/>
        <w:outlineLvl w:val="0"/>
        <w:rPr>
          <w:rFonts w:ascii="黑体" w:hAnsi="Times New Roman" w:eastAsia="黑体" w:cs="Times New Roman"/>
          <w:b/>
          <w:bCs/>
          <w:color w:val="000000"/>
          <w:sz w:val="30"/>
          <w:szCs w:val="30"/>
        </w:rPr>
      </w:pPr>
      <w:r>
        <w:rPr>
          <w:rFonts w:hint="eastAsia" w:ascii="黑体" w:hAnsi="Times New Roman" w:eastAsia="黑体" w:cs="Times New Roman"/>
          <w:b/>
          <w:bCs/>
          <w:color w:val="000000"/>
          <w:sz w:val="30"/>
          <w:szCs w:val="30"/>
        </w:rPr>
        <w:t>（产品登记编码：Z7008923000177）</w:t>
      </w:r>
    </w:p>
    <w:p w14:paraId="01A179C1">
      <w:pPr>
        <w:tabs>
          <w:tab w:val="left" w:pos="915"/>
          <w:tab w:val="center" w:pos="5273"/>
        </w:tabs>
        <w:spacing w:before="50"/>
        <w:jc w:val="center"/>
        <w:outlineLvl w:val="0"/>
        <w:rPr>
          <w:rFonts w:ascii="宋体" w:hAnsi="宋体" w:eastAsia="宋体" w:cs="宋体"/>
          <w:b/>
          <w:color w:val="000000"/>
          <w:sz w:val="30"/>
          <w:szCs w:val="30"/>
        </w:rPr>
      </w:pPr>
      <w:r>
        <w:rPr>
          <w:rFonts w:hint="eastAsia" w:ascii="黑体" w:hAnsi="楷体" w:eastAsia="黑体" w:cs="Times New Roman"/>
          <w:b/>
          <w:color w:val="000000"/>
          <w:sz w:val="30"/>
          <w:szCs w:val="30"/>
        </w:rPr>
        <w:t>投资者权益须知（代销版本）</w:t>
      </w:r>
    </w:p>
    <w:p w14:paraId="62CEBD78">
      <w:pPr>
        <w:keepNext w:val="0"/>
        <w:keepLines w:val="0"/>
        <w:widowControl w:val="0"/>
        <w:suppressLineNumbers w:val="0"/>
        <w:autoSpaceDE w:val="0"/>
        <w:autoSpaceDN w:val="0"/>
        <w:adjustRightInd w:val="0"/>
        <w:spacing w:before="0" w:beforeAutospacing="0" w:after="0" w:afterAutospacing="0" w:line="360" w:lineRule="auto"/>
        <w:ind w:left="0" w:right="0"/>
        <w:jc w:val="both"/>
        <w:rPr>
          <w:rFonts w:hint="eastAsia" w:ascii="宋体" w:hAnsi="宋体" w:eastAsia="宋体" w:cs="宋体"/>
          <w:b/>
          <w:bCs w:val="0"/>
          <w:color w:val="000000"/>
          <w:kern w:val="2"/>
          <w:sz w:val="21"/>
          <w:szCs w:val="21"/>
        </w:rPr>
      </w:pPr>
      <w:r>
        <w:rPr>
          <w:rFonts w:hint="eastAsia" w:ascii="宋体" w:hAnsi="宋体" w:eastAsia="宋体" w:cs="宋体"/>
          <w:b/>
          <w:bCs w:val="0"/>
          <w:color w:val="000000"/>
          <w:kern w:val="2"/>
          <w:sz w:val="21"/>
          <w:szCs w:val="21"/>
          <w:lang w:val="en-US" w:eastAsia="zh-CN" w:bidi="ar"/>
        </w:rPr>
        <w:t>尊敬的投资者：</w:t>
      </w:r>
    </w:p>
    <w:p w14:paraId="5460FAFE">
      <w:pPr>
        <w:keepNext w:val="0"/>
        <w:keepLines w:val="0"/>
        <w:widowControl/>
        <w:suppressLineNumbers w:val="0"/>
        <w:autoSpaceDE w:val="0"/>
        <w:autoSpaceDN w:val="0"/>
        <w:adjustRightInd w:val="0"/>
        <w:spacing w:before="0" w:beforeAutospacing="0" w:after="0" w:afterAutospacing="0" w:line="360" w:lineRule="auto"/>
        <w:ind w:left="0" w:right="0" w:firstLine="422" w:firstLineChars="200"/>
        <w:jc w:val="left"/>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rPr>
        <w:t>理财非存款，产品有风险，投资须谨慎。北银理财有限责任公司（以下简称“北银理财”、“管理人”或“产品管理人”）作为本理财产品的管理人郑重提示您：《风险揭示书》、《理财产品投资协议书》、《理财产品说明书》、《投资者权益须知》和《销售（代理销售）协议书》等共同构成本理财产品完整的不可分割的理财产品销售文件。在选择购买本理财产品前，请注意投资风险，仔细阅读本理财产品销售文件，特别是加黑及加“★”标识、以及有关责任或权利限制的条款，了解本理财产品具体情况。</w:t>
      </w:r>
    </w:p>
    <w:p w14:paraId="11A7E1FC">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rPr>
        <w:t>为方便您办理理财业务，请仔细阅读以下内容。如对本理财产品销售文件或购买流程等有不明之处，请及时与代销机构相关人员进行咨询。在购买本理财产品后，请关注本理财产品的信息披露情况，及时获取相关信息。如对本理财产品有任何意见或建议，请关注产品管理人相关联络方式并予以反馈，或通过代销机构转达。</w:t>
      </w:r>
    </w:p>
    <w:p w14:paraId="33488074">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rPr>
        <w:t>投资者可依据该产品登记编码在“中国理财网”查询本理财产品信息，“中国理财网”网址：</w:t>
      </w:r>
      <w:r>
        <w:rPr>
          <w:rFonts w:hint="default" w:ascii="Times New Roman" w:hAnsi="Times New Roman" w:eastAsia="宋体" w:cs="Times New Roman"/>
          <w:kern w:val="2"/>
          <w:sz w:val="21"/>
          <w:szCs w:val="21"/>
          <w:lang w:val="en-US" w:eastAsia="zh-CN" w:bidi="ar"/>
        </w:rPr>
        <w:fldChar w:fldCharType="begin"/>
      </w:r>
      <w:r>
        <w:rPr>
          <w:rFonts w:hint="default" w:ascii="Times New Roman" w:hAnsi="Times New Roman" w:eastAsia="宋体" w:cs="Times New Roman"/>
          <w:kern w:val="2"/>
          <w:sz w:val="21"/>
          <w:szCs w:val="21"/>
          <w:lang w:val="en-US" w:eastAsia="zh-CN" w:bidi="ar"/>
        </w:rPr>
        <w:instrText xml:space="preserve"> HYPERLINK "http://www.chinawealth.com.cn。" </w:instrText>
      </w:r>
      <w:r>
        <w:rPr>
          <w:rFonts w:hint="default" w:ascii="Times New Roman" w:hAnsi="Times New Roman" w:eastAsia="宋体" w:cs="Times New Roman"/>
          <w:kern w:val="2"/>
          <w:sz w:val="21"/>
          <w:szCs w:val="21"/>
          <w:lang w:val="en-US" w:eastAsia="zh-CN" w:bidi="ar"/>
        </w:rPr>
        <w:fldChar w:fldCharType="separate"/>
      </w:r>
      <w:r>
        <w:rPr>
          <w:rStyle w:val="6"/>
          <w:rFonts w:hint="eastAsia" w:ascii="宋体" w:hAnsi="宋体" w:eastAsia="宋体" w:cs="宋体"/>
          <w:b/>
          <w:bCs/>
          <w:color w:val="000000"/>
          <w:u w:val="single"/>
        </w:rPr>
        <w:t>www.chinawealth.com.cn</w:t>
      </w:r>
      <w:r>
        <w:rPr>
          <w:rFonts w:hint="default" w:ascii="Times New Roman" w:hAnsi="Times New Roman" w:eastAsia="宋体" w:cs="Times New Roman"/>
          <w:kern w:val="2"/>
          <w:sz w:val="21"/>
          <w:szCs w:val="21"/>
          <w:lang w:val="en-US" w:eastAsia="zh-CN" w:bidi="ar"/>
        </w:rPr>
        <w:fldChar w:fldCharType="end"/>
      </w:r>
      <w:r>
        <w:rPr>
          <w:rFonts w:hint="eastAsia" w:ascii="宋体" w:hAnsi="宋体" w:eastAsia="宋体" w:cs="宋体"/>
          <w:b/>
          <w:bCs/>
          <w:color w:val="000000"/>
          <w:kern w:val="2"/>
          <w:sz w:val="21"/>
          <w:szCs w:val="21"/>
          <w:lang w:val="en-US" w:eastAsia="zh-CN" w:bidi="ar"/>
        </w:rPr>
        <w:t>。</w:t>
      </w:r>
    </w:p>
    <w:p w14:paraId="579D2762">
      <w:pPr>
        <w:keepNext w:val="0"/>
        <w:keepLines w:val="0"/>
        <w:widowControl w:val="0"/>
        <w:suppressLineNumbers w:val="0"/>
        <w:autoSpaceDE w:val="0"/>
        <w:autoSpaceDN w:val="0"/>
        <w:adjustRightInd w:val="0"/>
        <w:spacing w:before="0" w:beforeAutospacing="0" w:after="0" w:afterAutospacing="0" w:line="360" w:lineRule="auto"/>
        <w:ind w:left="0" w:right="0" w:firstLine="422" w:firstLineChars="200"/>
        <w:jc w:val="both"/>
        <w:outlineLvl w:val="0"/>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rPr>
        <w:t>一、投资者风险承受能力评估</w:t>
      </w:r>
    </w:p>
    <w:p w14:paraId="06448E2F">
      <w:pPr>
        <w:keepNext w:val="0"/>
        <w:keepLines w:val="0"/>
        <w:widowControl w:val="0"/>
        <w:suppressLineNumbers w:val="0"/>
        <w:adjustRightInd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一）本理财产品全部销售工作及投资者适当性评估由代销机构负责。投资者首次通过代销机构购买北银理财理财产品的，需要与代销机构签署相关理财产品销售文件，并须按照该理财产品销售文件约定在代销机构销售渠道进行风险承受能力评估，并对评估结果签字确认。</w:t>
      </w:r>
    </w:p>
    <w:p w14:paraId="6A32BEC3">
      <w:pPr>
        <w:keepNext w:val="0"/>
        <w:keepLines w:val="0"/>
        <w:widowControl w:val="0"/>
        <w:suppressLineNumbers w:val="0"/>
        <w:autoSpaceDE w:val="0"/>
        <w:autoSpaceDN w:val="0"/>
        <w:adjustRightInd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二）投资者风险承受能力评估结果有效期为一年，如投资者超过一年未进行风险承受能力评估或发生可能影响自身风险承受能力情况的，再次购买理财产品时须在理财产品代销机构营业场所（含电子渠道）完成风险承受能力的重新评估。</w:t>
      </w:r>
    </w:p>
    <w:p w14:paraId="2FA130C4">
      <w:pPr>
        <w:keepNext w:val="0"/>
        <w:keepLines w:val="0"/>
        <w:widowControl w:val="0"/>
        <w:suppressLineNumbers w:val="0"/>
        <w:autoSpaceDE w:val="0"/>
        <w:autoSpaceDN w:val="0"/>
        <w:adjustRightInd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（三）投资者风险承受能力评估流程</w:t>
      </w:r>
    </w:p>
    <w:p w14:paraId="1052B8B6">
      <w:pPr>
        <w:keepNext w:val="0"/>
        <w:keepLines w:val="0"/>
        <w:widowControl w:val="0"/>
        <w:suppressLineNumbers w:val="0"/>
        <w:autoSpaceDE w:val="0"/>
        <w:autoSpaceDN w:val="0"/>
        <w:adjustRightInd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1.投资者在理财产品代销机构营业场所（含电子渠道）进行风险承受能力评估；</w:t>
      </w:r>
    </w:p>
    <w:p w14:paraId="570E8241">
      <w:pPr>
        <w:keepNext w:val="0"/>
        <w:keepLines w:val="0"/>
        <w:widowControl w:val="0"/>
        <w:suppressLineNumbers w:val="0"/>
        <w:autoSpaceDE w:val="0"/>
        <w:autoSpaceDN w:val="0"/>
        <w:adjustRightInd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2.填写代销机构投资者风险承受能力测试问卷；</w:t>
      </w:r>
    </w:p>
    <w:p w14:paraId="7B4DB402">
      <w:pPr>
        <w:keepNext w:val="0"/>
        <w:keepLines w:val="0"/>
        <w:widowControl w:val="0"/>
        <w:suppressLineNumbers w:val="0"/>
        <w:autoSpaceDE w:val="0"/>
        <w:autoSpaceDN w:val="0"/>
        <w:adjustRightInd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3.生成相应的投资者风险承受能力评估结果；</w:t>
      </w:r>
    </w:p>
    <w:p w14:paraId="3E82EA0A">
      <w:pPr>
        <w:keepNext w:val="0"/>
        <w:keepLines w:val="0"/>
        <w:widowControl w:val="0"/>
        <w:suppressLineNumbers w:val="0"/>
        <w:autoSpaceDE w:val="0"/>
        <w:autoSpaceDN w:val="0"/>
        <w:adjustRightInd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4.投资者对评估结果进行确认。</w:t>
      </w:r>
    </w:p>
    <w:p w14:paraId="4AB15F0E">
      <w:pPr>
        <w:keepNext w:val="0"/>
        <w:keepLines w:val="0"/>
        <w:widowControl w:val="0"/>
        <w:numPr>
          <w:ilvl w:val="0"/>
          <w:numId w:val="1"/>
        </w:numPr>
        <w:suppressLineNumbers w:val="0"/>
        <w:autoSpaceDE w:val="0"/>
        <w:autoSpaceDN w:val="0"/>
        <w:adjustRightInd w:val="0"/>
        <w:spacing w:before="0" w:beforeAutospacing="0" w:after="0" w:afterAutospacing="0" w:line="360" w:lineRule="auto"/>
        <w:ind w:left="0" w:right="0" w:firstLine="42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风险承受能力评估结果将作为评价投资者是否适合购买理财产品的重要因素，风险承受能力评级越高适合购买的理财产品风险评级越高，适合购买的理财产品类型越丰富。 </w:t>
      </w:r>
    </w:p>
    <w:p w14:paraId="0CD73227">
      <w:pPr>
        <w:keepNext w:val="0"/>
        <w:keepLines w:val="0"/>
        <w:widowControl w:val="0"/>
        <w:suppressLineNumbers w:val="0"/>
        <w:autoSpaceDE w:val="0"/>
        <w:autoSpaceDN w:val="0"/>
        <w:adjustRightInd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五）代销机构应确保投资者的风险承受能力等级评估结果不低于本理财产品风险评级结果。代销过程中，代销机构可参考北银理财的产品风险评级结果，自行判断确定本理财产品的风险评级。当代销机构对本理财产品的风险评级结果与北银理财产品风险评级结果不一致的，代销机构应当采用较高风险等级的产品风险评级结果并予以披露。</w:t>
      </w:r>
    </w:p>
    <w:p w14:paraId="117BCE7A">
      <w:pPr>
        <w:keepNext w:val="0"/>
        <w:keepLines w:val="0"/>
        <w:widowControl w:val="0"/>
        <w:suppressLineNumbers w:val="0"/>
        <w:autoSpaceDE w:val="0"/>
        <w:autoSpaceDN w:val="0"/>
        <w:adjustRightInd w:val="0"/>
        <w:spacing w:before="0" w:beforeAutospacing="0" w:after="0" w:afterAutospacing="0" w:line="360" w:lineRule="auto"/>
        <w:ind w:left="0" w:right="0" w:firstLine="420"/>
        <w:jc w:val="both"/>
        <w:outlineLvl w:val="0"/>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rPr>
        <w:t>二、北银理财产品风险评级说明</w:t>
      </w:r>
    </w:p>
    <w:p w14:paraId="66218E85">
      <w:pPr>
        <w:pStyle w:val="3"/>
        <w:widowControl/>
        <w:spacing w:before="0" w:beforeAutospacing="1" w:line="360" w:lineRule="auto"/>
        <w:ind w:left="0" w:leftChars="0" w:right="0" w:firstLine="420" w:firstLineChars="20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（一）北银理财所对应的产品风险评级说明详见下表。</w:t>
      </w:r>
    </w:p>
    <w:tbl>
      <w:tblPr>
        <w:tblStyle w:val="4"/>
        <w:tblW w:w="940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612"/>
        <w:gridCol w:w="4395"/>
        <w:gridCol w:w="3402"/>
      </w:tblGrid>
      <w:tr w14:paraId="4BAED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1" w:hRule="atLeast"/>
        </w:trPr>
        <w:tc>
          <w:tcPr>
            <w:tcW w:w="1612" w:type="dxa"/>
            <w:tcBorders>
              <w:top w:val="single" w:color="auto" w:sz="4" w:space="0"/>
              <w:left w:val="single" w:color="auto" w:sz="4" w:space="0"/>
              <w:bottom w:val="single" w:color="auto" w:sz="4" w:space="0"/>
              <w:right w:val="single" w:color="auto" w:sz="4" w:space="0"/>
            </w:tcBorders>
            <w:shd w:val="clear" w:color="auto" w:fill="auto"/>
            <w:vAlign w:val="center"/>
          </w:tcPr>
          <w:p w14:paraId="16F7AA06">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产品风险评级</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center"/>
          </w:tcPr>
          <w:p w14:paraId="171014BB">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产品风险评级说明</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365B7A94">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目标客户类型</w:t>
            </w:r>
          </w:p>
        </w:tc>
      </w:tr>
      <w:tr w14:paraId="12C5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1612" w:type="dxa"/>
            <w:tcBorders>
              <w:top w:val="single" w:color="auto" w:sz="4" w:space="0"/>
              <w:left w:val="single" w:color="auto" w:sz="4" w:space="0"/>
              <w:bottom w:val="single" w:color="auto" w:sz="4" w:space="0"/>
              <w:right w:val="single" w:color="auto" w:sz="4" w:space="0"/>
            </w:tcBorders>
            <w:shd w:val="clear" w:color="auto" w:fill="auto"/>
            <w:vAlign w:val="center"/>
          </w:tcPr>
          <w:p w14:paraId="5A2D7477">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低风险产品（PR1）</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top"/>
          </w:tcPr>
          <w:p w14:paraId="084165FF">
            <w:pPr>
              <w:pStyle w:val="8"/>
              <w:widowControl/>
              <w:spacing w:line="360" w:lineRule="auto"/>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理财产品的总体风险低，净值波动小，理财投资本金遭受损失的可能性低。</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top"/>
          </w:tcPr>
          <w:p w14:paraId="4E70D0F5">
            <w:pPr>
              <w:pStyle w:val="8"/>
              <w:widowControl/>
              <w:spacing w:line="360" w:lineRule="auto"/>
              <w:jc w:val="both"/>
              <w:rPr>
                <w:rFonts w:hint="eastAsia" w:ascii="宋体" w:hAnsi="宋体" w:eastAsia="宋体" w:cs="宋体"/>
                <w:color w:val="000000"/>
                <w:sz w:val="21"/>
                <w:szCs w:val="21"/>
              </w:rPr>
            </w:pPr>
            <w:r>
              <w:rPr>
                <w:rFonts w:hint="eastAsia" w:ascii="宋体" w:hAnsi="宋体" w:eastAsia="宋体" w:cs="宋体"/>
                <w:color w:val="000000"/>
                <w:kern w:val="2"/>
                <w:sz w:val="21"/>
                <w:szCs w:val="21"/>
              </w:rPr>
              <w:t>投资者风险承受能力评估为：</w:t>
            </w:r>
            <w:r>
              <w:rPr>
                <w:rFonts w:hint="eastAsia" w:ascii="宋体" w:hAnsi="宋体" w:eastAsia="宋体" w:cs="宋体"/>
                <w:color w:val="000000"/>
                <w:sz w:val="21"/>
                <w:szCs w:val="21"/>
              </w:rPr>
              <w:t>谨慎型、稳健型、平衡型、进取型、激进型的投资者</w:t>
            </w:r>
          </w:p>
        </w:tc>
      </w:tr>
      <w:tr w14:paraId="4BAE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25" w:hRule="atLeast"/>
        </w:trPr>
        <w:tc>
          <w:tcPr>
            <w:tcW w:w="1612" w:type="dxa"/>
            <w:tcBorders>
              <w:top w:val="single" w:color="auto" w:sz="4" w:space="0"/>
              <w:left w:val="single" w:color="auto" w:sz="4" w:space="0"/>
              <w:bottom w:val="single" w:color="auto" w:sz="4" w:space="0"/>
              <w:right w:val="single" w:color="auto" w:sz="4" w:space="0"/>
            </w:tcBorders>
            <w:shd w:val="clear" w:color="auto" w:fill="auto"/>
            <w:vAlign w:val="center"/>
          </w:tcPr>
          <w:p w14:paraId="6A50D9B7">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较低风险产品（PR2）</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top"/>
          </w:tcPr>
          <w:p w14:paraId="18F7E669">
            <w:pPr>
              <w:keepNext w:val="0"/>
              <w:keepLines w:val="0"/>
              <w:widowControl w:val="0"/>
              <w:suppressLineNumbers w:val="0"/>
              <w:autoSpaceDE w:val="0"/>
              <w:autoSpaceDN w:val="0"/>
              <w:adjustRightInd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理财产品的总体风险较低，净值波动较小，理财投资本金遭受损失的可能性较低。</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top"/>
          </w:tcPr>
          <w:p w14:paraId="654A2249">
            <w:pPr>
              <w:pStyle w:val="8"/>
              <w:widowControl/>
              <w:spacing w:line="360" w:lineRule="auto"/>
              <w:jc w:val="both"/>
              <w:rPr>
                <w:rFonts w:hint="eastAsia" w:ascii="宋体" w:hAnsi="宋体" w:eastAsia="宋体" w:cs="宋体"/>
                <w:color w:val="000000"/>
                <w:sz w:val="21"/>
                <w:szCs w:val="21"/>
              </w:rPr>
            </w:pPr>
            <w:r>
              <w:rPr>
                <w:rFonts w:hint="eastAsia" w:ascii="宋体" w:hAnsi="宋体" w:eastAsia="宋体" w:cs="宋体"/>
                <w:color w:val="000000"/>
                <w:kern w:val="2"/>
                <w:sz w:val="21"/>
                <w:szCs w:val="21"/>
              </w:rPr>
              <w:t>投资者风险承受能力评估为：</w:t>
            </w:r>
            <w:r>
              <w:rPr>
                <w:rFonts w:hint="eastAsia" w:ascii="宋体" w:hAnsi="宋体" w:eastAsia="宋体" w:cs="宋体"/>
                <w:color w:val="000000"/>
                <w:sz w:val="21"/>
                <w:szCs w:val="21"/>
              </w:rPr>
              <w:t>稳健型、平衡型、进取型、激进型的投资者</w:t>
            </w:r>
          </w:p>
        </w:tc>
      </w:tr>
      <w:tr w14:paraId="75EA3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1612" w:type="dxa"/>
            <w:tcBorders>
              <w:top w:val="single" w:color="auto" w:sz="4" w:space="0"/>
              <w:left w:val="single" w:color="auto" w:sz="4" w:space="0"/>
              <w:bottom w:val="single" w:color="auto" w:sz="4" w:space="0"/>
              <w:right w:val="single" w:color="auto" w:sz="4" w:space="0"/>
            </w:tcBorders>
            <w:shd w:val="clear" w:color="auto" w:fill="auto"/>
            <w:vAlign w:val="center"/>
          </w:tcPr>
          <w:p w14:paraId="3C407378">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中等风险产品（PR3）</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top"/>
          </w:tcPr>
          <w:p w14:paraId="5A9BB44F">
            <w:pPr>
              <w:keepNext w:val="0"/>
              <w:keepLines w:val="0"/>
              <w:widowControl w:val="0"/>
              <w:suppressLineNumbers w:val="0"/>
              <w:autoSpaceDE w:val="0"/>
              <w:autoSpaceDN w:val="0"/>
              <w:adjustRightInd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理财产品的总体风险中等，净值波动较大，理财投资本金遭受损失的可能性较高。</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top"/>
          </w:tcPr>
          <w:p w14:paraId="51AD6E07">
            <w:pPr>
              <w:pStyle w:val="8"/>
              <w:widowControl/>
              <w:spacing w:line="360" w:lineRule="auto"/>
              <w:jc w:val="both"/>
              <w:rPr>
                <w:rFonts w:hint="eastAsia" w:ascii="宋体" w:hAnsi="宋体" w:eastAsia="宋体" w:cs="宋体"/>
                <w:color w:val="000000"/>
                <w:sz w:val="21"/>
                <w:szCs w:val="21"/>
              </w:rPr>
            </w:pPr>
            <w:r>
              <w:rPr>
                <w:rFonts w:hint="eastAsia" w:ascii="宋体" w:hAnsi="宋体" w:eastAsia="宋体" w:cs="宋体"/>
                <w:color w:val="000000"/>
                <w:kern w:val="2"/>
                <w:sz w:val="21"/>
                <w:szCs w:val="21"/>
              </w:rPr>
              <w:t>投资者风险承受能力评估为：</w:t>
            </w:r>
            <w:r>
              <w:rPr>
                <w:rFonts w:hint="eastAsia" w:ascii="宋体" w:hAnsi="宋体" w:eastAsia="宋体" w:cs="宋体"/>
                <w:color w:val="000000"/>
                <w:sz w:val="21"/>
                <w:szCs w:val="21"/>
              </w:rPr>
              <w:t>平衡型、进取型、激进型的投资者</w:t>
            </w:r>
          </w:p>
        </w:tc>
      </w:tr>
      <w:tr w14:paraId="0E9C3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1612" w:type="dxa"/>
            <w:tcBorders>
              <w:top w:val="single" w:color="auto" w:sz="4" w:space="0"/>
              <w:left w:val="single" w:color="auto" w:sz="4" w:space="0"/>
              <w:bottom w:val="single" w:color="auto" w:sz="4" w:space="0"/>
              <w:right w:val="single" w:color="auto" w:sz="4" w:space="0"/>
            </w:tcBorders>
            <w:shd w:val="clear" w:color="auto" w:fill="auto"/>
            <w:vAlign w:val="center"/>
          </w:tcPr>
          <w:p w14:paraId="79088A4A">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较高风险产品（PR4）</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top"/>
          </w:tcPr>
          <w:p w14:paraId="599EDD3C">
            <w:pPr>
              <w:keepNext w:val="0"/>
              <w:keepLines w:val="0"/>
              <w:widowControl w:val="0"/>
              <w:suppressLineNumbers w:val="0"/>
              <w:autoSpaceDE w:val="0"/>
              <w:autoSpaceDN w:val="0"/>
              <w:adjustRightInd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理财产品的总体风险较高，净值波动较大，理财投资本金遭受损失的可能性高。</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top"/>
          </w:tcPr>
          <w:p w14:paraId="2C5FB527">
            <w:pPr>
              <w:pStyle w:val="8"/>
              <w:widowControl/>
              <w:spacing w:line="360" w:lineRule="auto"/>
              <w:jc w:val="both"/>
              <w:rPr>
                <w:rFonts w:hint="eastAsia" w:ascii="宋体" w:hAnsi="宋体" w:eastAsia="宋体" w:cs="宋体"/>
                <w:color w:val="000000"/>
                <w:sz w:val="21"/>
                <w:szCs w:val="21"/>
              </w:rPr>
            </w:pPr>
            <w:r>
              <w:rPr>
                <w:rFonts w:hint="eastAsia" w:ascii="宋体" w:hAnsi="宋体" w:eastAsia="宋体" w:cs="宋体"/>
                <w:color w:val="000000"/>
                <w:kern w:val="2"/>
                <w:sz w:val="21"/>
                <w:szCs w:val="21"/>
              </w:rPr>
              <w:t>投资者风险承受能力评估为：</w:t>
            </w:r>
            <w:r>
              <w:rPr>
                <w:rFonts w:hint="eastAsia" w:ascii="宋体" w:hAnsi="宋体" w:eastAsia="宋体" w:cs="宋体"/>
                <w:color w:val="000000"/>
                <w:sz w:val="21"/>
                <w:szCs w:val="21"/>
              </w:rPr>
              <w:t>进取型、激进型的投资者</w:t>
            </w:r>
          </w:p>
        </w:tc>
      </w:tr>
      <w:tr w14:paraId="0C658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1612" w:type="dxa"/>
            <w:tcBorders>
              <w:top w:val="single" w:color="auto" w:sz="4" w:space="0"/>
              <w:left w:val="single" w:color="auto" w:sz="4" w:space="0"/>
              <w:bottom w:val="single" w:color="auto" w:sz="4" w:space="0"/>
              <w:right w:val="single" w:color="auto" w:sz="4" w:space="0"/>
            </w:tcBorders>
            <w:shd w:val="clear" w:color="auto" w:fill="auto"/>
            <w:vAlign w:val="center"/>
          </w:tcPr>
          <w:p w14:paraId="5207C7E1">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高风险产品（PR5）</w:t>
            </w:r>
          </w:p>
        </w:tc>
        <w:tc>
          <w:tcPr>
            <w:tcW w:w="4395" w:type="dxa"/>
            <w:tcBorders>
              <w:top w:val="single" w:color="auto" w:sz="4" w:space="0"/>
              <w:left w:val="single" w:color="auto" w:sz="4" w:space="0"/>
              <w:bottom w:val="single" w:color="auto" w:sz="4" w:space="0"/>
              <w:right w:val="single" w:color="auto" w:sz="4" w:space="0"/>
            </w:tcBorders>
            <w:shd w:val="clear" w:color="auto" w:fill="auto"/>
            <w:vAlign w:val="top"/>
          </w:tcPr>
          <w:p w14:paraId="15BBC69E">
            <w:pPr>
              <w:keepNext w:val="0"/>
              <w:keepLines w:val="0"/>
              <w:widowControl w:val="0"/>
              <w:suppressLineNumbers w:val="0"/>
              <w:autoSpaceDE w:val="0"/>
              <w:autoSpaceDN w:val="0"/>
              <w:adjustRightInd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理财产品的总体风险高，净值波动极大，理财投资本金遭受损失的可能性极高。</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top"/>
          </w:tcPr>
          <w:p w14:paraId="77EC4675">
            <w:pPr>
              <w:pStyle w:val="8"/>
              <w:widowControl/>
              <w:spacing w:line="360" w:lineRule="auto"/>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投资者风险承受能力评估为：</w:t>
            </w:r>
            <w:r>
              <w:rPr>
                <w:rFonts w:hint="eastAsia" w:ascii="宋体" w:hAnsi="宋体" w:eastAsia="宋体" w:cs="宋体"/>
                <w:color w:val="000000"/>
                <w:sz w:val="21"/>
                <w:szCs w:val="21"/>
              </w:rPr>
              <w:t>激进型的投资者</w:t>
            </w:r>
          </w:p>
        </w:tc>
      </w:tr>
    </w:tbl>
    <w:p w14:paraId="77427057">
      <w:pPr>
        <w:keepNext w:val="0"/>
        <w:keepLines w:val="0"/>
        <w:widowControl w:val="0"/>
        <w:suppressLineNumbers w:val="0"/>
        <w:autoSpaceDE w:val="0"/>
        <w:autoSpaceDN w:val="0"/>
        <w:adjustRightInd w:val="0"/>
        <w:spacing w:before="0" w:beforeAutospacing="0" w:after="0" w:afterAutospacing="0" w:line="360" w:lineRule="auto"/>
        <w:ind w:left="0" w:leftChars="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二）温州银行股份有限公司将北银理财发行的理财产品分为【PR1级（谨慎型）、PR2级（稳健型）、PR3级（平衡型）、PR4级（进取型）、PR5级（激进型）等五个风险等级。根据客户的不同情况，温州银行股份有限公司（以下简称“温州银行”）将客户风险承受能力分为保守型、稳健型、平衡型、进取型、激进型五个等级】。温州银行理财产品风险评级与不同风险承受能力的投资者群体的对应关系如下：</w:t>
      </w:r>
    </w:p>
    <w:tbl>
      <w:tblPr>
        <w:tblStyle w:val="4"/>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76"/>
        <w:gridCol w:w="6130"/>
        <w:gridCol w:w="1605"/>
      </w:tblGrid>
      <w:tr w14:paraId="6327A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890" w:type="pct"/>
            <w:tcBorders>
              <w:top w:val="single" w:color="auto" w:sz="4" w:space="0"/>
              <w:left w:val="single" w:color="auto" w:sz="4" w:space="0"/>
              <w:bottom w:val="single" w:color="auto" w:sz="4" w:space="0"/>
              <w:right w:val="single" w:color="auto" w:sz="4" w:space="0"/>
            </w:tcBorders>
            <w:shd w:val="clear" w:color="auto" w:fill="auto"/>
            <w:vAlign w:val="top"/>
          </w:tcPr>
          <w:p w14:paraId="13EC4F1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b/>
                <w:bCs/>
                <w:kern w:val="0"/>
                <w:sz w:val="21"/>
                <w:szCs w:val="21"/>
              </w:rPr>
            </w:pPr>
            <w:r>
              <w:rPr>
                <w:rFonts w:hint="eastAsia" w:ascii="宋体" w:hAnsi="宋体" w:eastAsia="宋体" w:cs="宋体"/>
                <w:b/>
                <w:bCs/>
                <w:kern w:val="0"/>
                <w:sz w:val="21"/>
                <w:szCs w:val="21"/>
                <w:lang w:val="en-US" w:eastAsia="zh-CN" w:bidi="ar"/>
              </w:rPr>
              <w:t>风险标识</w:t>
            </w:r>
          </w:p>
        </w:tc>
        <w:tc>
          <w:tcPr>
            <w:tcW w:w="3254" w:type="pct"/>
            <w:tcBorders>
              <w:top w:val="single" w:color="auto" w:sz="4" w:space="0"/>
              <w:left w:val="nil"/>
              <w:bottom w:val="single" w:color="auto" w:sz="4" w:space="0"/>
              <w:right w:val="single" w:color="auto" w:sz="4" w:space="0"/>
            </w:tcBorders>
            <w:shd w:val="clear" w:color="auto" w:fill="auto"/>
            <w:vAlign w:val="top"/>
          </w:tcPr>
          <w:p w14:paraId="45BC8E1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b/>
                <w:bCs/>
                <w:kern w:val="0"/>
                <w:sz w:val="21"/>
                <w:szCs w:val="21"/>
              </w:rPr>
            </w:pPr>
            <w:r>
              <w:rPr>
                <w:rFonts w:hint="eastAsia" w:ascii="宋体" w:hAnsi="宋体" w:eastAsia="宋体" w:cs="宋体"/>
                <w:b/>
                <w:bCs/>
                <w:kern w:val="0"/>
                <w:sz w:val="21"/>
                <w:szCs w:val="21"/>
                <w:lang w:val="en-US" w:eastAsia="zh-CN" w:bidi="ar"/>
              </w:rPr>
              <w:t>风险等级说明</w:t>
            </w:r>
          </w:p>
        </w:tc>
        <w:tc>
          <w:tcPr>
            <w:tcW w:w="852" w:type="pct"/>
            <w:tcBorders>
              <w:top w:val="single" w:color="auto" w:sz="4" w:space="0"/>
              <w:left w:val="nil"/>
              <w:bottom w:val="single" w:color="auto" w:sz="4" w:space="0"/>
              <w:right w:val="single" w:color="auto" w:sz="4" w:space="0"/>
            </w:tcBorders>
            <w:shd w:val="clear" w:color="auto" w:fill="auto"/>
            <w:vAlign w:val="top"/>
          </w:tcPr>
          <w:p w14:paraId="2314E2D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b/>
                <w:bCs/>
                <w:kern w:val="0"/>
                <w:sz w:val="21"/>
                <w:szCs w:val="21"/>
              </w:rPr>
            </w:pPr>
            <w:r>
              <w:rPr>
                <w:rFonts w:hint="eastAsia" w:ascii="宋体" w:hAnsi="宋体" w:eastAsia="宋体" w:cs="宋体"/>
                <w:b/>
                <w:bCs/>
                <w:kern w:val="0"/>
                <w:sz w:val="21"/>
                <w:szCs w:val="21"/>
                <w:lang w:val="en-US" w:eastAsia="zh-CN" w:bidi="ar"/>
              </w:rPr>
              <w:t>适用群体</w:t>
            </w:r>
          </w:p>
        </w:tc>
      </w:tr>
      <w:tr w14:paraId="553CF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890" w:type="pct"/>
            <w:tcBorders>
              <w:top w:val="single" w:color="auto" w:sz="4" w:space="0"/>
              <w:left w:val="single" w:color="auto" w:sz="4" w:space="0"/>
              <w:bottom w:val="single" w:color="auto" w:sz="4" w:space="0"/>
              <w:right w:val="single" w:color="auto" w:sz="4" w:space="0"/>
            </w:tcBorders>
            <w:shd w:val="clear" w:color="auto" w:fill="auto"/>
            <w:vAlign w:val="center"/>
          </w:tcPr>
          <w:p w14:paraId="7F9E9E59">
            <w:pPr>
              <w:keepNext w:val="0"/>
              <w:keepLines w:val="0"/>
              <w:widowControl w:val="0"/>
              <w:suppressLineNumbers w:val="0"/>
              <w:spacing w:before="0" w:beforeAutospacing="0" w:after="0" w:afterAutospacing="0" w:line="360" w:lineRule="auto"/>
              <w:ind w:left="0" w:right="0"/>
              <w:jc w:val="center"/>
              <w:rPr>
                <w:rFonts w:hint="default" w:ascii="彩虹粗仿宋" w:hAnsi="Calibri" w:eastAsia="彩虹粗仿宋" w:cs="Times New Roman"/>
                <w:kern w:val="0"/>
                <w:sz w:val="21"/>
                <w:szCs w:val="21"/>
              </w:rPr>
            </w:pPr>
            <w:r>
              <w:rPr>
                <w:rFonts w:hint="eastAsia" w:ascii="宋体" w:hAnsi="宋体" w:eastAsia="宋体" w:cs="宋体"/>
                <w:color w:val="000000"/>
                <w:kern w:val="2"/>
                <w:sz w:val="21"/>
                <w:szCs w:val="21"/>
                <w:lang w:val="en-US" w:eastAsia="zh-CN" w:bidi="ar"/>
              </w:rPr>
              <w:t>PR1级（谨慎型）</w:t>
            </w:r>
          </w:p>
        </w:tc>
        <w:tc>
          <w:tcPr>
            <w:tcW w:w="3254" w:type="pct"/>
            <w:tcBorders>
              <w:top w:val="single" w:color="auto" w:sz="4" w:space="0"/>
              <w:left w:val="nil"/>
              <w:bottom w:val="single" w:color="auto" w:sz="4" w:space="0"/>
              <w:right w:val="single" w:color="auto" w:sz="4" w:space="0"/>
            </w:tcBorders>
            <w:shd w:val="clear" w:color="auto" w:fill="auto"/>
            <w:vAlign w:val="center"/>
          </w:tcPr>
          <w:p w14:paraId="16D126D6">
            <w:pPr>
              <w:keepNext w:val="0"/>
              <w:keepLines w:val="0"/>
              <w:widowControl w:val="0"/>
              <w:suppressLineNumbers w:val="0"/>
              <w:spacing w:before="0" w:beforeAutospacing="0" w:after="0" w:afterAutospacing="0" w:line="360" w:lineRule="auto"/>
              <w:ind w:left="0" w:right="0"/>
              <w:jc w:val="both"/>
              <w:rPr>
                <w:rFonts w:hint="default" w:ascii="彩虹粗仿宋" w:hAnsi="Calibri" w:eastAsia="彩虹粗仿宋" w:cs="Times New Roman"/>
                <w:kern w:val="0"/>
                <w:sz w:val="21"/>
                <w:szCs w:val="21"/>
              </w:rPr>
            </w:pPr>
            <w:r>
              <w:rPr>
                <w:rFonts w:hint="eastAsia" w:ascii="宋体" w:hAnsi="宋体" w:eastAsia="宋体" w:cs="宋体"/>
                <w:color w:val="000000"/>
                <w:kern w:val="2"/>
                <w:sz w:val="21"/>
                <w:szCs w:val="21"/>
                <w:lang w:val="en-US" w:eastAsia="zh-CN" w:bidi="ar"/>
              </w:rPr>
              <w:t>该类理财产品的总体风险程度很低，管理人不承诺本金的完全保障，对于产品本金的安全有较为充分的把握，产品收益随投资表现变动。理财产品的投资方向为低风险、低收益的投资品市场，本金及收益受宏观政策和市场相关法律法规变化、投资市场波动等风险因素影响很小。</w:t>
            </w:r>
          </w:p>
        </w:tc>
        <w:tc>
          <w:tcPr>
            <w:tcW w:w="852" w:type="pct"/>
            <w:tcBorders>
              <w:top w:val="single" w:color="auto" w:sz="4" w:space="0"/>
              <w:left w:val="nil"/>
              <w:bottom w:val="single" w:color="auto" w:sz="4" w:space="0"/>
              <w:right w:val="single" w:color="auto" w:sz="4" w:space="0"/>
            </w:tcBorders>
            <w:shd w:val="clear" w:color="auto" w:fill="auto"/>
            <w:vAlign w:val="center"/>
          </w:tcPr>
          <w:p w14:paraId="0FC0D301">
            <w:pPr>
              <w:keepNext w:val="0"/>
              <w:keepLines w:val="0"/>
              <w:widowControl w:val="0"/>
              <w:suppressLineNumbers w:val="0"/>
              <w:spacing w:before="0" w:beforeAutospacing="0" w:after="0" w:afterAutospacing="0" w:line="360" w:lineRule="auto"/>
              <w:ind w:left="0" w:right="0"/>
              <w:jc w:val="both"/>
              <w:rPr>
                <w:rFonts w:hint="default" w:ascii="彩虹粗仿宋" w:hAnsi="Calibri" w:eastAsia="彩虹粗仿宋" w:cs="Times New Roman"/>
                <w:kern w:val="0"/>
                <w:sz w:val="21"/>
                <w:szCs w:val="21"/>
              </w:rPr>
            </w:pPr>
            <w:r>
              <w:rPr>
                <w:rFonts w:hint="eastAsia" w:ascii="宋体" w:hAnsi="宋体" w:eastAsia="宋体" w:cs="宋体"/>
                <w:kern w:val="2"/>
                <w:sz w:val="21"/>
                <w:szCs w:val="21"/>
                <w:lang w:val="en-US" w:eastAsia="zh-CN" w:bidi="ar"/>
              </w:rPr>
              <w:t>保守型</w:t>
            </w:r>
            <w:r>
              <w:rPr>
                <w:rFonts w:hint="eastAsia" w:ascii="宋体" w:hAnsi="宋体" w:eastAsia="宋体" w:cs="宋体"/>
                <w:color w:val="000000"/>
                <w:kern w:val="2"/>
                <w:sz w:val="21"/>
                <w:szCs w:val="21"/>
                <w:lang w:val="en-US" w:eastAsia="zh-CN" w:bidi="ar"/>
              </w:rPr>
              <w:t>及以上</w:t>
            </w:r>
          </w:p>
        </w:tc>
      </w:tr>
      <w:tr w14:paraId="20842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90" w:type="pct"/>
            <w:tcBorders>
              <w:top w:val="single" w:color="auto" w:sz="4" w:space="0"/>
              <w:left w:val="single" w:color="auto" w:sz="4" w:space="0"/>
              <w:bottom w:val="single" w:color="auto" w:sz="4" w:space="0"/>
              <w:right w:val="single" w:color="auto" w:sz="4" w:space="0"/>
            </w:tcBorders>
            <w:shd w:val="clear" w:color="auto" w:fill="auto"/>
            <w:vAlign w:val="center"/>
          </w:tcPr>
          <w:p w14:paraId="346F1A79">
            <w:pPr>
              <w:keepNext w:val="0"/>
              <w:keepLines w:val="0"/>
              <w:widowControl w:val="0"/>
              <w:suppressLineNumbers w:val="0"/>
              <w:spacing w:before="0" w:beforeAutospacing="0" w:after="0" w:afterAutospacing="0" w:line="360" w:lineRule="auto"/>
              <w:ind w:left="0" w:right="0"/>
              <w:jc w:val="center"/>
              <w:rPr>
                <w:rFonts w:hint="default" w:ascii="彩虹粗仿宋" w:hAnsi="Calibri" w:eastAsia="彩虹粗仿宋" w:cs="Times New Roman"/>
                <w:kern w:val="0"/>
                <w:sz w:val="21"/>
                <w:szCs w:val="21"/>
              </w:rPr>
            </w:pPr>
            <w:r>
              <w:rPr>
                <w:rFonts w:hint="eastAsia" w:ascii="宋体" w:hAnsi="宋体" w:eastAsia="宋体" w:cs="宋体"/>
                <w:color w:val="000000"/>
                <w:kern w:val="2"/>
                <w:sz w:val="21"/>
                <w:szCs w:val="21"/>
                <w:lang w:val="en-US" w:eastAsia="zh-CN" w:bidi="ar"/>
              </w:rPr>
              <w:t>PR2级（稳健型）</w:t>
            </w:r>
          </w:p>
        </w:tc>
        <w:tc>
          <w:tcPr>
            <w:tcW w:w="3254" w:type="pct"/>
            <w:tcBorders>
              <w:top w:val="single" w:color="auto" w:sz="4" w:space="0"/>
              <w:left w:val="nil"/>
              <w:bottom w:val="single" w:color="auto" w:sz="4" w:space="0"/>
              <w:right w:val="single" w:color="auto" w:sz="4" w:space="0"/>
            </w:tcBorders>
            <w:shd w:val="clear" w:color="auto" w:fill="auto"/>
            <w:vAlign w:val="center"/>
          </w:tcPr>
          <w:p w14:paraId="0F5F501E">
            <w:pPr>
              <w:keepNext w:val="0"/>
              <w:keepLines w:val="0"/>
              <w:widowControl w:val="0"/>
              <w:suppressLineNumbers w:val="0"/>
              <w:spacing w:before="0" w:beforeAutospacing="0" w:after="0" w:afterAutospacing="0" w:line="360" w:lineRule="auto"/>
              <w:ind w:left="0" w:right="0"/>
              <w:jc w:val="both"/>
              <w:rPr>
                <w:rFonts w:hint="default" w:ascii="彩虹粗仿宋" w:hAnsi="Calibri" w:eastAsia="彩虹粗仿宋" w:cs="Times New Roman"/>
                <w:kern w:val="0"/>
                <w:sz w:val="21"/>
                <w:szCs w:val="21"/>
              </w:rPr>
            </w:pPr>
            <w:r>
              <w:rPr>
                <w:rFonts w:hint="eastAsia" w:ascii="宋体" w:hAnsi="宋体" w:eastAsia="宋体" w:cs="宋体"/>
                <w:color w:val="000000"/>
                <w:kern w:val="2"/>
                <w:sz w:val="21"/>
                <w:szCs w:val="21"/>
                <w:lang w:val="en-US" w:eastAsia="zh-CN" w:bidi="ar"/>
              </w:rPr>
              <w:t>该类理财产品的总体风险程度较低，不承诺本金保障但投资者本金损失的可能性很小，产品收益随投资表现变动。理财产品的投资方向为低风险、低收益的投资品市场或理财产品通过结构化投资于较为简单的衍生产品以及通过技术手段锁定未来风险后进行投资，本金及收益受宏观政策和市场相关法律法规变化、投资市场波动等风险因素影响较小。</w:t>
            </w:r>
          </w:p>
        </w:tc>
        <w:tc>
          <w:tcPr>
            <w:tcW w:w="852" w:type="pct"/>
            <w:tcBorders>
              <w:top w:val="single" w:color="auto" w:sz="4" w:space="0"/>
              <w:left w:val="nil"/>
              <w:bottom w:val="single" w:color="auto" w:sz="4" w:space="0"/>
              <w:right w:val="single" w:color="auto" w:sz="4" w:space="0"/>
            </w:tcBorders>
            <w:shd w:val="clear" w:color="auto" w:fill="auto"/>
            <w:vAlign w:val="center"/>
          </w:tcPr>
          <w:p w14:paraId="6AEE4ACD">
            <w:pPr>
              <w:keepNext w:val="0"/>
              <w:keepLines w:val="0"/>
              <w:widowControl w:val="0"/>
              <w:suppressLineNumbers w:val="0"/>
              <w:spacing w:before="0" w:beforeAutospacing="0" w:after="0" w:afterAutospacing="0" w:line="360" w:lineRule="auto"/>
              <w:ind w:left="0" w:right="0"/>
              <w:jc w:val="both"/>
              <w:rPr>
                <w:rFonts w:hint="default" w:ascii="彩虹粗仿宋" w:hAnsi="Calibri" w:eastAsia="彩虹粗仿宋" w:cs="Times New Roman"/>
                <w:kern w:val="0"/>
                <w:sz w:val="21"/>
                <w:szCs w:val="21"/>
              </w:rPr>
            </w:pPr>
            <w:r>
              <w:rPr>
                <w:rFonts w:hint="eastAsia" w:ascii="宋体" w:hAnsi="宋体" w:eastAsia="宋体" w:cs="宋体"/>
                <w:kern w:val="2"/>
                <w:sz w:val="21"/>
                <w:szCs w:val="21"/>
                <w:lang w:val="en-US" w:eastAsia="zh-CN" w:bidi="ar"/>
              </w:rPr>
              <w:t>稳健型</w:t>
            </w:r>
            <w:r>
              <w:rPr>
                <w:rFonts w:hint="eastAsia" w:ascii="宋体" w:hAnsi="宋体" w:eastAsia="宋体" w:cs="宋体"/>
                <w:color w:val="000000"/>
                <w:kern w:val="2"/>
                <w:sz w:val="21"/>
                <w:szCs w:val="21"/>
                <w:lang w:val="en-US" w:eastAsia="zh-CN" w:bidi="ar"/>
              </w:rPr>
              <w:t>及以上</w:t>
            </w:r>
          </w:p>
        </w:tc>
      </w:tr>
      <w:tr w14:paraId="0DD7B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90" w:type="pct"/>
            <w:tcBorders>
              <w:top w:val="single" w:color="auto" w:sz="4" w:space="0"/>
              <w:left w:val="single" w:color="auto" w:sz="4" w:space="0"/>
              <w:bottom w:val="single" w:color="auto" w:sz="4" w:space="0"/>
              <w:right w:val="single" w:color="auto" w:sz="4" w:space="0"/>
            </w:tcBorders>
            <w:shd w:val="clear" w:color="auto" w:fill="auto"/>
            <w:vAlign w:val="center"/>
          </w:tcPr>
          <w:p w14:paraId="655E5CF9">
            <w:pPr>
              <w:keepNext w:val="0"/>
              <w:keepLines w:val="0"/>
              <w:widowControl w:val="0"/>
              <w:suppressLineNumbers w:val="0"/>
              <w:spacing w:before="0" w:beforeAutospacing="0" w:after="0" w:afterAutospacing="0" w:line="360" w:lineRule="auto"/>
              <w:ind w:left="0" w:right="0"/>
              <w:jc w:val="center"/>
              <w:rPr>
                <w:rFonts w:hint="default" w:ascii="彩虹粗仿宋" w:hAnsi="Calibri" w:eastAsia="彩虹粗仿宋" w:cs="Times New Roman"/>
                <w:kern w:val="0"/>
                <w:sz w:val="21"/>
                <w:szCs w:val="21"/>
              </w:rPr>
            </w:pPr>
            <w:r>
              <w:rPr>
                <w:rFonts w:hint="eastAsia" w:ascii="宋体" w:hAnsi="宋体" w:eastAsia="宋体" w:cs="宋体"/>
                <w:color w:val="000000"/>
                <w:kern w:val="2"/>
                <w:sz w:val="21"/>
                <w:szCs w:val="21"/>
                <w:lang w:val="en-US" w:eastAsia="zh-CN" w:bidi="ar"/>
              </w:rPr>
              <w:t>PR3级（平衡型）</w:t>
            </w:r>
          </w:p>
        </w:tc>
        <w:tc>
          <w:tcPr>
            <w:tcW w:w="3254" w:type="pct"/>
            <w:tcBorders>
              <w:top w:val="single" w:color="auto" w:sz="4" w:space="0"/>
              <w:left w:val="nil"/>
              <w:bottom w:val="single" w:color="auto" w:sz="4" w:space="0"/>
              <w:right w:val="single" w:color="auto" w:sz="4" w:space="0"/>
            </w:tcBorders>
            <w:shd w:val="clear" w:color="auto" w:fill="auto"/>
            <w:vAlign w:val="center"/>
          </w:tcPr>
          <w:p w14:paraId="49CF8F41">
            <w:pPr>
              <w:keepNext w:val="0"/>
              <w:keepLines w:val="0"/>
              <w:widowControl w:val="0"/>
              <w:suppressLineNumbers w:val="0"/>
              <w:spacing w:before="0" w:beforeAutospacing="0" w:after="0" w:afterAutospacing="0" w:line="360" w:lineRule="auto"/>
              <w:ind w:left="0" w:right="0"/>
              <w:jc w:val="both"/>
              <w:rPr>
                <w:rFonts w:hint="default" w:ascii="彩虹粗仿宋" w:hAnsi="Calibri" w:eastAsia="彩虹粗仿宋" w:cs="Times New Roman"/>
                <w:kern w:val="0"/>
                <w:sz w:val="21"/>
                <w:szCs w:val="21"/>
              </w:rPr>
            </w:pPr>
            <w:r>
              <w:rPr>
                <w:rFonts w:hint="eastAsia" w:ascii="宋体" w:hAnsi="宋体" w:eastAsia="宋体" w:cs="宋体"/>
                <w:color w:val="000000"/>
                <w:kern w:val="2"/>
                <w:sz w:val="21"/>
                <w:szCs w:val="21"/>
                <w:lang w:val="en-US" w:eastAsia="zh-CN" w:bidi="ar"/>
              </w:rPr>
              <w:t>该类理财产品的总体风险程度适中，不承诺本金保障，产品收益随投资表现变动。理财产品的投资方向为风险和收益较为适中的投资品市场，或虽然部分投资于较高风险较高收益的投资品市场，但通过合理资产配置或其他技术手段使产品的整体风险保持在适中的水平，宏观政策和市场相关法律法规变化、投资市场波动等风险因素对本金及收益会产生一定影响。</w:t>
            </w:r>
          </w:p>
        </w:tc>
        <w:tc>
          <w:tcPr>
            <w:tcW w:w="852" w:type="pct"/>
            <w:tcBorders>
              <w:top w:val="single" w:color="auto" w:sz="4" w:space="0"/>
              <w:left w:val="nil"/>
              <w:bottom w:val="single" w:color="auto" w:sz="4" w:space="0"/>
              <w:right w:val="single" w:color="auto" w:sz="4" w:space="0"/>
            </w:tcBorders>
            <w:shd w:val="clear" w:color="auto" w:fill="auto"/>
            <w:vAlign w:val="center"/>
          </w:tcPr>
          <w:p w14:paraId="4EFC408B">
            <w:pPr>
              <w:keepNext w:val="0"/>
              <w:keepLines w:val="0"/>
              <w:widowControl w:val="0"/>
              <w:suppressLineNumbers w:val="0"/>
              <w:spacing w:before="0" w:beforeAutospacing="0" w:after="0" w:afterAutospacing="0" w:line="360" w:lineRule="auto"/>
              <w:ind w:left="0" w:right="0"/>
              <w:jc w:val="both"/>
              <w:rPr>
                <w:rFonts w:hint="default" w:ascii="彩虹粗仿宋" w:hAnsi="Calibri" w:eastAsia="彩虹粗仿宋" w:cs="Times New Roman"/>
                <w:kern w:val="0"/>
                <w:sz w:val="21"/>
                <w:szCs w:val="21"/>
              </w:rPr>
            </w:pPr>
            <w:r>
              <w:rPr>
                <w:rFonts w:hint="eastAsia" w:ascii="宋体" w:hAnsi="宋体" w:eastAsia="宋体" w:cs="宋体"/>
                <w:kern w:val="2"/>
                <w:sz w:val="21"/>
                <w:szCs w:val="21"/>
                <w:lang w:val="en-US" w:eastAsia="zh-CN" w:bidi="ar"/>
              </w:rPr>
              <w:t>平衡型</w:t>
            </w:r>
            <w:r>
              <w:rPr>
                <w:rFonts w:hint="eastAsia" w:ascii="宋体" w:hAnsi="宋体" w:eastAsia="宋体" w:cs="宋体"/>
                <w:color w:val="000000"/>
                <w:kern w:val="2"/>
                <w:sz w:val="21"/>
                <w:szCs w:val="21"/>
                <w:lang w:val="en-US" w:eastAsia="zh-CN" w:bidi="ar"/>
              </w:rPr>
              <w:t>及以上</w:t>
            </w:r>
          </w:p>
        </w:tc>
      </w:tr>
      <w:tr w14:paraId="21C3B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90" w:type="pct"/>
            <w:tcBorders>
              <w:top w:val="single" w:color="auto" w:sz="4" w:space="0"/>
              <w:left w:val="single" w:color="auto" w:sz="4" w:space="0"/>
              <w:bottom w:val="single" w:color="auto" w:sz="4" w:space="0"/>
              <w:right w:val="single" w:color="auto" w:sz="4" w:space="0"/>
            </w:tcBorders>
            <w:shd w:val="clear" w:color="auto" w:fill="auto"/>
            <w:vAlign w:val="center"/>
          </w:tcPr>
          <w:p w14:paraId="6240314E">
            <w:pPr>
              <w:keepNext w:val="0"/>
              <w:keepLines w:val="0"/>
              <w:widowControl w:val="0"/>
              <w:suppressLineNumbers w:val="0"/>
              <w:spacing w:before="0" w:beforeAutospacing="0" w:after="0" w:afterAutospacing="0" w:line="360" w:lineRule="auto"/>
              <w:ind w:left="0" w:right="0"/>
              <w:jc w:val="center"/>
              <w:rPr>
                <w:rFonts w:hint="default" w:ascii="彩虹粗仿宋" w:hAnsi="Calibri" w:eastAsia="彩虹粗仿宋" w:cs="Times New Roman"/>
                <w:kern w:val="0"/>
                <w:sz w:val="21"/>
                <w:szCs w:val="21"/>
              </w:rPr>
            </w:pPr>
            <w:r>
              <w:rPr>
                <w:rFonts w:hint="eastAsia" w:ascii="宋体" w:hAnsi="宋体" w:eastAsia="宋体" w:cs="宋体"/>
                <w:color w:val="000000"/>
                <w:kern w:val="2"/>
                <w:sz w:val="21"/>
                <w:szCs w:val="21"/>
                <w:lang w:val="en-US" w:eastAsia="zh-CN" w:bidi="ar"/>
              </w:rPr>
              <w:t>PR4级（进取型）</w:t>
            </w:r>
          </w:p>
        </w:tc>
        <w:tc>
          <w:tcPr>
            <w:tcW w:w="3254" w:type="pct"/>
            <w:tcBorders>
              <w:top w:val="single" w:color="auto" w:sz="4" w:space="0"/>
              <w:left w:val="nil"/>
              <w:bottom w:val="single" w:color="auto" w:sz="4" w:space="0"/>
              <w:right w:val="single" w:color="auto" w:sz="4" w:space="0"/>
            </w:tcBorders>
            <w:shd w:val="clear" w:color="auto" w:fill="auto"/>
            <w:vAlign w:val="center"/>
          </w:tcPr>
          <w:p w14:paraId="68393A53">
            <w:pPr>
              <w:keepNext w:val="0"/>
              <w:keepLines w:val="0"/>
              <w:widowControl w:val="0"/>
              <w:suppressLineNumbers w:val="0"/>
              <w:spacing w:before="0" w:beforeAutospacing="0" w:after="0" w:afterAutospacing="0" w:line="360" w:lineRule="auto"/>
              <w:ind w:left="0" w:right="0"/>
              <w:jc w:val="both"/>
              <w:rPr>
                <w:rFonts w:hint="default" w:ascii="彩虹粗仿宋" w:hAnsi="Calibri" w:eastAsia="彩虹粗仿宋" w:cs="Times New Roman"/>
                <w:kern w:val="0"/>
                <w:sz w:val="21"/>
                <w:szCs w:val="21"/>
              </w:rPr>
            </w:pPr>
            <w:r>
              <w:rPr>
                <w:rFonts w:hint="eastAsia" w:ascii="宋体" w:hAnsi="宋体" w:eastAsia="宋体" w:cs="宋体"/>
                <w:color w:val="000000"/>
                <w:kern w:val="2"/>
                <w:sz w:val="21"/>
                <w:szCs w:val="21"/>
                <w:lang w:val="en-US" w:eastAsia="zh-CN" w:bidi="ar"/>
              </w:rPr>
              <w:t>该类理财产品的总体风险程度较高，不承诺本金保障，产品收益随投资表现变动。理财产品的投资方向为较高风险、较高收益的投资品市场，在宏观政策和市场相关法律法规变化、投资市场波动等风险因素作用下本金可能出现较大损失。</w:t>
            </w:r>
          </w:p>
        </w:tc>
        <w:tc>
          <w:tcPr>
            <w:tcW w:w="852" w:type="pct"/>
            <w:tcBorders>
              <w:top w:val="single" w:color="auto" w:sz="4" w:space="0"/>
              <w:left w:val="nil"/>
              <w:bottom w:val="single" w:color="auto" w:sz="4" w:space="0"/>
              <w:right w:val="single" w:color="auto" w:sz="4" w:space="0"/>
            </w:tcBorders>
            <w:shd w:val="clear" w:color="auto" w:fill="auto"/>
            <w:vAlign w:val="center"/>
          </w:tcPr>
          <w:p w14:paraId="06A899DA">
            <w:pPr>
              <w:keepNext w:val="0"/>
              <w:keepLines w:val="0"/>
              <w:widowControl w:val="0"/>
              <w:suppressLineNumbers w:val="0"/>
              <w:spacing w:before="0" w:beforeAutospacing="0" w:after="0" w:afterAutospacing="0" w:line="360" w:lineRule="auto"/>
              <w:ind w:left="0" w:right="0"/>
              <w:jc w:val="both"/>
              <w:rPr>
                <w:rFonts w:hint="default" w:ascii="彩虹粗仿宋" w:hAnsi="Calibri" w:eastAsia="彩虹粗仿宋" w:cs="Times New Roman"/>
                <w:kern w:val="0"/>
                <w:sz w:val="21"/>
                <w:szCs w:val="21"/>
              </w:rPr>
            </w:pPr>
            <w:r>
              <w:rPr>
                <w:rFonts w:hint="eastAsia" w:ascii="宋体" w:hAnsi="宋体" w:eastAsia="宋体" w:cs="宋体"/>
                <w:kern w:val="2"/>
                <w:sz w:val="21"/>
                <w:szCs w:val="21"/>
                <w:lang w:val="en-US" w:eastAsia="zh-CN" w:bidi="ar"/>
              </w:rPr>
              <w:t>进取型</w:t>
            </w:r>
            <w:r>
              <w:rPr>
                <w:rFonts w:hint="eastAsia" w:ascii="宋体" w:hAnsi="宋体" w:eastAsia="宋体" w:cs="宋体"/>
                <w:color w:val="000000"/>
                <w:kern w:val="2"/>
                <w:sz w:val="21"/>
                <w:szCs w:val="21"/>
                <w:lang w:val="en-US" w:eastAsia="zh-CN" w:bidi="ar"/>
              </w:rPr>
              <w:t>及以上</w:t>
            </w:r>
          </w:p>
        </w:tc>
      </w:tr>
      <w:tr w14:paraId="56688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890" w:type="pct"/>
            <w:tcBorders>
              <w:top w:val="single" w:color="auto" w:sz="4" w:space="0"/>
              <w:left w:val="single" w:color="auto" w:sz="4" w:space="0"/>
              <w:bottom w:val="single" w:color="auto" w:sz="4" w:space="0"/>
              <w:right w:val="single" w:color="auto" w:sz="4" w:space="0"/>
            </w:tcBorders>
            <w:shd w:val="clear" w:color="auto" w:fill="auto"/>
            <w:vAlign w:val="center"/>
          </w:tcPr>
          <w:p w14:paraId="73E87789">
            <w:pPr>
              <w:keepNext w:val="0"/>
              <w:keepLines w:val="0"/>
              <w:widowControl w:val="0"/>
              <w:suppressLineNumbers w:val="0"/>
              <w:spacing w:before="0" w:beforeAutospacing="0" w:after="0" w:afterAutospacing="0" w:line="360" w:lineRule="auto"/>
              <w:ind w:left="0" w:right="0"/>
              <w:jc w:val="center"/>
              <w:rPr>
                <w:rFonts w:hint="default" w:ascii="彩虹粗仿宋" w:hAnsi="Calibri" w:eastAsia="彩虹粗仿宋" w:cs="Times New Roman"/>
                <w:kern w:val="0"/>
                <w:sz w:val="21"/>
                <w:szCs w:val="21"/>
              </w:rPr>
            </w:pPr>
            <w:r>
              <w:rPr>
                <w:rFonts w:hint="eastAsia" w:ascii="宋体" w:hAnsi="宋体" w:eastAsia="宋体" w:cs="宋体"/>
                <w:color w:val="000000"/>
                <w:kern w:val="2"/>
                <w:sz w:val="21"/>
                <w:szCs w:val="21"/>
                <w:lang w:val="en-US" w:eastAsia="zh-CN" w:bidi="ar"/>
              </w:rPr>
              <w:t>PR5级（激进型）</w:t>
            </w:r>
          </w:p>
        </w:tc>
        <w:tc>
          <w:tcPr>
            <w:tcW w:w="3254" w:type="pct"/>
            <w:tcBorders>
              <w:top w:val="single" w:color="auto" w:sz="4" w:space="0"/>
              <w:left w:val="nil"/>
              <w:bottom w:val="single" w:color="auto" w:sz="4" w:space="0"/>
              <w:right w:val="single" w:color="auto" w:sz="4" w:space="0"/>
            </w:tcBorders>
            <w:shd w:val="clear" w:color="auto" w:fill="auto"/>
            <w:vAlign w:val="center"/>
          </w:tcPr>
          <w:p w14:paraId="559C8B08">
            <w:pPr>
              <w:keepNext w:val="0"/>
              <w:keepLines w:val="0"/>
              <w:widowControl w:val="0"/>
              <w:suppressLineNumbers w:val="0"/>
              <w:spacing w:before="0" w:beforeAutospacing="0" w:after="0" w:afterAutospacing="0" w:line="360" w:lineRule="auto"/>
              <w:ind w:left="0" w:right="0"/>
              <w:jc w:val="both"/>
              <w:rPr>
                <w:rFonts w:hint="default" w:ascii="彩虹粗仿宋" w:hAnsi="Calibri" w:eastAsia="彩虹粗仿宋" w:cs="Times New Roman"/>
                <w:kern w:val="0"/>
                <w:sz w:val="21"/>
                <w:szCs w:val="21"/>
              </w:rPr>
            </w:pPr>
            <w:r>
              <w:rPr>
                <w:rFonts w:hint="eastAsia" w:ascii="宋体" w:hAnsi="宋体" w:eastAsia="宋体" w:cs="宋体"/>
                <w:color w:val="000000"/>
                <w:kern w:val="2"/>
                <w:sz w:val="21"/>
                <w:szCs w:val="21"/>
                <w:lang w:val="en-US" w:eastAsia="zh-CN" w:bidi="ar"/>
              </w:rPr>
              <w:t>该类理财产品的总体风险程度高，不承诺本金保障，产品收益随投资表现变动。理财产品的投资方向为高风险、高收益的投资品市场，其产品结构较为复杂，在宏观政策和市场相关法律法规变化、投资市场波动等风险因素作用下本金可能出现重大损失。</w:t>
            </w:r>
          </w:p>
        </w:tc>
        <w:tc>
          <w:tcPr>
            <w:tcW w:w="852" w:type="pct"/>
            <w:tcBorders>
              <w:top w:val="single" w:color="auto" w:sz="4" w:space="0"/>
              <w:left w:val="nil"/>
              <w:bottom w:val="single" w:color="auto" w:sz="4" w:space="0"/>
              <w:right w:val="single" w:color="auto" w:sz="4" w:space="0"/>
            </w:tcBorders>
            <w:shd w:val="clear" w:color="auto" w:fill="auto"/>
            <w:vAlign w:val="center"/>
          </w:tcPr>
          <w:p w14:paraId="7441C077">
            <w:pPr>
              <w:keepNext w:val="0"/>
              <w:keepLines w:val="0"/>
              <w:widowControl w:val="0"/>
              <w:suppressLineNumbers w:val="0"/>
              <w:spacing w:before="0" w:beforeAutospacing="0" w:after="0" w:afterAutospacing="0" w:line="360" w:lineRule="auto"/>
              <w:ind w:left="0" w:right="0"/>
              <w:jc w:val="both"/>
              <w:rPr>
                <w:rFonts w:hint="default" w:ascii="彩虹粗仿宋" w:hAnsi="Calibri" w:eastAsia="彩虹粗仿宋" w:cs="Times New Roman"/>
                <w:kern w:val="0"/>
                <w:sz w:val="21"/>
                <w:szCs w:val="21"/>
              </w:rPr>
            </w:pPr>
            <w:r>
              <w:rPr>
                <w:rFonts w:hint="eastAsia" w:ascii="宋体" w:hAnsi="宋体" w:eastAsia="宋体" w:cs="宋体"/>
                <w:kern w:val="2"/>
                <w:sz w:val="21"/>
                <w:szCs w:val="21"/>
                <w:lang w:val="en-US" w:eastAsia="zh-CN" w:bidi="ar"/>
              </w:rPr>
              <w:t>激进型</w:t>
            </w:r>
            <w:r>
              <w:rPr>
                <w:rFonts w:hint="eastAsia" w:ascii="宋体" w:hAnsi="宋体" w:eastAsia="宋体" w:cs="宋体"/>
                <w:color w:val="000000"/>
                <w:kern w:val="2"/>
                <w:sz w:val="21"/>
                <w:szCs w:val="21"/>
                <w:lang w:val="en-US" w:eastAsia="zh-CN" w:bidi="ar"/>
              </w:rPr>
              <w:t>及以上</w:t>
            </w:r>
          </w:p>
        </w:tc>
      </w:tr>
    </w:tbl>
    <w:p w14:paraId="6E158E0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专业投资者具体管理要求以销售机构为准。    </w:t>
      </w:r>
    </w:p>
    <w:p w14:paraId="13BDE7FF">
      <w:pPr>
        <w:keepNext w:val="0"/>
        <w:keepLines w:val="0"/>
        <w:widowControl w:val="0"/>
        <w:suppressLineNumbers w:val="0"/>
        <w:spacing w:before="0" w:beforeAutospacing="0" w:after="0" w:afterAutospacing="0" w:line="360" w:lineRule="auto"/>
        <w:ind w:left="0" w:right="0" w:firstLine="422" w:firstLineChars="200"/>
        <w:jc w:val="both"/>
        <w:outlineLvl w:val="0"/>
        <w:rPr>
          <w:rFonts w:hint="eastAsia" w:ascii="宋体" w:hAnsi="宋体" w:eastAsia="宋体" w:cs="宋体"/>
          <w:color w:val="000000"/>
          <w:kern w:val="2"/>
          <w:sz w:val="21"/>
          <w:szCs w:val="21"/>
        </w:rPr>
      </w:pPr>
      <w:r>
        <w:rPr>
          <w:rFonts w:hint="eastAsia" w:ascii="宋体" w:hAnsi="宋体" w:eastAsia="宋体" w:cs="宋体"/>
          <w:b/>
          <w:bCs/>
          <w:color w:val="000000"/>
          <w:kern w:val="2"/>
          <w:sz w:val="21"/>
          <w:szCs w:val="21"/>
          <w:lang w:val="en-US" w:eastAsia="zh-CN" w:bidi="ar"/>
        </w:rPr>
        <w:t>三、代销机构代理销售理财产品的流程</w:t>
      </w:r>
    </w:p>
    <w:p w14:paraId="759CE76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（一）首次在代销机构购买理财产品的投资者需开立相应资金账户，提供并确认正确的联系方式。 </w:t>
      </w:r>
    </w:p>
    <w:p w14:paraId="71C27EB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（二）首次在代销机构购买北银理财理财产品的投资者需进行投资者风险承受能力评估，并确认风险承受能力等级评估结果不低于本理财产品风险评级。</w:t>
      </w:r>
    </w:p>
    <w:p w14:paraId="2D69C99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（三）仔细阅读本理财产品完整销售文件，理解并确认本理财产品完整销售文件全部条款及产品风险。 </w:t>
      </w:r>
    </w:p>
    <w:p w14:paraId="39E5F99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（四）确定购买金额，完成交易申请，并在北银理财系统确认投资者购买份额后及时进行查询。</w:t>
      </w:r>
    </w:p>
    <w:p w14:paraId="18978EEC">
      <w:pPr>
        <w:keepNext w:val="0"/>
        <w:keepLines w:val="0"/>
        <w:widowControl w:val="0"/>
        <w:suppressLineNumbers w:val="0"/>
        <w:spacing w:before="0" w:beforeAutospacing="0" w:after="0" w:afterAutospacing="0" w:line="360" w:lineRule="auto"/>
        <w:ind w:left="0" w:right="0" w:firstLine="422" w:firstLineChars="200"/>
        <w:jc w:val="both"/>
        <w:outlineLvl w:val="0"/>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rPr>
        <w:t>四、理财产品信息披露的方式、渠道和频率</w:t>
      </w:r>
    </w:p>
    <w:p w14:paraId="5DB1AF10">
      <w:pPr>
        <w:keepNext w:val="0"/>
        <w:keepLines w:val="0"/>
        <w:widowControl w:val="0"/>
        <w:suppressLineNumbers w:val="0"/>
        <w:spacing w:before="0" w:beforeAutospacing="0" w:after="0" w:afterAutospacing="0" w:line="360" w:lineRule="auto"/>
        <w:ind w:left="0" w:right="0" w:firstLine="420" w:firstLineChars="200"/>
        <w:jc w:val="both"/>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信息披露的方式、渠道和频率，投资者可以根据《理财产品说明书》“十一、产品的信息披露”及“十二、相关机构的概况”部分的约定，或通过拨打代销机构客户服务热线以及通过代销机构营业网点进行查询。</w:t>
      </w:r>
    </w:p>
    <w:p w14:paraId="2DD474E7">
      <w:pPr>
        <w:keepNext w:val="0"/>
        <w:keepLines w:val="0"/>
        <w:widowControl w:val="0"/>
        <w:suppressLineNumbers w:val="0"/>
        <w:spacing w:before="0" w:beforeAutospacing="0" w:after="0" w:afterAutospacing="0" w:line="360" w:lineRule="auto"/>
        <w:ind w:left="0" w:right="0" w:firstLine="413" w:firstLineChars="196"/>
        <w:jc w:val="both"/>
        <w:outlineLvl w:val="0"/>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rPr>
        <w:t>五、投资者投诉途径、方式和程序</w:t>
      </w:r>
    </w:p>
    <w:p w14:paraId="6737E1B2">
      <w:pPr>
        <w:keepNext w:val="0"/>
        <w:keepLines w:val="0"/>
        <w:widowControl w:val="0"/>
        <w:suppressLineNumbers w:val="0"/>
        <w:spacing w:before="0" w:beforeAutospacing="0" w:after="0" w:afterAutospacing="0" w:line="360" w:lineRule="auto"/>
        <w:ind w:left="0" w:right="0" w:firstLine="411" w:firstLineChars="196"/>
        <w:jc w:val="both"/>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投资者如认为代销机构推介、销售产品时有不实或未尽风险告知职责或其他疑义事项，或对本理财产品、代销机构及产品管理人服务有任何意见或建议，投资者可通过拨打代销机构客户服务热线或至代销机构营业网点等方式进行反馈，代销机构将由专人接听、记录您的意见或建议，并由双方协商共同解决。</w:t>
      </w:r>
    </w:p>
    <w:p w14:paraId="3E9C61CF">
      <w:pPr>
        <w:keepNext w:val="0"/>
        <w:keepLines w:val="0"/>
        <w:widowControl w:val="0"/>
        <w:suppressLineNumbers w:val="0"/>
        <w:spacing w:before="0" w:beforeAutospacing="0" w:after="0" w:afterAutospacing="0" w:line="360" w:lineRule="auto"/>
        <w:ind w:left="0" w:right="0" w:firstLine="413" w:firstLineChars="196"/>
        <w:jc w:val="both"/>
        <w:outlineLvl w:val="0"/>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rPr>
        <w:t>六、联络方式</w:t>
      </w:r>
    </w:p>
    <w:p w14:paraId="1AA18421">
      <w:pPr>
        <w:keepNext w:val="0"/>
        <w:keepLines w:val="0"/>
        <w:widowControl w:val="0"/>
        <w:suppressLineNumbers w:val="0"/>
        <w:spacing w:before="0" w:beforeAutospacing="0" w:after="0" w:afterAutospacing="0" w:line="360" w:lineRule="auto"/>
        <w:ind w:left="0" w:right="0" w:firstLine="411" w:firstLineChars="196"/>
        <w:jc w:val="both"/>
        <w:outlineLvl w:val="0"/>
        <w:rPr>
          <w:rFonts w:hint="eastAsia" w:ascii="宋体" w:hAnsi="宋体" w:eastAsia="宋体" w:cs="宋体"/>
          <w:b/>
          <w:bCs/>
          <w:color w:val="000000"/>
          <w:kern w:val="2"/>
          <w:sz w:val="21"/>
          <w:szCs w:val="21"/>
        </w:rPr>
      </w:pPr>
      <w:r>
        <w:rPr>
          <w:rFonts w:hint="eastAsia" w:ascii="宋体" w:hAnsi="宋体" w:eastAsia="宋体" w:cs="宋体"/>
          <w:color w:val="000000"/>
          <w:kern w:val="2"/>
          <w:sz w:val="21"/>
          <w:szCs w:val="21"/>
          <w:lang w:val="en-US" w:eastAsia="zh-CN" w:bidi="ar"/>
        </w:rPr>
        <w:t>（一）代销机构的联络方式</w:t>
      </w:r>
    </w:p>
    <w:p w14:paraId="3C02B45A">
      <w:pPr>
        <w:keepNext w:val="0"/>
        <w:keepLines w:val="0"/>
        <w:widowControl w:val="0"/>
        <w:suppressLineNumbers w:val="0"/>
        <w:spacing w:before="0" w:beforeAutospacing="0" w:after="0" w:afterAutospacing="0" w:line="360" w:lineRule="auto"/>
        <w:ind w:left="0" w:right="0" w:firstLine="411" w:firstLineChars="196"/>
        <w:jc w:val="both"/>
        <w:outlineLvl w:val="0"/>
        <w:rPr>
          <w:rFonts w:hint="eastAsia" w:ascii="宋体" w:hAnsi="宋体" w:eastAsia="宋体" w:cs="宋体"/>
          <w:color w:val="000000"/>
          <w:kern w:val="2"/>
          <w:sz w:val="21"/>
          <w:szCs w:val="21"/>
        </w:rPr>
      </w:pPr>
      <w:r>
        <w:rPr>
          <w:rFonts w:hint="eastAsia" w:ascii="宋体" w:hAnsi="宋体" w:eastAsia="宋体" w:cs="宋体"/>
          <w:bCs w:val="0"/>
          <w:color w:val="000000"/>
          <w:kern w:val="2"/>
          <w:sz w:val="21"/>
          <w:szCs w:val="21"/>
          <w:lang w:val="en-US" w:eastAsia="zh-CN" w:bidi="ar"/>
        </w:rPr>
        <w:t>B类份额</w:t>
      </w:r>
      <w:r>
        <w:rPr>
          <w:rFonts w:hint="eastAsia" w:ascii="宋体" w:hAnsi="宋体" w:eastAsia="宋体" w:cs="宋体"/>
          <w:color w:val="000000"/>
          <w:kern w:val="2"/>
          <w:sz w:val="21"/>
          <w:szCs w:val="21"/>
          <w:lang w:val="en-US" w:eastAsia="zh-CN" w:bidi="ar"/>
        </w:rPr>
        <w:t>：</w:t>
      </w:r>
    </w:p>
    <w:p w14:paraId="7EAEA82B">
      <w:pPr>
        <w:keepNext w:val="0"/>
        <w:keepLines w:val="0"/>
        <w:widowControl w:val="0"/>
        <w:suppressLineNumbers w:val="0"/>
        <w:spacing w:before="0" w:beforeAutospacing="0" w:after="0" w:afterAutospacing="0" w:line="360" w:lineRule="auto"/>
        <w:ind w:left="0" w:right="0" w:firstLine="411" w:firstLineChars="196"/>
        <w:jc w:val="both"/>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温州银行客户服务热线：0577-96699</w:t>
      </w:r>
    </w:p>
    <w:p w14:paraId="487A2803">
      <w:pPr>
        <w:keepNext w:val="0"/>
        <w:keepLines w:val="0"/>
        <w:widowControl w:val="0"/>
        <w:suppressLineNumbers w:val="0"/>
        <w:spacing w:before="0" w:beforeAutospacing="0" w:after="0" w:afterAutospacing="0" w:line="360" w:lineRule="auto"/>
        <w:ind w:left="0" w:right="0" w:firstLine="411" w:firstLineChars="196"/>
        <w:jc w:val="both"/>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温州银行官方网站：www.wzbank.cn</w:t>
      </w:r>
    </w:p>
    <w:p w14:paraId="7C2D7696">
      <w:pPr>
        <w:keepNext w:val="0"/>
        <w:keepLines w:val="0"/>
        <w:widowControl w:val="0"/>
        <w:numPr>
          <w:ilvl w:val="0"/>
          <w:numId w:val="2"/>
        </w:numPr>
        <w:suppressLineNumbers w:val="0"/>
        <w:spacing w:before="0" w:beforeAutospacing="0" w:after="0" w:afterAutospacing="0" w:line="360" w:lineRule="auto"/>
        <w:ind w:left="0" w:right="0" w:firstLine="411" w:firstLineChars="196"/>
        <w:jc w:val="both"/>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产品管理人的联络方式</w:t>
      </w:r>
    </w:p>
    <w:p w14:paraId="121BC18A">
      <w:pPr>
        <w:keepNext w:val="0"/>
        <w:keepLines w:val="0"/>
        <w:widowControl w:val="0"/>
        <w:suppressLineNumbers w:val="0"/>
        <w:spacing w:before="0" w:beforeAutospacing="0" w:after="0" w:afterAutospacing="0" w:line="360" w:lineRule="auto"/>
        <w:ind w:left="0" w:right="0" w:firstLine="420" w:firstLineChars="200"/>
        <w:jc w:val="both"/>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北银理财通讯地址：北京市西城区金融大街甲9号金融街中心大厦A座11层，邮编：100035</w:t>
      </w:r>
    </w:p>
    <w:p w14:paraId="7F8CE57F">
      <w:pPr>
        <w:keepNext w:val="0"/>
        <w:keepLines w:val="0"/>
        <w:widowControl w:val="0"/>
        <w:suppressLineNumbers w:val="0"/>
        <w:spacing w:before="0" w:beforeAutospacing="0" w:after="0" w:afterAutospacing="0" w:line="360" w:lineRule="auto"/>
        <w:ind w:left="0" w:right="0" w:firstLine="420" w:firstLineChars="200"/>
        <w:jc w:val="both"/>
        <w:outlineLvl w:val="0"/>
        <w:rPr>
          <w:rFonts w:hint="eastAsia" w:ascii="宋体" w:hAnsi="宋体" w:eastAsia="宋体" w:cs="宋体"/>
          <w:b/>
          <w:bCs/>
          <w:color w:val="000000"/>
          <w:kern w:val="2"/>
          <w:sz w:val="21"/>
          <w:szCs w:val="21"/>
        </w:rPr>
      </w:pPr>
      <w:r>
        <w:rPr>
          <w:rFonts w:hint="eastAsia" w:ascii="宋体" w:hAnsi="宋体" w:eastAsia="宋体" w:cs="宋体"/>
          <w:b w:val="0"/>
          <w:bCs w:val="0"/>
          <w:color w:val="000000"/>
          <w:kern w:val="2"/>
          <w:sz w:val="21"/>
          <w:szCs w:val="21"/>
          <w:lang w:val="en-US" w:eastAsia="zh-CN" w:bidi="ar"/>
        </w:rPr>
        <w:t>北银理财官方网站：</w:t>
      </w:r>
      <w:r>
        <w:rPr>
          <w:rFonts w:hint="eastAsia" w:ascii="宋体" w:hAnsi="宋体" w:eastAsia="宋体" w:cs="宋体"/>
          <w:color w:val="000000"/>
          <w:kern w:val="2"/>
          <w:sz w:val="21"/>
          <w:szCs w:val="21"/>
          <w:lang w:val="en-US" w:eastAsia="zh-CN" w:bidi="ar"/>
        </w:rPr>
        <w:t>www.beijingbobwealth.com.cn</w:t>
      </w:r>
    </w:p>
    <w:p w14:paraId="36B6306E">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rPr>
        <w:t>声明：本人/本公司知悉《风险揭示书》、《理财产品投资协议书》、《理财产品说明书》、《投资者权益须知》和《销售（代理销售）协议书》等共同构成本理财产品完整的不可分割的理财产品销售文件，本人/本公司确认已经收到本理财产品完整销售文件，且已经认真阅读、理解并接受所有条款及相关法律规定，确认已经获得满意的信息披露，理解并认可本理财产品的性质、风险及可能的损失，并愿意承担且有能力承担该等风险。</w:t>
      </w:r>
    </w:p>
    <w:p w14:paraId="1D4515E3">
      <w:pPr>
        <w:pStyle w:val="2"/>
        <w:widowControl/>
        <w:ind w:left="0" w:right="0"/>
        <w:jc w:val="left"/>
        <w:rPr>
          <w:rFonts w:hint="eastAsia" w:ascii="宋体" w:hAnsi="宋体" w:eastAsia="宋体" w:cs="宋体"/>
          <w:color w:val="000000"/>
          <w:kern w:val="2"/>
          <w:sz w:val="21"/>
          <w:szCs w:val="21"/>
        </w:rPr>
      </w:pPr>
      <w:bookmarkStart w:id="0" w:name="_GoBack"/>
      <w:bookmarkEnd w:id="0"/>
      <w:r>
        <w:rPr>
          <w:rFonts w:hint="eastAsia" w:ascii="宋体" w:hAnsi="宋体" w:eastAsia="宋体" w:cs="宋体"/>
          <w:color w:val="000000"/>
          <w:kern w:val="2"/>
          <w:sz w:val="21"/>
          <w:szCs w:val="21"/>
        </w:rPr>
        <w:t xml:space="preserve"> </w:t>
      </w:r>
    </w:p>
    <w:p w14:paraId="53216E3E">
      <w:pPr>
        <w:pStyle w:val="2"/>
        <w:widowControl/>
        <w:ind w:left="0" w:right="0"/>
        <w:jc w:val="left"/>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（以下无正文，为《投资者权益须知》签署栏）</w:t>
      </w:r>
    </w:p>
    <w:p w14:paraId="2248423F">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lang w:val="en-US" w:eastAsia="zh-CN" w:bidi="ar"/>
        </w:rPr>
        <w:t xml:space="preserve"> </w:t>
      </w:r>
    </w:p>
    <w:p w14:paraId="5C8EF929">
      <w:pPr>
        <w:pStyle w:val="3"/>
        <w:widowControl/>
        <w:spacing w:before="0" w:beforeAutospacing="1"/>
        <w:ind w:leftChars="200" w:right="0"/>
        <w:rPr>
          <w:rFonts w:hint="default" w:ascii="Times New Roman" w:hAnsi="Times New Roman" w:eastAsia="宋体" w:cs="Times New Roman"/>
          <w:color w:val="000000"/>
          <w:kern w:val="2"/>
          <w:sz w:val="21"/>
          <w:szCs w:val="21"/>
        </w:rPr>
      </w:pPr>
      <w:r>
        <w:rPr>
          <w:rFonts w:hint="default" w:ascii="Times New Roman" w:hAnsi="Times New Roman" w:eastAsia="宋体" w:cs="Times New Roman"/>
          <w:color w:val="000000"/>
          <w:kern w:val="2"/>
          <w:sz w:val="21"/>
          <w:szCs w:val="21"/>
        </w:rPr>
        <w:t xml:space="preserve"> </w:t>
      </w:r>
    </w:p>
    <w:p w14:paraId="292DCAB9">
      <w:pPr>
        <w:keepNext w:val="0"/>
        <w:keepLines w:val="0"/>
        <w:widowControl w:val="0"/>
        <w:suppressLineNumbers w:val="0"/>
        <w:spacing w:before="0" w:beforeAutospacing="0" w:after="0" w:afterAutospacing="0" w:line="360" w:lineRule="auto"/>
        <w:ind w:left="0" w:right="0" w:firstLine="3990" w:firstLineChars="19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个人投资者（签名）：</w:t>
      </w:r>
    </w:p>
    <w:p w14:paraId="0437620E">
      <w:pPr>
        <w:keepNext w:val="0"/>
        <w:keepLines w:val="0"/>
        <w:widowControl w:val="0"/>
        <w:suppressLineNumbers w:val="0"/>
        <w:spacing w:before="0" w:beforeAutospacing="0" w:after="0" w:afterAutospacing="0" w:line="360" w:lineRule="auto"/>
        <w:ind w:left="0" w:right="0" w:firstLine="5460" w:firstLineChars="26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日期：</w:t>
      </w:r>
    </w:p>
    <w:p w14:paraId="53BBAAB0">
      <w:pPr>
        <w:pStyle w:val="3"/>
        <w:widowControl/>
        <w:spacing w:before="0" w:beforeAutospacing="1"/>
        <w:ind w:left="420" w:leftChars="200" w:right="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 </w:t>
      </w:r>
    </w:p>
    <w:p w14:paraId="2EA04064">
      <w:pPr>
        <w:pStyle w:val="2"/>
        <w:widowControl/>
        <w:ind w:left="0" w:right="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 </w:t>
      </w:r>
    </w:p>
    <w:p w14:paraId="46E7E92C">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14:paraId="3EA67306">
      <w:pPr>
        <w:pStyle w:val="3"/>
        <w:widowControl/>
        <w:spacing w:before="0" w:beforeAutospacing="1"/>
        <w:ind w:left="420" w:leftChars="200" w:right="0"/>
        <w:rPr>
          <w:rFonts w:hint="default" w:ascii="Times New Roman" w:hAnsi="Times New Roman" w:eastAsia="宋体" w:cs="Times New Roman"/>
          <w:color w:val="000000"/>
          <w:kern w:val="2"/>
          <w:sz w:val="21"/>
          <w:szCs w:val="21"/>
        </w:rPr>
      </w:pPr>
      <w:r>
        <w:rPr>
          <w:rFonts w:hint="default" w:ascii="Times New Roman" w:hAnsi="Times New Roman" w:eastAsia="宋体" w:cs="Times New Roman"/>
          <w:color w:val="000000"/>
          <w:kern w:val="2"/>
          <w:sz w:val="21"/>
          <w:szCs w:val="21"/>
        </w:rPr>
        <w:t xml:space="preserve"> </w:t>
      </w:r>
    </w:p>
    <w:p w14:paraId="46471FDF">
      <w:pPr>
        <w:keepNext w:val="0"/>
        <w:keepLines w:val="0"/>
        <w:widowControl w:val="0"/>
        <w:suppressLineNumbers w:val="0"/>
        <w:spacing w:before="0" w:beforeAutospacing="0" w:after="0" w:afterAutospacing="0" w:line="360" w:lineRule="auto"/>
        <w:ind w:left="0" w:right="0" w:firstLine="3990" w:firstLineChars="19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机构投资者（盖章）：</w:t>
      </w:r>
    </w:p>
    <w:p w14:paraId="3ACA556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机构投资者法定代表人（或负责人）或授权代表（签名或盖章）：</w:t>
      </w:r>
    </w:p>
    <w:p w14:paraId="55A5347D">
      <w:pPr>
        <w:keepNext w:val="0"/>
        <w:keepLines w:val="0"/>
        <w:widowControl w:val="0"/>
        <w:suppressLineNumbers w:val="0"/>
        <w:autoSpaceDE w:val="0"/>
        <w:autoSpaceDN w:val="0"/>
        <w:adjustRightInd w:val="0"/>
        <w:spacing w:before="0" w:beforeAutospacing="0" w:after="0" w:afterAutospacing="0" w:line="360" w:lineRule="auto"/>
        <w:ind w:left="0" w:right="0" w:firstLine="5460" w:firstLineChars="26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日期：</w:t>
      </w:r>
    </w:p>
    <w:p w14:paraId="10FCF14F">
      <w:pPr>
        <w:pStyle w:val="3"/>
        <w:widowControl/>
        <w:spacing w:before="0" w:beforeAutospacing="1"/>
        <w:ind w:left="420" w:leftChars="200" w:right="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 </w:t>
      </w:r>
    </w:p>
    <w:p w14:paraId="0A8020A7">
      <w:pPr>
        <w:rPr>
          <w:rFonts w:ascii="宋体" w:hAnsi="宋体" w:eastAsia="宋体" w:cs="宋体"/>
          <w:color w:val="000000"/>
          <w:szCs w:val="21"/>
        </w:rPr>
      </w:pPr>
    </w:p>
    <w:p w14:paraId="682985BC">
      <w:pPr>
        <w:widowControl w:val="0"/>
        <w:spacing w:after="0"/>
        <w:ind w:left="420" w:leftChars="200" w:firstLine="360"/>
        <w:jc w:val="both"/>
        <w:rPr>
          <w:rFonts w:ascii="宋体" w:hAnsi="宋体" w:eastAsia="宋体" w:cs="宋体"/>
          <w:color w:val="000000"/>
          <w:kern w:val="2"/>
          <w:sz w:val="21"/>
          <w:szCs w:val="21"/>
          <w:lang w:val="en-US" w:eastAsia="zh-CN" w:bidi="ar-SA"/>
        </w:rPr>
      </w:pPr>
    </w:p>
    <w:p w14:paraId="55A368CD">
      <w:pPr>
        <w:widowControl w:val="0"/>
        <w:spacing w:before="120" w:after="120"/>
        <w:jc w:val="both"/>
        <w:rPr>
          <w:rFonts w:ascii="宋体" w:hAnsi="宋体" w:eastAsia="宋体" w:cs="宋体"/>
          <w:color w:val="000000"/>
          <w:kern w:val="2"/>
          <w:sz w:val="21"/>
          <w:szCs w:val="21"/>
          <w:lang w:val="en-US" w:eastAsia="zh-CN" w:bidi="ar-SA"/>
        </w:rPr>
      </w:pPr>
    </w:p>
    <w:p w14:paraId="3BDE0911">
      <w:pPr>
        <w:widowControl w:val="0"/>
        <w:spacing w:after="0"/>
        <w:ind w:left="0" w:leftChars="0" w:firstLine="0"/>
        <w:jc w:val="both"/>
        <w:rPr>
          <w:rFonts w:ascii="Times New Roman" w:hAnsi="Times New Roman" w:eastAsia="宋体" w:cs="Times New Roman"/>
          <w:color w:val="000000"/>
          <w:kern w:val="2"/>
          <w:sz w:val="21"/>
          <w:szCs w:val="21"/>
          <w:lang w:val="en-US" w:eastAsia="zh-CN" w:bidi="ar-SA"/>
        </w:rPr>
      </w:pPr>
    </w:p>
    <w:p w14:paraId="314955D9"/>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彩虹粗仿宋">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eastAsia="宋体" w:cs="Times New Roman"/>
        <w:kern w:val="2"/>
        <w:sz w:val="21"/>
        <w:szCs w:val="24"/>
        <w:lang w:val="en-US" w:eastAsia="zh-CN" w:bidi="ar-SA"/>
      </w:rPr>
      <w:id w:val="4123877"/>
    </w:sdtPr>
    <w:sdtEndPr>
      <w:rPr>
        <w:rFonts w:ascii="Times New Roman" w:hAnsi="Times New Roman" w:eastAsia="宋体" w:cs="Times New Roman"/>
        <w:kern w:val="2"/>
        <w:sz w:val="18"/>
        <w:szCs w:val="18"/>
        <w:lang w:val="en-US" w:eastAsia="zh-CN" w:bidi="ar-SA"/>
      </w:rPr>
    </w:sdtEndPr>
    <w:sdtContent>
      <w:sdt>
        <w:sdtPr>
          <w:rPr>
            <w:rFonts w:ascii="Times New Roman" w:hAnsi="Times New Roman" w:eastAsia="宋体" w:cs="Times New Roman"/>
            <w:kern w:val="2"/>
            <w:sz w:val="21"/>
            <w:szCs w:val="24"/>
            <w:lang w:val="en-US" w:eastAsia="zh-CN" w:bidi="ar-SA"/>
          </w:rPr>
          <w:id w:val="171357217"/>
        </w:sdtPr>
        <w:sdtEndPr>
          <w:rPr>
            <w:rFonts w:ascii="Times New Roman" w:hAnsi="Times New Roman" w:eastAsia="宋体" w:cs="Times New Roman"/>
            <w:kern w:val="2"/>
            <w:sz w:val="18"/>
            <w:szCs w:val="18"/>
            <w:lang w:val="en-US" w:eastAsia="zh-CN" w:bidi="ar-SA"/>
          </w:rPr>
        </w:sdtEndPr>
        <w:sdtContent>
          <w:p w14:paraId="50301E33">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zh-CN" w:eastAsia="zh-CN" w:bidi="ar-SA"/>
              </w:rPr>
              <w:t xml:space="preserve"> </w:t>
            </w:r>
            <w:r>
              <w:rPr>
                <w:rFonts w:ascii="Times New Roman" w:hAnsi="Times New Roman" w:eastAsia="宋体" w:cs="Times New Roman"/>
                <w:b/>
                <w:kern w:val="2"/>
                <w:sz w:val="24"/>
                <w:szCs w:val="24"/>
                <w:lang w:val="en-US" w:eastAsia="zh-CN" w:bidi="ar-SA"/>
              </w:rPr>
              <w:fldChar w:fldCharType="begin"/>
            </w:r>
            <w:r>
              <w:rPr>
                <w:rFonts w:ascii="Times New Roman" w:hAnsi="Times New Roman" w:eastAsia="宋体" w:cs="Times New Roman"/>
                <w:b/>
                <w:kern w:val="2"/>
                <w:sz w:val="18"/>
                <w:szCs w:val="18"/>
                <w:lang w:val="en-US" w:eastAsia="zh-CN" w:bidi="ar-SA"/>
              </w:rPr>
              <w:instrText xml:space="preserve">PAGE</w:instrText>
            </w:r>
            <w:r>
              <w:rPr>
                <w:rFonts w:ascii="Times New Roman" w:hAnsi="Times New Roman" w:eastAsia="宋体" w:cs="Times New Roman"/>
                <w:b/>
                <w:kern w:val="2"/>
                <w:sz w:val="24"/>
                <w:szCs w:val="24"/>
                <w:lang w:val="en-US" w:eastAsia="zh-CN" w:bidi="ar-SA"/>
              </w:rPr>
              <w:fldChar w:fldCharType="separate"/>
            </w:r>
            <w:r>
              <w:rPr>
                <w:rFonts w:ascii="Times New Roman" w:hAnsi="Times New Roman" w:eastAsia="宋体" w:cs="Times New Roman"/>
                <w:b/>
                <w:kern w:val="2"/>
                <w:sz w:val="18"/>
                <w:szCs w:val="18"/>
                <w:lang w:val="en-US" w:eastAsia="zh-CN" w:bidi="ar-SA"/>
              </w:rPr>
              <w:t>36</w:t>
            </w:r>
            <w:r>
              <w:rPr>
                <w:rFonts w:ascii="Times New Roman" w:hAnsi="Times New Roman" w:eastAsia="宋体" w:cs="Times New Roman"/>
                <w:b/>
                <w:kern w:val="2"/>
                <w:sz w:val="24"/>
                <w:szCs w:val="24"/>
                <w:lang w:val="en-US" w:eastAsia="zh-CN" w:bidi="ar-SA"/>
              </w:rPr>
              <w:fldChar w:fldCharType="end"/>
            </w:r>
            <w:r>
              <w:rPr>
                <w:rFonts w:ascii="Times New Roman" w:hAnsi="Times New Roman" w:eastAsia="宋体" w:cs="Times New Roman"/>
                <w:kern w:val="2"/>
                <w:sz w:val="18"/>
                <w:szCs w:val="18"/>
                <w:lang w:val="zh-CN" w:eastAsia="zh-CN" w:bidi="ar-SA"/>
              </w:rPr>
              <w:t xml:space="preserve"> / </w:t>
            </w:r>
            <w:r>
              <w:rPr>
                <w:rFonts w:ascii="Times New Roman" w:hAnsi="Times New Roman" w:eastAsia="宋体" w:cs="Times New Roman"/>
                <w:b/>
                <w:kern w:val="2"/>
                <w:sz w:val="24"/>
                <w:szCs w:val="24"/>
                <w:lang w:val="en-US" w:eastAsia="zh-CN" w:bidi="ar-SA"/>
              </w:rPr>
              <w:fldChar w:fldCharType="begin"/>
            </w:r>
            <w:r>
              <w:rPr>
                <w:rFonts w:ascii="Times New Roman" w:hAnsi="Times New Roman" w:eastAsia="宋体" w:cs="Times New Roman"/>
                <w:b/>
                <w:kern w:val="2"/>
                <w:sz w:val="18"/>
                <w:szCs w:val="18"/>
                <w:lang w:val="en-US" w:eastAsia="zh-CN" w:bidi="ar-SA"/>
              </w:rPr>
              <w:instrText xml:space="preserve">NUMPAGES</w:instrText>
            </w:r>
            <w:r>
              <w:rPr>
                <w:rFonts w:ascii="Times New Roman" w:hAnsi="Times New Roman" w:eastAsia="宋体" w:cs="Times New Roman"/>
                <w:b/>
                <w:kern w:val="2"/>
                <w:sz w:val="24"/>
                <w:szCs w:val="24"/>
                <w:lang w:val="en-US" w:eastAsia="zh-CN" w:bidi="ar-SA"/>
              </w:rPr>
              <w:fldChar w:fldCharType="separate"/>
            </w:r>
            <w:r>
              <w:rPr>
                <w:rFonts w:ascii="Times New Roman" w:hAnsi="Times New Roman" w:eastAsia="宋体" w:cs="Times New Roman"/>
                <w:b/>
                <w:kern w:val="2"/>
                <w:sz w:val="18"/>
                <w:szCs w:val="18"/>
                <w:lang w:val="en-US" w:eastAsia="zh-CN" w:bidi="ar-SA"/>
              </w:rPr>
              <w:t>44</w:t>
            </w:r>
            <w:r>
              <w:rPr>
                <w:rFonts w:ascii="Times New Roman" w:hAnsi="Times New Roman" w:eastAsia="宋体" w:cs="Times New Roman"/>
                <w:b/>
                <w:kern w:val="2"/>
                <w:sz w:val="24"/>
                <w:szCs w:val="24"/>
                <w:lang w:val="en-US" w:eastAsia="zh-CN" w:bidi="ar-SA"/>
              </w:rPr>
              <w:fldChar w:fldCharType="end"/>
            </w:r>
          </w:p>
        </w:sdtContent>
      </w:sdt>
    </w:sdtContent>
  </w:sdt>
  <w:p w14:paraId="677EB486">
    <w:pPr>
      <w:widowControl w:val="0"/>
      <w:tabs>
        <w:tab w:val="center" w:pos="4153"/>
        <w:tab w:val="right" w:pos="8306"/>
      </w:tabs>
      <w:snapToGrid w:val="0"/>
      <w:jc w:val="center"/>
      <w:rPr>
        <w:rFonts w:ascii="Times New Roman" w:hAnsi="Times New Roman" w:eastAsia="宋体" w:cs="Times New Roman"/>
        <w:kern w:val="2"/>
        <w:sz w:val="21"/>
        <w:szCs w:val="21"/>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7EE44">
    <w:pPr>
      <w:framePr w:wrap="around" w:vAnchor="text" w:hAnchor="margin" w:xAlign="center" w:y="1"/>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14:paraId="1CDE3181">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F7311">
    <w:pPr>
      <w:rPr>
        <w:rFonts w:ascii="Times New Roman" w:hAnsi="Times New Roman" w:eastAsia="宋体" w:cs="Times New Roman"/>
        <w:b/>
        <w:u w:val="single"/>
      </w:rPr>
    </w:pPr>
    <w:r>
      <w:rPr>
        <w:rFonts w:hint="eastAsia" w:ascii="黑体" w:hAnsi="黑体" w:eastAsia="黑体" w:cs="Times New Roman"/>
        <w:b/>
      </w:rPr>
      <w:t>北银理财·</w:t>
    </w:r>
    <w:r>
      <w:rPr>
        <w:rFonts w:hint="eastAsia" w:ascii="黑体" w:hAnsi="黑体" w:eastAsia="黑体" w:cs="Times New Roman"/>
        <w:b/>
        <w:color w:val="auto"/>
      </w:rPr>
      <w:t>春系列易淘金</w:t>
    </w:r>
    <w:r>
      <w:rPr>
        <w:rFonts w:hint="eastAsia" w:ascii="黑体" w:hAnsi="黑体" w:eastAsia="黑体" w:cs="Times New Roman"/>
        <w:b/>
        <w:color w:val="FF0000"/>
      </w:rPr>
      <w:t xml:space="preserve"> </w:t>
    </w:r>
    <w:r>
      <w:rPr>
        <w:rFonts w:hint="eastAsia" w:ascii="黑体" w:hAnsi="黑体" w:eastAsia="黑体" w:cs="Times New Roman"/>
        <w:b/>
      </w:rPr>
      <w:t xml:space="preserve">     </w:t>
    </w:r>
    <w:r>
      <w:rPr>
        <w:rFonts w:hint="eastAsia" w:ascii="黑体" w:hAnsi="黑体" w:eastAsia="黑体" w:cs="Times New Roman"/>
        <w:b/>
        <w:sz w:val="24"/>
        <w:szCs w:val="32"/>
      </w:rPr>
      <w:t>理财非存款，产品有风险，投资须谨慎！</w:t>
    </w:r>
    <w:r>
      <w:rPr>
        <w:rFonts w:ascii="Times New Roman" w:hAnsi="Times New Roman" w:eastAsia="宋体" w:cs="Times New Roman"/>
        <w:b/>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0D223D"/>
    <w:multiLevelType w:val="multilevel"/>
    <w:tmpl w:val="840D223D"/>
    <w:lvl w:ilvl="0" w:tentative="0">
      <w:start w:val="4"/>
      <w:numFmt w:val="chineseCounting"/>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02E2E222"/>
    <w:multiLevelType w:val="multilevel"/>
    <w:tmpl w:val="02E2E222"/>
    <w:lvl w:ilvl="0" w:tentative="0">
      <w:start w:val="2"/>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lZmE2YTQ5MzUyMTdmNzc3MjYyMjQ4YTNmNWFlZWYifQ=="/>
  </w:docVars>
  <w:rsids>
    <w:rsidRoot w:val="00000000"/>
    <w:rsid w:val="07663D75"/>
    <w:rsid w:val="1A2731AC"/>
    <w:rsid w:val="1EBA70F8"/>
    <w:rsid w:val="249E397E"/>
    <w:rsid w:val="2E497DF1"/>
    <w:rsid w:val="36ED04AD"/>
    <w:rsid w:val="45D24FEE"/>
    <w:rsid w:val="4DE72DDF"/>
    <w:rsid w:val="56BC4ADC"/>
    <w:rsid w:val="61D77361"/>
    <w:rsid w:val="6D975883"/>
    <w:rsid w:val="775A1CF3"/>
    <w:rsid w:val="7D910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qFormat/>
    <w:uiPriority w:val="0"/>
    <w:pPr>
      <w:keepNext w:val="0"/>
      <w:keepLines w:val="0"/>
      <w:widowControl w:val="0"/>
      <w:suppressLineNumbers w:val="0"/>
      <w:spacing w:before="120" w:beforeAutospacing="0" w:after="120" w:afterAutospacing="0"/>
      <w:jc w:val="both"/>
    </w:pPr>
    <w:rPr>
      <w:rFonts w:hint="default" w:ascii="Times New Roman" w:hAnsi="Times New Roman" w:eastAsia="宋体" w:cs="Times New Roman"/>
      <w:kern w:val="2"/>
      <w:sz w:val="21"/>
      <w:szCs w:val="21"/>
      <w:lang w:val="en-US" w:eastAsia="zh-CN" w:bidi="ar"/>
    </w:rPr>
  </w:style>
  <w:style w:type="paragraph" w:styleId="3">
    <w:name w:val="Body Text First Indent 2"/>
    <w:next w:val="2"/>
    <w:qFormat/>
    <w:uiPriority w:val="0"/>
    <w:pPr>
      <w:keepNext w:val="0"/>
      <w:keepLines w:val="0"/>
      <w:widowControl w:val="0"/>
      <w:suppressLineNumbers w:val="0"/>
      <w:spacing w:after="0" w:afterAutospacing="0"/>
      <w:ind w:left="360" w:leftChars="200" w:firstLine="360"/>
      <w:jc w:val="both"/>
    </w:pPr>
    <w:rPr>
      <w:rFonts w:hint="default" w:ascii="Times New Roman" w:hAnsi="Times New Roman" w:eastAsia="宋体" w:cs="Times New Roman"/>
      <w:kern w:val="2"/>
      <w:sz w:val="21"/>
      <w:szCs w:val="21"/>
      <w:lang w:val="en-US" w:eastAsia="zh-CN" w:bidi="ar"/>
    </w:rPr>
  </w:style>
  <w:style w:type="character" w:styleId="6">
    <w:name w:val="Hyperlink"/>
    <w:basedOn w:val="5"/>
    <w:qFormat/>
    <w:uiPriority w:val="0"/>
    <w:rPr>
      <w:color w:val="0000FF"/>
      <w:u w:val="single"/>
    </w:rPr>
  </w:style>
  <w:style w:type="character" w:customStyle="1" w:styleId="7">
    <w:name w:val="15"/>
    <w:basedOn w:val="5"/>
    <w:uiPriority w:val="0"/>
    <w:rPr>
      <w:rFonts w:hint="default" w:ascii="Calibri" w:hAnsi="Calibri" w:cs="Calibri"/>
      <w:color w:val="0000FF"/>
      <w:u w:val="single"/>
    </w:rPr>
  </w:style>
  <w:style w:type="paragraph" w:customStyle="1" w:styleId="8">
    <w:name w:val="Default"/>
    <w:basedOn w:val="1"/>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default" w:ascii="仿宋_GB2312" w:hAnsi="Calibri" w:eastAsia="仿宋_GB2312" w:cs="仿宋_GB2312"/>
      <w:color w:val="000000"/>
      <w:kern w:val="0"/>
      <w:sz w:val="24"/>
      <w:szCs w:val="24"/>
      <w:lang w:val="en-US" w:eastAsia="zh-CN" w:bidi="ar"/>
    </w:rPr>
  </w:style>
  <w:style w:type="character" w:customStyle="1" w:styleId="9">
    <w:name w:val="10"/>
    <w:basedOn w:val="5"/>
    <w:qFormat/>
    <w:uiPriority w:val="0"/>
    <w:rPr>
      <w:rFonts w:hint="default" w:ascii="Calibri" w:hAnsi="Calibri" w:cs="Calibri"/>
    </w:rPr>
  </w:style>
  <w:style w:type="character" w:customStyle="1" w:styleId="10">
    <w:name w:val="16"/>
    <w:basedOn w:val="5"/>
    <w:uiPriority w:val="0"/>
    <w:rPr>
      <w:rFonts w:hint="default" w:ascii="Calibri" w:hAnsi="Calibri" w:cs="Calibri"/>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1</Lines>
  <Paragraphs>1</Paragraphs>
  <TotalTime>1</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2026-05-08T06:35:00Z</dcterms:created>
  <dc:creator>Administrator</dc:creator>
  <cp:lastModifiedBy>00031</cp:lastModifiedBy>
  <dcterms:modified xsi:type="dcterms:W3CDTF">2026-05-08T10:12:19Z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2954212DED9B44E198FD7FFF325BD6DA</vt:lpwstr>
  </property>
</Properties>
</file>