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3CAE39">
      <w:pPr>
        <w:tabs>
          <w:tab w:val="left" w:pos="915"/>
          <w:tab w:val="center" w:pos="5273"/>
        </w:tabs>
        <w:spacing w:before="50"/>
        <w:jc w:val="center"/>
        <w:outlineLvl w:val="0"/>
        <w:rPr>
          <w:rFonts w:hint="eastAsia" w:ascii="黑体" w:hAnsi="Times New Roman" w:eastAsia="黑体" w:cs="Times New Roman"/>
          <w:b/>
          <w:bCs/>
          <w:color w:val="000000"/>
          <w:sz w:val="30"/>
          <w:szCs w:val="30"/>
        </w:rPr>
      </w:pPr>
      <w:bookmarkStart w:id="4" w:name="_GoBack"/>
      <w:bookmarkEnd w:id="4"/>
      <w:r>
        <w:rPr>
          <w:rFonts w:hint="eastAsia" w:ascii="黑体" w:hAnsi="Times New Roman" w:eastAsia="黑体" w:cs="Times New Roman"/>
          <w:b/>
          <w:bCs/>
          <w:color w:val="000000"/>
          <w:sz w:val="30"/>
          <w:szCs w:val="30"/>
        </w:rPr>
        <w:t>北银理财京华远见春系列易淘金2号现金管理类理财产品</w:t>
      </w:r>
    </w:p>
    <w:p w14:paraId="482870B6">
      <w:pPr>
        <w:tabs>
          <w:tab w:val="left" w:pos="915"/>
          <w:tab w:val="center" w:pos="5273"/>
        </w:tabs>
        <w:spacing w:before="50"/>
        <w:jc w:val="center"/>
        <w:outlineLvl w:val="0"/>
        <w:rPr>
          <w:rFonts w:ascii="黑体" w:hAnsi="楷体" w:eastAsia="黑体" w:cs="Times New Roman"/>
          <w:b/>
          <w:color w:val="000000"/>
          <w:sz w:val="30"/>
          <w:szCs w:val="30"/>
        </w:rPr>
      </w:pPr>
      <w:r>
        <w:rPr>
          <w:rFonts w:hint="eastAsia" w:ascii="黑体" w:hAnsi="Times New Roman" w:eastAsia="黑体" w:cs="Times New Roman"/>
          <w:b/>
          <w:bCs/>
          <w:color w:val="000000"/>
          <w:sz w:val="30"/>
          <w:szCs w:val="30"/>
        </w:rPr>
        <w:t>（产品登记编码：Z7008923000177）</w:t>
      </w:r>
    </w:p>
    <w:p w14:paraId="775D1669">
      <w:pPr>
        <w:tabs>
          <w:tab w:val="left" w:pos="915"/>
          <w:tab w:val="center" w:pos="5273"/>
        </w:tabs>
        <w:spacing w:before="50"/>
        <w:jc w:val="center"/>
        <w:outlineLvl w:val="0"/>
        <w:rPr>
          <w:rFonts w:ascii="黑体" w:hAnsi="楷体" w:eastAsia="黑体" w:cs="Times New Roman"/>
          <w:b/>
          <w:color w:val="000000"/>
          <w:sz w:val="30"/>
          <w:szCs w:val="30"/>
        </w:rPr>
      </w:pPr>
      <w:r>
        <w:rPr>
          <w:rFonts w:hint="eastAsia" w:ascii="黑体" w:hAnsi="楷体" w:eastAsia="黑体" w:cs="Times New Roman"/>
          <w:b/>
          <w:color w:val="000000"/>
          <w:sz w:val="30"/>
          <w:szCs w:val="30"/>
        </w:rPr>
        <w:t>理财产品说明书</w:t>
      </w:r>
    </w:p>
    <w:p w14:paraId="35413C7B">
      <w:pPr>
        <w:widowControl w:val="0"/>
        <w:spacing w:after="0" w:line="360" w:lineRule="auto"/>
        <w:ind w:left="420" w:leftChars="0"/>
        <w:jc w:val="both"/>
        <w:rPr>
          <w:rFonts w:ascii="宋体" w:hAnsi="宋体" w:eastAsia="宋体" w:cs="宋体"/>
          <w:b/>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t>★一、重要须知</w:t>
      </w:r>
    </w:p>
    <w:p w14:paraId="775E7B36">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理财非存款，产品有风险，投资须谨慎。北银理财有限责任公司（以下简称“北银理财”、“管理人”或“产品管理人”）作为本理财产品的管理人郑重提示您：《风险揭示书》、《理财产品投资协议书》、《理财产品说明书》、《投资者权益须知》和《销售（代理销售）协议书》等共同构成本理财产品完整的不可分割的理财产品销售文件。在选择购买本理财产品前，请注意投资风险，仔细阅读本理财产品销售文件，特别是加黑及加“★”标识、以及有关责任或权利限制的条款，了解本理财产品具体情况。</w:t>
      </w:r>
    </w:p>
    <w:p w14:paraId="53494F71">
      <w:pPr>
        <w:spacing w:line="360" w:lineRule="auto"/>
        <w:ind w:firstLine="422" w:firstLineChars="200"/>
        <w:rPr>
          <w:rFonts w:hint="eastAsia" w:ascii="宋体" w:hAnsi="宋体" w:eastAsia="宋体" w:cs="宋体"/>
          <w:b/>
          <w:bCs/>
          <w:color w:val="000000"/>
          <w:szCs w:val="21"/>
        </w:rPr>
      </w:pPr>
      <w:r>
        <w:rPr>
          <w:rFonts w:hint="eastAsia" w:ascii="宋体" w:hAnsi="宋体" w:eastAsia="宋体" w:cs="宋体"/>
          <w:b/>
          <w:bCs/>
          <w:color w:val="000000"/>
          <w:szCs w:val="21"/>
        </w:rPr>
        <w:t>请详细了解和审慎评估本理财产品的资金投向等基本情况，同时向产品管理人或销售机构了解本理财产品的其他相关信息，在慎重考虑后自行决定购买与自身风险承受能力和资产管理需求匹配的理财产品。在购买本理财产品后，请关注本理财产品的信息披露情况，及时获取相关信息。</w:t>
      </w:r>
    </w:p>
    <w:p w14:paraId="5F12B537">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投资者可依据该产品登记编码在“</w:t>
      </w:r>
      <w:r>
        <w:rPr>
          <w:rFonts w:hint="eastAsia" w:ascii="宋体" w:hAnsi="宋体" w:eastAsia="宋体" w:cs="宋体"/>
          <w:b/>
          <w:bCs/>
          <w:color w:val="000000"/>
          <w:szCs w:val="21"/>
          <w:lang w:eastAsia="zh-CN"/>
        </w:rPr>
        <w:t>中国理财网</w:t>
      </w:r>
      <w:r>
        <w:rPr>
          <w:rFonts w:hint="eastAsia" w:ascii="宋体" w:hAnsi="宋体" w:eastAsia="宋体" w:cs="宋体"/>
          <w:b/>
          <w:bCs/>
          <w:color w:val="000000"/>
          <w:szCs w:val="21"/>
        </w:rPr>
        <w:t>”查询本理财产品信息，“</w:t>
      </w:r>
      <w:r>
        <w:rPr>
          <w:rFonts w:hint="eastAsia" w:ascii="宋体" w:hAnsi="宋体" w:eastAsia="宋体" w:cs="宋体"/>
          <w:b/>
          <w:bCs/>
          <w:color w:val="000000"/>
          <w:szCs w:val="21"/>
          <w:lang w:eastAsia="zh-CN"/>
        </w:rPr>
        <w:t>中国理财网</w:t>
      </w:r>
      <w:r>
        <w:rPr>
          <w:rFonts w:hint="eastAsia" w:ascii="宋体" w:hAnsi="宋体" w:eastAsia="宋体" w:cs="宋体"/>
          <w:b/>
          <w:bCs/>
          <w:color w:val="000000"/>
          <w:szCs w:val="21"/>
        </w:rPr>
        <w:t>”网址：</w:t>
      </w:r>
      <w:r>
        <w:rPr>
          <w:rFonts w:hint="eastAsia" w:ascii="宋体" w:hAnsi="宋体" w:eastAsia="宋体" w:cs="宋体"/>
          <w:b/>
          <w:bCs/>
          <w:color w:val="000000"/>
          <w:szCs w:val="21"/>
        </w:rPr>
        <w:fldChar w:fldCharType="begin"/>
      </w:r>
      <w:r>
        <w:rPr>
          <w:rFonts w:hint="eastAsia" w:ascii="宋体" w:hAnsi="宋体" w:eastAsia="宋体" w:cs="宋体"/>
          <w:b/>
          <w:bCs/>
          <w:color w:val="000000"/>
          <w:szCs w:val="21"/>
        </w:rPr>
        <w:instrText xml:space="preserve"> HYPERLINK "http://www.chinawealth.com.cn。" </w:instrText>
      </w:r>
      <w:r>
        <w:rPr>
          <w:rFonts w:hint="eastAsia" w:ascii="宋体" w:hAnsi="宋体" w:eastAsia="宋体" w:cs="宋体"/>
          <w:b/>
          <w:bCs/>
          <w:color w:val="000000"/>
          <w:szCs w:val="21"/>
        </w:rPr>
        <w:fldChar w:fldCharType="separate"/>
      </w:r>
      <w:r>
        <w:rPr>
          <w:rFonts w:hint="eastAsia" w:ascii="宋体" w:hAnsi="宋体" w:eastAsia="宋体" w:cs="宋体"/>
          <w:b/>
          <w:bCs/>
          <w:color w:val="000000"/>
          <w:szCs w:val="21"/>
          <w:u w:val="single"/>
        </w:rPr>
        <w:t>www.chinawealth.com.cn</w:t>
      </w:r>
      <w:r>
        <w:rPr>
          <w:rFonts w:hint="eastAsia" w:ascii="宋体" w:hAnsi="宋体" w:eastAsia="宋体" w:cs="宋体"/>
          <w:b/>
          <w:bCs/>
          <w:color w:val="000000"/>
          <w:szCs w:val="21"/>
        </w:rPr>
        <w:fldChar w:fldCharType="end"/>
      </w:r>
      <w:r>
        <w:rPr>
          <w:rFonts w:hint="eastAsia" w:ascii="宋体" w:hAnsi="宋体" w:eastAsia="宋体" w:cs="宋体"/>
          <w:b/>
          <w:bCs/>
          <w:color w:val="000000"/>
          <w:szCs w:val="21"/>
          <w:lang w:eastAsia="zh-CN"/>
        </w:rPr>
        <w:t>。</w:t>
      </w:r>
    </w:p>
    <w:p w14:paraId="320B69A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本理财产品仅向依据中华人民共和国有关法律法规、监管规定及本理财产品销售文件约定可以购买本理财产品的投资者（以下简称“投资者”）发售。本理财产品为开放式净值型理财产品、公募理财产品、</w:t>
      </w:r>
      <w:r>
        <w:rPr>
          <w:rFonts w:hint="eastAsia" w:ascii="宋体" w:hAnsi="宋体" w:eastAsia="宋体" w:cs="宋体"/>
          <w:color w:val="000000"/>
          <w:szCs w:val="21"/>
          <w:lang w:eastAsia="zh-Hans"/>
        </w:rPr>
        <w:t>非保本浮动收益</w:t>
      </w:r>
      <w:r>
        <w:rPr>
          <w:rFonts w:hint="eastAsia" w:ascii="宋体" w:hAnsi="宋体" w:eastAsia="宋体" w:cs="宋体"/>
          <w:color w:val="000000"/>
          <w:szCs w:val="21"/>
        </w:rPr>
        <w:t>型理财产品、</w:t>
      </w:r>
      <w:r>
        <w:rPr>
          <w:rFonts w:hint="eastAsia" w:ascii="宋体" w:hAnsi="宋体" w:eastAsia="宋体" w:cs="宋体"/>
          <w:color w:val="000000"/>
          <w:szCs w:val="21"/>
          <w:lang w:val="en-US" w:eastAsia="zh-CN"/>
        </w:rPr>
        <w:t>固定收益</w:t>
      </w:r>
      <w:r>
        <w:rPr>
          <w:rFonts w:hint="eastAsia" w:ascii="宋体" w:hAnsi="宋体" w:eastAsia="宋体" w:cs="宋体"/>
          <w:color w:val="000000"/>
          <w:szCs w:val="21"/>
        </w:rPr>
        <w:t>类理财产品。本理财产品的任何业绩比较基准或类似表述均不具有法律效力，不代表投资者可能获得的实际清算分配金额，亦不构成产品管理人对本理财产品的任何应分配金额承诺，仅供投资者作出投资决定时参考。</w:t>
      </w:r>
    </w:p>
    <w:p w14:paraId="3BBC57EE">
      <w:pPr>
        <w:spacing w:line="360" w:lineRule="auto"/>
        <w:ind w:firstLine="420" w:firstLineChars="200"/>
        <w:rPr>
          <w:rFonts w:ascii="宋体" w:hAnsi="宋体" w:eastAsia="宋体" w:cs="宋体"/>
          <w:b/>
          <w:color w:val="000000"/>
          <w:szCs w:val="21"/>
        </w:rPr>
      </w:pPr>
      <w:r>
        <w:rPr>
          <w:rFonts w:hint="eastAsia" w:ascii="宋体" w:hAnsi="宋体" w:eastAsia="宋体" w:cs="宋体"/>
          <w:color w:val="000000"/>
          <w:szCs w:val="21"/>
        </w:rPr>
        <w:t>★</w:t>
      </w:r>
      <w:r>
        <w:rPr>
          <w:rFonts w:hint="eastAsia" w:ascii="宋体" w:hAnsi="宋体" w:eastAsia="宋体" w:cs="宋体"/>
          <w:b/>
          <w:color w:val="000000"/>
          <w:szCs w:val="21"/>
        </w:rPr>
        <w:t>二、释义</w:t>
      </w:r>
    </w:p>
    <w:p w14:paraId="4310CCCE">
      <w:pPr>
        <w:spacing w:line="360" w:lineRule="auto"/>
        <w:ind w:firstLine="420" w:firstLineChars="200"/>
        <w:outlineLvl w:val="0"/>
        <w:rPr>
          <w:rFonts w:ascii="宋体" w:hAnsi="宋体" w:eastAsia="宋体" w:cs="宋体"/>
          <w:color w:val="000000"/>
          <w:szCs w:val="21"/>
        </w:rPr>
      </w:pPr>
      <w:r>
        <w:rPr>
          <w:rFonts w:hint="eastAsia" w:ascii="宋体" w:hAnsi="宋体" w:eastAsia="宋体" w:cs="宋体"/>
          <w:color w:val="000000"/>
          <w:szCs w:val="21"/>
        </w:rPr>
        <w:t>（一）参与主体用语</w:t>
      </w:r>
    </w:p>
    <w:p w14:paraId="736A2C8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1.管理人/产品管理人：指北银理财有限责任公司。</w:t>
      </w:r>
    </w:p>
    <w:p w14:paraId="343CBCA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2.托管机构/托管人/产品托管人：指根据合同约定从事本理财产品托管业务的机构。</w:t>
      </w:r>
    </w:p>
    <w:p w14:paraId="3BFB9D3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3.销售机构：指直销机构及/或代销机构。其中，直销机构指北银理财有限责任公司，代销机构指</w:t>
      </w:r>
      <w:r>
        <w:rPr>
          <w:rFonts w:hint="eastAsia" w:ascii="宋体" w:hAnsi="宋体" w:eastAsia="宋体" w:cs="宋体"/>
          <w:color w:val="000000"/>
          <w:szCs w:val="21"/>
          <w:lang w:eastAsia="zh-Hans"/>
        </w:rPr>
        <w:t>接受</w:t>
      </w:r>
      <w:r>
        <w:rPr>
          <w:rFonts w:hint="eastAsia" w:ascii="宋体" w:hAnsi="宋体" w:eastAsia="宋体" w:cs="宋体"/>
          <w:color w:val="000000"/>
          <w:szCs w:val="21"/>
        </w:rPr>
        <w:t>产品管理人</w:t>
      </w:r>
      <w:r>
        <w:rPr>
          <w:rFonts w:hint="eastAsia" w:ascii="宋体" w:hAnsi="宋体" w:eastAsia="宋体" w:cs="宋体"/>
          <w:color w:val="000000"/>
          <w:szCs w:val="21"/>
          <w:lang w:eastAsia="zh-Hans"/>
        </w:rPr>
        <w:t>委托销售本理财产品的代理销售机构</w:t>
      </w:r>
      <w:r>
        <w:rPr>
          <w:rFonts w:hint="eastAsia" w:ascii="宋体" w:hAnsi="宋体" w:eastAsia="宋体" w:cs="宋体"/>
          <w:color w:val="000000"/>
          <w:szCs w:val="21"/>
        </w:rPr>
        <w:t>。</w:t>
      </w:r>
    </w:p>
    <w:p w14:paraId="12DF8058">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投资合作机构：包括但不限于本理财产品所投资资产管理产品的发行机构、根据合同约定从事本理财产品受托投资的机构，以及与本理财产品投资管理相关的投资顾问等。本理财产品投资合作机构依据监管要求进行名单制管理，所有投资合作机构均经过北银理财相关制度流程选任，符合准入标准和程序。</w:t>
      </w:r>
    </w:p>
    <w:p w14:paraId="4152E6AC">
      <w:pPr>
        <w:spacing w:line="360" w:lineRule="auto"/>
        <w:ind w:firstLine="420" w:firstLineChars="200"/>
        <w:rPr>
          <w:rFonts w:hint="eastAsia" w:ascii="宋体" w:hAnsi="宋体" w:eastAsia="宋体" w:cs="宋体"/>
          <w:color w:val="000000"/>
          <w:szCs w:val="21"/>
          <w:lang w:eastAsia="zh-Hans"/>
        </w:rPr>
      </w:pPr>
      <w:r>
        <w:rPr>
          <w:rFonts w:hint="eastAsia" w:ascii="宋体" w:hAnsi="宋体" w:eastAsia="宋体" w:cs="宋体"/>
          <w:color w:val="000000"/>
          <w:szCs w:val="21"/>
        </w:rPr>
        <w:t>5.</w:t>
      </w:r>
      <w:r>
        <w:rPr>
          <w:rFonts w:hint="eastAsia" w:ascii="宋体" w:hAnsi="宋体" w:eastAsia="宋体" w:cs="宋体"/>
          <w:color w:val="000000"/>
          <w:szCs w:val="21"/>
          <w:lang w:eastAsia="zh-Hans"/>
        </w:rPr>
        <w:t>监管机构：指对</w:t>
      </w:r>
      <w:r>
        <w:rPr>
          <w:rFonts w:hint="eastAsia" w:ascii="宋体" w:hAnsi="宋体" w:eastAsia="宋体" w:cs="宋体"/>
          <w:color w:val="000000"/>
          <w:szCs w:val="21"/>
        </w:rPr>
        <w:t>本</w:t>
      </w:r>
      <w:r>
        <w:rPr>
          <w:rFonts w:hint="eastAsia" w:ascii="宋体" w:hAnsi="宋体" w:eastAsia="宋体" w:cs="宋体"/>
          <w:color w:val="000000"/>
          <w:szCs w:val="21"/>
          <w:lang w:eastAsia="zh-Hans"/>
        </w:rPr>
        <w:t>产品管理人</w:t>
      </w:r>
      <w:r>
        <w:rPr>
          <w:rFonts w:hint="eastAsia" w:ascii="宋体" w:hAnsi="宋体" w:eastAsia="宋体" w:cs="宋体"/>
          <w:color w:val="000000"/>
          <w:szCs w:val="21"/>
        </w:rPr>
        <w:t>、本</w:t>
      </w:r>
      <w:r>
        <w:rPr>
          <w:rFonts w:hint="eastAsia" w:ascii="宋体" w:hAnsi="宋体" w:eastAsia="宋体" w:cs="宋体"/>
          <w:color w:val="000000"/>
          <w:szCs w:val="21"/>
          <w:lang w:eastAsia="zh-Hans"/>
        </w:rPr>
        <w:t>理财产品所投资的资管产品的</w:t>
      </w:r>
      <w:r>
        <w:rPr>
          <w:rFonts w:hint="eastAsia" w:ascii="宋体" w:hAnsi="宋体" w:eastAsia="宋体" w:cs="宋体"/>
          <w:color w:val="000000"/>
          <w:szCs w:val="21"/>
        </w:rPr>
        <w:t>资产管理人</w:t>
      </w:r>
      <w:r>
        <w:rPr>
          <w:rFonts w:hint="eastAsia" w:ascii="宋体" w:hAnsi="宋体" w:eastAsia="宋体" w:cs="宋体"/>
          <w:color w:val="000000"/>
          <w:szCs w:val="21"/>
          <w:lang w:eastAsia="zh-Hans"/>
        </w:rPr>
        <w:t>/受托人</w:t>
      </w:r>
      <w:r>
        <w:rPr>
          <w:rFonts w:hint="eastAsia" w:ascii="宋体" w:hAnsi="宋体" w:eastAsia="宋体" w:cs="宋体"/>
          <w:color w:val="000000"/>
          <w:szCs w:val="21"/>
        </w:rPr>
        <w:t>（若有）</w:t>
      </w:r>
      <w:r>
        <w:rPr>
          <w:rFonts w:hint="eastAsia" w:ascii="宋体" w:hAnsi="宋体" w:eastAsia="宋体" w:cs="宋体"/>
          <w:color w:val="000000"/>
          <w:szCs w:val="21"/>
          <w:lang w:eastAsia="zh-Hans"/>
        </w:rPr>
        <w:t>、相关投资顾问</w:t>
      </w:r>
      <w:r>
        <w:rPr>
          <w:rFonts w:hint="eastAsia" w:ascii="宋体" w:hAnsi="宋体" w:eastAsia="宋体" w:cs="宋体"/>
          <w:color w:val="000000"/>
          <w:szCs w:val="21"/>
        </w:rPr>
        <w:t>（若有）</w:t>
      </w:r>
      <w:r>
        <w:rPr>
          <w:rFonts w:hint="eastAsia" w:ascii="宋体" w:hAnsi="宋体" w:eastAsia="宋体" w:cs="宋体"/>
          <w:color w:val="000000"/>
          <w:szCs w:val="21"/>
          <w:lang w:eastAsia="zh-Hans"/>
        </w:rPr>
        <w:t>等实施监督管理的机构，包括但不限于中国人民银行、</w:t>
      </w:r>
      <w:r>
        <w:rPr>
          <w:rFonts w:hint="eastAsia" w:ascii="宋体" w:hAnsi="宋体" w:eastAsia="宋体" w:cs="宋体"/>
          <w:color w:val="000000"/>
          <w:szCs w:val="21"/>
        </w:rPr>
        <w:t>国家金融监督管理总局</w:t>
      </w:r>
      <w:r>
        <w:rPr>
          <w:rFonts w:hint="eastAsia" w:ascii="宋体" w:hAnsi="宋体" w:eastAsia="宋体" w:cs="宋体"/>
          <w:color w:val="000000"/>
          <w:szCs w:val="21"/>
          <w:lang w:eastAsia="zh-Hans"/>
        </w:rPr>
        <w:t>、中国证券监督管理委员会、外汇管理局、证券交易所、银行业理财登记托管中心等。</w:t>
      </w:r>
    </w:p>
    <w:p w14:paraId="2CBA7B0A">
      <w:pPr>
        <w:spacing w:line="360" w:lineRule="auto"/>
        <w:ind w:firstLine="420" w:firstLineChars="20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6.专业投资者与普通投资者：符合下列条件之一的是专业投资者：（一）银行业金融机构、保险业金融机构、金融控股公司、证券基金期货经营机构、私募基金管理人；（二）上述机构面向投资者发行的金融产品，信托公司管理的资产服务信托、公益慈善信托；（三）社会保障基金、企业年金、职业年金等养老基金，慈善基金等社会公益基金，合格境外机构投资者（QFII）、人民币合格境外机构投资者（RQFII）。</w:t>
      </w:r>
    </w:p>
    <w:p w14:paraId="6FCB2F84">
      <w:pPr>
        <w:widowControl w:val="0"/>
        <w:spacing w:after="0"/>
        <w:ind w:left="0" w:leftChars="0" w:firstLine="420" w:firstLineChars="200"/>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u w:val="none"/>
          <w:shd w:val="clear"/>
          <w:lang w:val="en-US" w:eastAsia="zh-CN" w:bidi="ar-SA"/>
        </w:rPr>
        <w:t>专业投资者之外的投资者为普通投资者。</w:t>
      </w:r>
    </w:p>
    <w:p w14:paraId="3D31D53E">
      <w:pPr>
        <w:spacing w:line="360" w:lineRule="auto"/>
        <w:ind w:firstLine="420" w:firstLineChars="200"/>
        <w:outlineLvl w:val="0"/>
        <w:rPr>
          <w:rFonts w:ascii="宋体" w:hAnsi="宋体" w:eastAsia="宋体" w:cs="宋体"/>
          <w:color w:val="000000"/>
          <w:szCs w:val="21"/>
        </w:rPr>
      </w:pPr>
      <w:r>
        <w:rPr>
          <w:rFonts w:hint="eastAsia" w:ascii="宋体" w:hAnsi="宋体" w:eastAsia="宋体" w:cs="宋体"/>
          <w:color w:val="000000"/>
          <w:szCs w:val="21"/>
        </w:rPr>
        <w:t>（二）理财产品用语</w:t>
      </w:r>
    </w:p>
    <w:p w14:paraId="682FA474">
      <w:pPr>
        <w:widowControl w:val="0"/>
        <w:spacing w:after="0" w:line="360" w:lineRule="auto"/>
        <w:ind w:left="0" w:leftChars="0" w:firstLine="420" w:firstLineChars="200"/>
        <w:jc w:val="both"/>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1.理财/本理财产品/理财产品/本产品：指北银理财京华远见春系列易淘金2号现金管理类理财产品。</w:t>
      </w:r>
    </w:p>
    <w:p w14:paraId="6569C63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2.理财产品份额/产品份额：指投资者持有本理财产品的单位数额。投资者基于其所持有的本理财产品单位数额享有本理财产品收益、承担本理财产品风险。</w:t>
      </w:r>
    </w:p>
    <w:p w14:paraId="2345D0E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理财产品份额类别/产品份额类别：指产品管理人有权对本理财产品份额设置不同的类别。不同类别的理财产品份额可能在产品销售名称、产品销售代码、钞汇标志、销售机构、渠道客群、销售区域、销售手续费率、认购/申购投资起点金额及递增金额、单笔最大购买金额、累计购买金额、</w:t>
      </w:r>
      <w:r>
        <w:rPr>
          <w:rFonts w:hint="eastAsia" w:ascii="宋体" w:hAnsi="宋体" w:eastAsia="宋体" w:cs="宋体"/>
          <w:color w:val="000000"/>
          <w:szCs w:val="21"/>
          <w:lang w:val="en-US" w:eastAsia="zh-CN"/>
        </w:rPr>
        <w:t>单户持有金额、</w:t>
      </w:r>
      <w:r>
        <w:rPr>
          <w:rFonts w:hint="eastAsia" w:ascii="宋体" w:hAnsi="宋体" w:eastAsia="宋体" w:cs="宋体"/>
          <w:color w:val="000000"/>
          <w:szCs w:val="21"/>
        </w:rPr>
        <w:t>最低赎回份额、最低持有份额等限制、产品募集规模上下限及信息披露渠道等方面存在差异。各产品份额类别的差异性约定在本理财产品销售文件中进行明确列举，除明确列举所适用产品份额类别的条款外，本理财产品销售文件其他条款均适用于全部份额。</w:t>
      </w:r>
      <w:r>
        <w:rPr>
          <w:rFonts w:hint="eastAsia" w:ascii="宋体" w:hAnsi="宋体" w:eastAsia="宋体" w:cs="宋体"/>
          <w:bCs/>
          <w:color w:val="000000"/>
          <w:szCs w:val="21"/>
        </w:rPr>
        <w:t>投资者可根据实际情况自行选择认购/申购的产品份额类别，不同类别理财产品份额的差异性具体以其对应的理财产品销售文件之约定为准，且本理财产品销售文件可能因销售渠道原因仅列示部分产品份额类别。产品管理人有权在本理财产品项下增设新的产品份额类别，届时，产品管理人将依据本理财产品销售文件的约定进行信息披露。</w:t>
      </w:r>
    </w:p>
    <w:p w14:paraId="382AB655">
      <w:pPr>
        <w:widowControl w:val="0"/>
        <w:spacing w:after="0" w:line="360" w:lineRule="auto"/>
        <w:ind w:left="0" w:leftChars="0" w:firstLine="420" w:firstLineChars="200"/>
        <w:jc w:val="both"/>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★4.产品销售名称：指本理财产品可能存在不同产品份额类别，产品管理人在理财产品销售管理过程中为区分不同产品份额类别，在同一理财产品名称项下设置的产品销售名称。</w:t>
      </w:r>
    </w:p>
    <w:p w14:paraId="028DFC1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★5.产品销售代码：指本理财产品可能存在不同产品份额类别，产品管理人在理财产品销售管理过程中为区分不同产品份额类别，在同一理财产品登记编码项下设置的内部识别码。</w:t>
      </w:r>
    </w:p>
    <w:p w14:paraId="1454BD1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6.理财产品资产净值/产品资产净值/净资产：指产品资产总值减去产品负债总值后的</w:t>
      </w:r>
      <w:r>
        <w:rPr>
          <w:rFonts w:hint="eastAsia" w:ascii="宋体" w:hAnsi="宋体" w:eastAsia="宋体" w:cs="宋体"/>
          <w:color w:val="000000"/>
          <w:szCs w:val="21"/>
          <w:lang w:val="en-US" w:eastAsia="zh-CN"/>
        </w:rPr>
        <w:t>价值</w:t>
      </w:r>
      <w:r>
        <w:rPr>
          <w:rFonts w:hint="eastAsia" w:ascii="宋体" w:hAnsi="宋体" w:eastAsia="宋体" w:cs="宋体"/>
          <w:color w:val="000000"/>
          <w:szCs w:val="21"/>
        </w:rPr>
        <w:t>。产品资产总值是指本理财产品所购买的各类证券价值、银行存款本息和本理财产品应收款项以及其他投资所形成的价值总和。产品负债总值是指本理财产品运作及融资时形成的负债价值总和，包括融资资金本息、应付各项费用（包括销售手续费、固定管理费、托管费、超额业绩报酬（若有）以及其他费用等）、应付税金及其他应付款项等。</w:t>
      </w:r>
    </w:p>
    <w:p w14:paraId="06962A3F">
      <w:pPr>
        <w:spacing w:line="360" w:lineRule="auto"/>
        <w:ind w:firstLine="417" w:firstLineChars="199"/>
        <w:rPr>
          <w:rFonts w:ascii="宋体" w:hAnsi="宋体" w:eastAsia="宋体" w:cs="宋体"/>
          <w:color w:val="000000"/>
          <w:szCs w:val="21"/>
        </w:rPr>
      </w:pPr>
      <w:r>
        <w:rPr>
          <w:rFonts w:hint="eastAsia" w:ascii="宋体" w:hAnsi="宋体" w:eastAsia="宋体" w:cs="宋体"/>
          <w:color w:val="000000"/>
          <w:szCs w:val="21"/>
        </w:rPr>
        <w:t>7.理财产品单位净值/产品单位净值/产品份额净值：指本理财产品份额的单位净值，即每1份理财产品份额以人民币计价的价格。理财产品单位净值=当日产品资产净值/当日产品份额总额，单位净值保留至小数点后六位，本理财产品的单位净值为1.000000元人民币。投资者按理财产品单位净值进行本理财产品的认（申）购、赎回和获得本理财产品终止时的分配。</w:t>
      </w:r>
    </w:p>
    <w:p w14:paraId="0E44BF2D">
      <w:pPr>
        <w:spacing w:line="360" w:lineRule="auto"/>
        <w:ind w:left="13" w:leftChars="6" w:firstLine="405" w:firstLineChars="193"/>
        <w:rPr>
          <w:rFonts w:ascii="宋体" w:hAnsi="宋体" w:eastAsia="宋体" w:cs="宋体"/>
          <w:color w:val="000000"/>
          <w:szCs w:val="21"/>
        </w:rPr>
      </w:pPr>
      <w:r>
        <w:rPr>
          <w:rFonts w:hint="eastAsia" w:ascii="宋体" w:hAnsi="宋体" w:eastAsia="宋体" w:cs="宋体"/>
          <w:color w:val="000000"/>
          <w:szCs w:val="21"/>
        </w:rPr>
        <w:t>8.理财产品单位累计净值/产品单位累计净值/产品份额累计净值：指本理财产品单位净值累加每1份理财产品份额自本理财产品成立以来的分红除权的金额（若有）所得的每1份理财产品份额价值。</w:t>
      </w:r>
    </w:p>
    <w:p w14:paraId="47B6F3AA">
      <w:pPr>
        <w:spacing w:line="360" w:lineRule="auto"/>
        <w:ind w:left="13" w:leftChars="6" w:firstLine="405" w:firstLineChars="193"/>
        <w:rPr>
          <w:rFonts w:ascii="宋体" w:hAnsi="宋体" w:eastAsia="宋体" w:cs="宋体"/>
          <w:color w:val="000000"/>
          <w:szCs w:val="21"/>
        </w:rPr>
      </w:pPr>
      <w:r>
        <w:rPr>
          <w:rFonts w:hint="eastAsia" w:ascii="宋体" w:hAnsi="宋体" w:eastAsia="宋体" w:cs="宋体"/>
          <w:color w:val="000000"/>
          <w:szCs w:val="21"/>
        </w:rPr>
        <w:t>9.理财产品估值：指计算评估本理财产品资产以确定本理财产品</w:t>
      </w:r>
      <w:r>
        <w:rPr>
          <w:rFonts w:hint="eastAsia" w:ascii="Times New Roman" w:hAnsi="Times New Roman" w:eastAsia="宋体" w:cs="Times New Roman"/>
          <w:color w:val="000000"/>
        </w:rPr>
        <w:t>资产净值</w:t>
      </w:r>
      <w:r>
        <w:rPr>
          <w:rFonts w:hint="eastAsia" w:ascii="宋体" w:hAnsi="宋体" w:eastAsia="宋体" w:cs="宋体"/>
          <w:color w:val="000000"/>
          <w:szCs w:val="21"/>
        </w:rPr>
        <w:t>的过程。</w:t>
      </w:r>
    </w:p>
    <w:p w14:paraId="435EEFE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10.认购：指投资者在本理财产品募集期内购买本理财产品份额的行为。</w:t>
      </w:r>
    </w:p>
    <w:p w14:paraId="49FD2209">
      <w:pPr>
        <w:spacing w:line="360" w:lineRule="auto"/>
        <w:ind w:firstLine="417" w:firstLineChars="199"/>
        <w:rPr>
          <w:rFonts w:ascii="宋体" w:hAnsi="宋体" w:eastAsia="宋体" w:cs="宋体"/>
          <w:color w:val="000000"/>
          <w:szCs w:val="21"/>
        </w:rPr>
      </w:pPr>
      <w:r>
        <w:rPr>
          <w:rFonts w:hint="eastAsia" w:ascii="宋体" w:hAnsi="宋体" w:eastAsia="宋体" w:cs="宋体"/>
          <w:color w:val="000000"/>
          <w:szCs w:val="21"/>
        </w:rPr>
        <w:t>11.申购：指投资者在本理财产品开放日内购买本理财产品份额的行为。</w:t>
      </w:r>
    </w:p>
    <w:p w14:paraId="54E3588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12.赎回：指投资者在本理财产品开放日内卖出本理财产品份额的行为。</w:t>
      </w:r>
    </w:p>
    <w:p w14:paraId="1281F8D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 xml:space="preserve">13.流动性受限资产：指由于法律法规、监管、合同或操作障碍等原因无法以合理价格予以变现的资产，包括到期日在10个交易日以上的逆回购与银行定期存款（含协议约定有条件提前支取的银行存款）、距可赎回日在10个交易日以上的资产管理产品、停牌股票、流通受限的新股及非公开发行股票、资产支持证券（票据），因发行人债务违约无法进行转让或交易的债券和非金融企业债务融资工具，以及其他流动性受限资产。 </w:t>
      </w:r>
    </w:p>
    <w:p w14:paraId="0A6FFAF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14.7个工作日可变现资产：指包括可在交易所、银行间市场正常交易的股票、债券、非金融企业债务融资工具、期货及期权合约以及同业存单，7个工作日内到期或可支取的买入返售、银行存款，7个工作日内能够确认收到的各类应收款项等。</w:t>
      </w:r>
    </w:p>
    <w:p w14:paraId="75C555B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w:t>
      </w:r>
      <w:r>
        <w:rPr>
          <w:rFonts w:hint="eastAsia" w:ascii="宋体" w:hAnsi="宋体" w:eastAsia="宋体" w:cs="宋体"/>
          <w:color w:val="000000"/>
          <w:szCs w:val="21"/>
          <w:lang w:val="en-US" w:eastAsia="zh-CN"/>
        </w:rPr>
        <w:t>三</w:t>
      </w:r>
      <w:r>
        <w:rPr>
          <w:rFonts w:hint="eastAsia" w:ascii="宋体" w:hAnsi="宋体" w:eastAsia="宋体" w:cs="宋体"/>
          <w:color w:val="000000"/>
          <w:szCs w:val="21"/>
        </w:rPr>
        <w:t>）期间与日期：</w:t>
      </w:r>
    </w:p>
    <w:p w14:paraId="5E2C3E2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1.工作日：指国内法定工作日。</w:t>
      </w:r>
    </w:p>
    <w:p w14:paraId="65A5CA0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2.证券交易所交易日/交易日：指上海证券交易所、深圳证券交易所和北京证券交易所的正常开盘交易日。</w:t>
      </w:r>
    </w:p>
    <w:p w14:paraId="2C9CE04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3.募集期：指本理财产品成立前，产品管理人接受本理财产品认购的时间。</w:t>
      </w:r>
    </w:p>
    <w:p w14:paraId="1BF4A40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4.成立日：指本理财产品募集期结束后满足合同生效条件，正式进入本理财产品存续期的起始日。</w:t>
      </w:r>
    </w:p>
    <w:p w14:paraId="2357BAB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5.产品存续期/存续期：指自本理财产品成立日起，至本理财产品终止日的期间。</w:t>
      </w:r>
    </w:p>
    <w:p w14:paraId="7AB2903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6.开放日/T日：指产品管理人以该日的产品单位净值确认投资者申购份额或赎回金额。</w:t>
      </w:r>
    </w:p>
    <w:p w14:paraId="1CA3A47A">
      <w:pPr>
        <w:widowControl w:val="0"/>
        <w:spacing w:after="0" w:line="360" w:lineRule="auto"/>
        <w:ind w:left="0" w:leftChars="0" w:firstLine="420" w:firstLineChars="200"/>
        <w:jc w:val="both"/>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7.申购/赎回确认日：指投资者办理申购/赎回后，产品管理人对满足条件的有效申购/赎回申请进行确认的日期，详见本《理财产品说明书》“六、产品的申购和赎回”部分。</w:t>
      </w:r>
    </w:p>
    <w:p w14:paraId="465861A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8.终止日：指发生本《理财产品说明书》“八</w:t>
      </w:r>
      <w:r>
        <w:rPr>
          <w:rFonts w:hint="eastAsia" w:ascii="宋体" w:hAnsi="宋体" w:eastAsia="宋体" w:cs="宋体"/>
          <w:bCs/>
          <w:color w:val="000000"/>
          <w:szCs w:val="21"/>
        </w:rPr>
        <w:t>、产品的终止与清算</w:t>
      </w:r>
      <w:r>
        <w:rPr>
          <w:rFonts w:hint="eastAsia" w:ascii="宋体" w:hAnsi="宋体" w:eastAsia="宋体" w:cs="宋体"/>
          <w:color w:val="000000"/>
          <w:szCs w:val="21"/>
        </w:rPr>
        <w:t>”中“（一）产品的提前终止”约定的情况时，产品管理人行使提前终止权，终止本理财产品的日期。</w:t>
      </w:r>
    </w:p>
    <w:p w14:paraId="6ADE7B3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9.清算期：指自本理财产品终止日至投资者理财本金及收益到账日之间为本理财产品的清算期。</w:t>
      </w:r>
    </w:p>
    <w:p w14:paraId="7C895221">
      <w:pPr>
        <w:widowControl w:val="0"/>
        <w:spacing w:after="0" w:line="360" w:lineRule="auto"/>
        <w:ind w:left="0" w:leftChars="0" w:firstLine="422" w:firstLineChars="200"/>
        <w:jc w:val="both"/>
        <w:rPr>
          <w:rFonts w:ascii="宋体" w:hAnsi="宋体" w:eastAsia="宋体" w:cs="宋体"/>
          <w:b/>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w:t>
      </w:r>
      <w:r>
        <w:rPr>
          <w:rFonts w:hint="eastAsia" w:ascii="宋体" w:hAnsi="宋体" w:eastAsia="宋体" w:cs="宋体"/>
          <w:b/>
          <w:color w:val="000000"/>
          <w:kern w:val="2"/>
          <w:sz w:val="21"/>
          <w:szCs w:val="21"/>
          <w:lang w:val="en-US" w:eastAsia="zh-CN" w:bidi="ar-SA"/>
        </w:rPr>
        <w:t>三、产品概况和基本要素</w:t>
      </w:r>
    </w:p>
    <w:tbl>
      <w:tblPr>
        <w:tblStyle w:val="4"/>
        <w:tblW w:w="9084"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51"/>
        <w:gridCol w:w="6633"/>
      </w:tblGrid>
      <w:tr w14:paraId="72AD6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160E0875">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bCs/>
                <w:color w:val="000000"/>
                <w:szCs w:val="21"/>
              </w:rPr>
              <w:t>产品名称</w:t>
            </w:r>
          </w:p>
        </w:tc>
        <w:tc>
          <w:tcPr>
            <w:tcW w:w="6633" w:type="dxa"/>
            <w:vAlign w:val="center"/>
          </w:tcPr>
          <w:p w14:paraId="1FE7A2D1">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北银理财京华远见春系列易淘金2号现金管理类理财产品</w:t>
            </w:r>
          </w:p>
        </w:tc>
      </w:tr>
      <w:tr w14:paraId="0C122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4C9531A1">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产品销售名称</w:t>
            </w:r>
          </w:p>
        </w:tc>
        <w:tc>
          <w:tcPr>
            <w:tcW w:w="6633" w:type="dxa"/>
          </w:tcPr>
          <w:p w14:paraId="10DA310F">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B类份额：北银理财京华远见春系列易淘金2号B类份额</w:t>
            </w:r>
          </w:p>
        </w:tc>
      </w:tr>
      <w:tr w14:paraId="123D8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3FB7276F">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产品代码</w:t>
            </w:r>
          </w:p>
        </w:tc>
        <w:tc>
          <w:tcPr>
            <w:tcW w:w="6633" w:type="dxa"/>
          </w:tcPr>
          <w:p w14:paraId="649795AD">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 xml:space="preserve">TG01231016 </w:t>
            </w:r>
          </w:p>
        </w:tc>
      </w:tr>
      <w:tr w14:paraId="7EBD8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4052AD83">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产品销售代码</w:t>
            </w:r>
          </w:p>
        </w:tc>
        <w:tc>
          <w:tcPr>
            <w:tcW w:w="6633" w:type="dxa"/>
          </w:tcPr>
          <w:p w14:paraId="0DDD0A98">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B类份额：TG01231016B</w:t>
            </w:r>
          </w:p>
        </w:tc>
      </w:tr>
      <w:tr w14:paraId="3FCB4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396CF739">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产品登记编码</w:t>
            </w:r>
          </w:p>
        </w:tc>
        <w:tc>
          <w:tcPr>
            <w:tcW w:w="6633" w:type="dxa"/>
          </w:tcPr>
          <w:p w14:paraId="4EA0FA53">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产品登记编码：Z7008923000177</w:t>
            </w:r>
          </w:p>
          <w:p w14:paraId="413614F6">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（投资者可依据该产品登记编码在“</w:t>
            </w:r>
            <w:r>
              <w:rPr>
                <w:rFonts w:hint="eastAsia" w:ascii="宋体" w:hAnsi="宋体" w:eastAsia="宋体" w:cs="宋体"/>
                <w:color w:val="000000"/>
                <w:szCs w:val="21"/>
                <w:lang w:eastAsia="zh-CN"/>
              </w:rPr>
              <w:t>中国理财网</w:t>
            </w:r>
            <w:r>
              <w:rPr>
                <w:rFonts w:hint="eastAsia" w:ascii="宋体" w:hAnsi="宋体" w:eastAsia="宋体" w:cs="宋体"/>
                <w:color w:val="000000"/>
                <w:szCs w:val="21"/>
              </w:rPr>
              <w:t>”查询本理财产品信息，“</w:t>
            </w:r>
            <w:r>
              <w:rPr>
                <w:rFonts w:hint="eastAsia" w:ascii="宋体" w:hAnsi="宋体" w:eastAsia="宋体" w:cs="宋体"/>
                <w:color w:val="000000"/>
                <w:szCs w:val="21"/>
                <w:lang w:eastAsia="zh-CN"/>
              </w:rPr>
              <w:t>中国理财网</w:t>
            </w:r>
            <w:r>
              <w:rPr>
                <w:rFonts w:hint="eastAsia" w:ascii="宋体" w:hAnsi="宋体" w:eastAsia="宋体" w:cs="宋体"/>
                <w:color w:val="000000"/>
                <w:szCs w:val="21"/>
              </w:rPr>
              <w:t>”网址：</w:t>
            </w:r>
            <w:r>
              <w:rPr>
                <w:rFonts w:hint="default" w:ascii="Times New Roman" w:hAnsi="Times New Roman" w:eastAsia="宋体" w:cs="Times New Roman"/>
                <w:color w:val="000000"/>
              </w:rPr>
              <w:fldChar w:fldCharType="begin"/>
            </w:r>
            <w:r>
              <w:rPr>
                <w:rFonts w:hint="default" w:ascii="Times New Roman" w:hAnsi="Times New Roman" w:eastAsia="宋体" w:cs="Times New Roman"/>
                <w:color w:val="000000"/>
              </w:rPr>
              <w:instrText xml:space="preserve"> HYPERLINK "http://www.chinawealth.com.cn/" </w:instrText>
            </w:r>
            <w:r>
              <w:rPr>
                <w:rFonts w:hint="default" w:ascii="Times New Roman" w:hAnsi="Times New Roman" w:eastAsia="宋体" w:cs="Times New Roman"/>
                <w:color w:val="000000"/>
              </w:rPr>
              <w:fldChar w:fldCharType="separate"/>
            </w:r>
            <w:r>
              <w:rPr>
                <w:rFonts w:hint="eastAsia" w:ascii="宋体" w:hAnsi="宋体" w:eastAsia="宋体" w:cs="宋体"/>
                <w:color w:val="000000"/>
                <w:szCs w:val="21"/>
              </w:rPr>
              <w:t>www.chinawealth.com.cn</w:t>
            </w:r>
            <w:r>
              <w:rPr>
                <w:rFonts w:hint="eastAsia" w:ascii="宋体" w:hAnsi="宋体" w:eastAsia="宋体" w:cs="宋体"/>
                <w:color w:val="000000"/>
                <w:szCs w:val="21"/>
              </w:rPr>
              <w:fldChar w:fldCharType="end"/>
            </w:r>
            <w:r>
              <w:rPr>
                <w:rFonts w:hint="eastAsia" w:ascii="宋体" w:hAnsi="宋体" w:eastAsia="宋体" w:cs="宋体"/>
                <w:color w:val="000000"/>
                <w:szCs w:val="21"/>
              </w:rPr>
              <w:t>）</w:t>
            </w:r>
          </w:p>
        </w:tc>
      </w:tr>
      <w:tr w14:paraId="19135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trPr>
        <w:tc>
          <w:tcPr>
            <w:tcW w:w="2451" w:type="dxa"/>
            <w:vAlign w:val="center"/>
          </w:tcPr>
          <w:p w14:paraId="42654554">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投资及收益币种</w:t>
            </w:r>
          </w:p>
        </w:tc>
        <w:tc>
          <w:tcPr>
            <w:tcW w:w="6633" w:type="dxa"/>
          </w:tcPr>
          <w:p w14:paraId="0A6DC968">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人民币</w:t>
            </w:r>
          </w:p>
        </w:tc>
      </w:tr>
      <w:tr w14:paraId="70EF4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0483BDB1">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募集方式</w:t>
            </w:r>
          </w:p>
        </w:tc>
        <w:tc>
          <w:tcPr>
            <w:tcW w:w="6633" w:type="dxa"/>
          </w:tcPr>
          <w:p w14:paraId="64F79BA7">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公募</w:t>
            </w:r>
          </w:p>
        </w:tc>
      </w:tr>
      <w:tr w14:paraId="7CFD4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66FC2337">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lang w:val="en-US" w:eastAsia="zh-CN"/>
              </w:rPr>
            </w:pPr>
            <w:r>
              <w:rPr>
                <w:rFonts w:hint="eastAsia" w:ascii="宋体" w:hAnsi="宋体" w:eastAsia="宋体" w:cs="宋体"/>
                <w:bCs/>
                <w:color w:val="000000"/>
                <w:szCs w:val="21"/>
              </w:rPr>
              <w:t>产品运作模式</w:t>
            </w:r>
            <w:r>
              <w:rPr>
                <w:rFonts w:hint="eastAsia" w:ascii="宋体" w:hAnsi="宋体" w:eastAsia="宋体" w:cs="宋体"/>
                <w:bCs/>
                <w:color w:val="000000"/>
                <w:szCs w:val="21"/>
                <w:lang w:val="en-US" w:eastAsia="zh-CN"/>
              </w:rPr>
              <w:t>/方式</w:t>
            </w:r>
          </w:p>
        </w:tc>
        <w:tc>
          <w:tcPr>
            <w:tcW w:w="6633" w:type="dxa"/>
          </w:tcPr>
          <w:p w14:paraId="30050B76">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开放式净值型</w:t>
            </w:r>
          </w:p>
        </w:tc>
      </w:tr>
      <w:tr w14:paraId="3D0F2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35B7ACF0">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
                <w:bCs/>
                <w:color w:val="000000"/>
                <w:szCs w:val="21"/>
              </w:rPr>
              <w:t>★</w:t>
            </w:r>
            <w:r>
              <w:rPr>
                <w:rFonts w:hint="eastAsia" w:ascii="宋体" w:hAnsi="宋体" w:eastAsia="宋体" w:cs="宋体"/>
                <w:bCs/>
                <w:color w:val="000000"/>
                <w:szCs w:val="21"/>
              </w:rPr>
              <w:t>产品类型</w:t>
            </w:r>
          </w:p>
        </w:tc>
        <w:tc>
          <w:tcPr>
            <w:tcW w:w="6633" w:type="dxa"/>
          </w:tcPr>
          <w:p w14:paraId="11CDDFBC">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b/>
                <w:bCs/>
                <w:color w:val="000000"/>
                <w:szCs w:val="21"/>
              </w:rPr>
              <w:t>固定收益类、非保本浮动收益型</w:t>
            </w:r>
          </w:p>
        </w:tc>
      </w:tr>
      <w:tr w14:paraId="59914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48A1ACAE">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适合的投资者</w:t>
            </w:r>
          </w:p>
        </w:tc>
        <w:tc>
          <w:tcPr>
            <w:tcW w:w="6633" w:type="dxa"/>
          </w:tcPr>
          <w:p w14:paraId="405BFD0F">
            <w:pPr>
              <w:keepNext w:val="0"/>
              <w:keepLines w:val="0"/>
              <w:suppressLineNumbers w:val="0"/>
              <w:spacing w:before="0" w:beforeAutospacing="0" w:after="0" w:afterAutospacing="0" w:line="360" w:lineRule="auto"/>
              <w:ind w:left="0" w:right="0"/>
              <w:rPr>
                <w:rFonts w:hint="eastAsia" w:ascii="宋体" w:hAnsi="宋体" w:eastAsia="宋体" w:cs="宋体"/>
                <w:b w:val="0"/>
                <w:bCs/>
                <w:color w:val="000000"/>
                <w:szCs w:val="21"/>
                <w:lang w:eastAsia="zh-CN"/>
              </w:rPr>
            </w:pPr>
            <w:r>
              <w:rPr>
                <w:rFonts w:hint="eastAsia" w:ascii="宋体" w:hAnsi="宋体" w:eastAsia="宋体" w:cs="宋体"/>
                <w:b w:val="0"/>
                <w:bCs/>
                <w:color w:val="000000"/>
                <w:szCs w:val="21"/>
                <w:lang w:eastAsia="zh-CN"/>
              </w:rPr>
              <w:t>符合相关法律法规、监管规定要求的自然人、法人和其他组织。</w:t>
            </w:r>
            <w:r>
              <w:rPr>
                <w:rFonts w:hint="eastAsia" w:ascii="宋体" w:hAnsi="宋体" w:eastAsia="宋体" w:cs="宋体"/>
                <w:b w:val="0"/>
                <w:bCs/>
                <w:color w:val="000000"/>
                <w:szCs w:val="21"/>
                <w:lang w:val="en-US" w:eastAsia="zh-CN"/>
              </w:rPr>
              <w:t>投资者</w:t>
            </w:r>
            <w:r>
              <w:rPr>
                <w:rFonts w:hint="eastAsia" w:ascii="宋体" w:hAnsi="宋体" w:eastAsia="宋体" w:cs="宋体"/>
                <w:b w:val="0"/>
                <w:bCs/>
                <w:color w:val="000000"/>
                <w:szCs w:val="21"/>
                <w:lang w:eastAsia="zh-CN"/>
              </w:rPr>
              <w:t>经</w:t>
            </w:r>
            <w:r>
              <w:rPr>
                <w:rFonts w:hint="eastAsia" w:ascii="宋体" w:hAnsi="宋体" w:eastAsia="宋体" w:cs="宋体"/>
                <w:b w:val="0"/>
                <w:bCs/>
                <w:color w:val="000000"/>
                <w:szCs w:val="21"/>
                <w:lang w:val="en-US" w:eastAsia="zh-CN"/>
              </w:rPr>
              <w:t>代理销售</w:t>
            </w:r>
            <w:r>
              <w:rPr>
                <w:rFonts w:hint="eastAsia" w:ascii="宋体" w:hAnsi="宋体" w:eastAsia="宋体" w:cs="宋体"/>
                <w:b w:val="0"/>
                <w:bCs/>
                <w:color w:val="000000"/>
                <w:szCs w:val="21"/>
                <w:lang w:eastAsia="zh-CN"/>
              </w:rPr>
              <w:t>机构</w:t>
            </w:r>
            <w:r>
              <w:rPr>
                <w:rFonts w:hint="eastAsia" w:ascii="宋体" w:hAnsi="宋体" w:eastAsia="宋体" w:cs="宋体"/>
                <w:b w:val="0"/>
                <w:bCs/>
                <w:color w:val="000000"/>
                <w:szCs w:val="21"/>
                <w:lang w:val="en-US" w:eastAsia="zh-CN"/>
              </w:rPr>
              <w:t>评估</w:t>
            </w:r>
            <w:r>
              <w:rPr>
                <w:rFonts w:hint="eastAsia" w:ascii="宋体" w:hAnsi="宋体" w:eastAsia="宋体" w:cs="宋体"/>
                <w:b w:val="0"/>
                <w:bCs/>
                <w:color w:val="000000"/>
                <w:szCs w:val="21"/>
                <w:lang w:eastAsia="zh-CN"/>
              </w:rPr>
              <w:t>的投资者风险承受能力等级</w:t>
            </w:r>
            <w:r>
              <w:rPr>
                <w:rFonts w:hint="eastAsia" w:ascii="宋体" w:hAnsi="宋体" w:eastAsia="宋体" w:cs="宋体"/>
                <w:b w:val="0"/>
                <w:bCs/>
                <w:color w:val="000000"/>
                <w:szCs w:val="21"/>
                <w:lang w:val="en-US" w:eastAsia="zh-CN"/>
              </w:rPr>
              <w:t>须</w:t>
            </w:r>
            <w:r>
              <w:rPr>
                <w:rFonts w:hint="eastAsia" w:ascii="宋体" w:hAnsi="宋体" w:eastAsia="宋体" w:cs="宋体"/>
                <w:b w:val="0"/>
                <w:bCs/>
                <w:color w:val="000000"/>
                <w:szCs w:val="21"/>
                <w:lang w:eastAsia="zh-CN"/>
              </w:rPr>
              <w:t>不低于本理财产品风险评级</w:t>
            </w:r>
            <w:r>
              <w:rPr>
                <w:rFonts w:hint="eastAsia" w:ascii="宋体" w:hAnsi="宋体" w:eastAsia="宋体" w:cs="宋体"/>
                <w:b w:val="0"/>
                <w:bCs/>
                <w:color w:val="000000"/>
                <w:szCs w:val="21"/>
                <w:lang w:val="en-US" w:eastAsia="zh-CN"/>
              </w:rPr>
              <w:t>结果</w:t>
            </w:r>
            <w:r>
              <w:rPr>
                <w:rFonts w:hint="eastAsia" w:ascii="宋体" w:hAnsi="宋体" w:eastAsia="宋体" w:cs="宋体"/>
                <w:b w:val="0"/>
                <w:bCs/>
                <w:color w:val="000000"/>
                <w:szCs w:val="21"/>
                <w:lang w:eastAsia="zh-CN"/>
              </w:rPr>
              <w:t>（本理财产品通过代销机构销售的，销售客群最终以代销机构要求为准）。</w:t>
            </w:r>
          </w:p>
          <w:p w14:paraId="080917FB">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w:t>
            </w:r>
            <w:r>
              <w:rPr>
                <w:rFonts w:hint="eastAsia" w:ascii="宋体" w:hAnsi="宋体" w:eastAsia="宋体" w:cs="宋体"/>
                <w:b/>
                <w:color w:val="000000"/>
                <w:szCs w:val="21"/>
              </w:rPr>
              <w:t>本理财产品不允许单一投资者持有份额超过本理财产品总份额的50%。</w:t>
            </w:r>
          </w:p>
        </w:tc>
      </w:tr>
      <w:tr w14:paraId="0D2D7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25BE8098">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产品管理人</w:t>
            </w:r>
          </w:p>
        </w:tc>
        <w:tc>
          <w:tcPr>
            <w:tcW w:w="6633" w:type="dxa"/>
          </w:tcPr>
          <w:p w14:paraId="3977B355">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北银理财有限责任公司</w:t>
            </w:r>
          </w:p>
        </w:tc>
      </w:tr>
      <w:tr w14:paraId="563E8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262B2EE1">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产品托管人</w:t>
            </w:r>
          </w:p>
        </w:tc>
        <w:tc>
          <w:tcPr>
            <w:tcW w:w="6633" w:type="dxa"/>
          </w:tcPr>
          <w:p w14:paraId="71064F2A">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 xml:space="preserve">北京银行股份有限公司 </w:t>
            </w:r>
          </w:p>
        </w:tc>
      </w:tr>
      <w:tr w14:paraId="594C7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3F25CE5C">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销售机构</w:t>
            </w:r>
          </w:p>
        </w:tc>
        <w:tc>
          <w:tcPr>
            <w:tcW w:w="6633" w:type="dxa"/>
          </w:tcPr>
          <w:p w14:paraId="4A3D0F87">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b/>
                <w:bCs/>
                <w:color w:val="000000"/>
                <w:szCs w:val="21"/>
                <w:lang w:val="en-US" w:eastAsia="zh-CN"/>
              </w:rPr>
              <w:t>B类</w:t>
            </w:r>
            <w:r>
              <w:rPr>
                <w:rFonts w:hint="eastAsia" w:ascii="宋体" w:hAnsi="宋体" w:eastAsia="宋体" w:cs="宋体"/>
                <w:b/>
                <w:bCs/>
                <w:color w:val="000000"/>
                <w:szCs w:val="21"/>
              </w:rPr>
              <w:t>份额：温州银行股份有限公司</w:t>
            </w:r>
          </w:p>
        </w:tc>
      </w:tr>
      <w:tr w14:paraId="56A1A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23DA2DFE">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产品风险评级</w:t>
            </w:r>
          </w:p>
        </w:tc>
        <w:tc>
          <w:tcPr>
            <w:tcW w:w="6633" w:type="dxa"/>
          </w:tcPr>
          <w:p w14:paraId="66F3926C">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b/>
                <w:bCs/>
                <w:color w:val="000000"/>
                <w:szCs w:val="21"/>
              </w:rPr>
              <w:t>低风险产品（</w:t>
            </w:r>
            <w:r>
              <w:rPr>
                <w:rFonts w:hint="default" w:ascii="宋体" w:hAnsi="宋体" w:eastAsia="宋体" w:cs="宋体"/>
                <w:b/>
                <w:bCs/>
                <w:color w:val="000000"/>
                <w:szCs w:val="21"/>
              </w:rPr>
              <w:t>PR1</w:t>
            </w:r>
            <w:r>
              <w:rPr>
                <w:rFonts w:hint="eastAsia" w:ascii="宋体" w:hAnsi="宋体" w:eastAsia="宋体" w:cs="宋体"/>
                <w:b/>
                <w:bCs/>
                <w:color w:val="000000"/>
                <w:szCs w:val="21"/>
              </w:rPr>
              <w:t>）</w:t>
            </w:r>
            <w:r>
              <w:rPr>
                <w:rFonts w:hint="eastAsia" w:ascii="宋体" w:hAnsi="宋体" w:eastAsia="宋体" w:cs="宋体"/>
                <w:color w:val="000000"/>
                <w:szCs w:val="21"/>
              </w:rPr>
              <w:t>（本风险评级为北银理财内部评级，仅供参考）</w:t>
            </w:r>
          </w:p>
          <w:p w14:paraId="298F88F4">
            <w:pPr>
              <w:keepNext w:val="0"/>
              <w:keepLines w:val="0"/>
              <w:suppressLineNumbers w:val="0"/>
              <w:spacing w:before="0" w:beforeAutospacing="0" w:after="0" w:afterAutospacing="0" w:line="360" w:lineRule="auto"/>
              <w:ind w:left="0" w:right="0"/>
              <w:rPr>
                <w:rFonts w:hint="eastAsia" w:ascii="宋体" w:hAnsi="宋体" w:eastAsia="宋体" w:cs="宋体"/>
                <w:b/>
                <w:bCs/>
                <w:color w:val="000000"/>
                <w:szCs w:val="21"/>
              </w:rPr>
            </w:pPr>
            <w:r>
              <w:rPr>
                <w:rFonts w:hint="eastAsia" w:ascii="宋体" w:hAnsi="宋体" w:eastAsia="宋体" w:cs="宋体"/>
                <w:color w:val="000000"/>
                <w:szCs w:val="21"/>
              </w:rPr>
              <w:t>★</w:t>
            </w:r>
            <w:r>
              <w:rPr>
                <w:rFonts w:hint="eastAsia" w:ascii="宋体" w:hAnsi="宋体" w:eastAsia="宋体" w:cs="宋体"/>
                <w:b/>
                <w:bCs/>
                <w:color w:val="000000"/>
                <w:szCs w:val="21"/>
              </w:rPr>
              <w:t>本理财产品通过代销机构渠道销售的，理财产品评级应当以代销机构最终披露的评级结果为准。</w:t>
            </w:r>
          </w:p>
          <w:p w14:paraId="1764EDFD">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b/>
                <w:bCs/>
                <w:color w:val="000000"/>
                <w:szCs w:val="21"/>
              </w:rPr>
              <w:t>★理财产品风险等级可能因市场</w:t>
            </w:r>
            <w:r>
              <w:rPr>
                <w:rFonts w:hint="eastAsia" w:ascii="宋体" w:hAnsi="宋体" w:cs="宋体"/>
                <w:b/>
                <w:bCs/>
                <w:color w:val="000000"/>
                <w:szCs w:val="21"/>
                <w:lang w:val="en-US" w:eastAsia="zh-CN"/>
              </w:rPr>
              <w:t>或</w:t>
            </w:r>
            <w:r>
              <w:rPr>
                <w:rFonts w:hint="eastAsia" w:ascii="宋体" w:hAnsi="宋体" w:eastAsia="宋体" w:cs="宋体"/>
                <w:b/>
                <w:bCs/>
                <w:color w:val="000000"/>
                <w:szCs w:val="21"/>
              </w:rPr>
              <w:t>运作情况等影响而发生调整，投资者应及时关注理财产品风险等级的变化，具体请关注代销机构信息披露情况。</w:t>
            </w:r>
          </w:p>
        </w:tc>
      </w:tr>
      <w:tr w14:paraId="54728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2451" w:type="dxa"/>
            <w:vAlign w:val="center"/>
          </w:tcPr>
          <w:p w14:paraId="36CBBA6E">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产品规模</w:t>
            </w:r>
          </w:p>
        </w:tc>
        <w:tc>
          <w:tcPr>
            <w:tcW w:w="6633" w:type="dxa"/>
          </w:tcPr>
          <w:p w14:paraId="0CC31F5D">
            <w:pPr>
              <w:keepNext w:val="0"/>
              <w:keepLines w:val="0"/>
              <w:widowControl w:val="0"/>
              <w:suppressLineNumbers w:val="0"/>
              <w:autoSpaceDE w:val="0"/>
              <w:autoSpaceDN w:val="0"/>
              <w:adjustRightInd w:val="0"/>
              <w:spacing w:before="0" w:beforeAutospacing="0" w:after="0" w:afterAutospacing="0" w:line="360" w:lineRule="auto"/>
              <w:ind w:left="0" w:right="0"/>
              <w:jc w:val="both"/>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lang w:val="en-US" w:eastAsia="zh-CN" w:bidi="ar-SA"/>
              </w:rPr>
              <w:t>★产品管理人可根据市场和本理财产品运作情况调整产品规模上下限</w:t>
            </w:r>
            <w:r>
              <w:rPr>
                <w:rFonts w:hint="eastAsia" w:ascii="宋体" w:hAnsi="宋体" w:eastAsia="宋体" w:cs="宋体"/>
                <w:bCs/>
                <w:color w:val="000000"/>
                <w:kern w:val="2"/>
                <w:sz w:val="21"/>
                <w:szCs w:val="21"/>
                <w:lang w:val="en-US" w:eastAsia="zh-CN" w:bidi="ar-SA"/>
              </w:rPr>
              <w:t>。</w:t>
            </w:r>
          </w:p>
        </w:tc>
      </w:tr>
      <w:tr w14:paraId="2C605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 w:hRule="atLeast"/>
        </w:trPr>
        <w:tc>
          <w:tcPr>
            <w:tcW w:w="2451" w:type="dxa"/>
            <w:vAlign w:val="center"/>
          </w:tcPr>
          <w:p w14:paraId="71A191C2">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销售区域</w:t>
            </w:r>
          </w:p>
        </w:tc>
        <w:tc>
          <w:tcPr>
            <w:tcW w:w="6633" w:type="dxa"/>
            <w:vAlign w:val="center"/>
          </w:tcPr>
          <w:p w14:paraId="7E324D5D">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 xml:space="preserve">B类份额：全国 </w:t>
            </w:r>
          </w:p>
        </w:tc>
      </w:tr>
      <w:tr w14:paraId="1092B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451" w:type="dxa"/>
            <w:vAlign w:val="center"/>
          </w:tcPr>
          <w:p w14:paraId="0E540364">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募集期</w:t>
            </w:r>
          </w:p>
        </w:tc>
        <w:tc>
          <w:tcPr>
            <w:tcW w:w="6633" w:type="dxa"/>
            <w:vAlign w:val="center"/>
          </w:tcPr>
          <w:p w14:paraId="06CC91A1">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2024年5月23日9:00（含）至2024年5月23日17:00（不含）。</w:t>
            </w:r>
          </w:p>
          <w:p w14:paraId="0C6BB3E9">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★产品管理人有权根据市场情况提前结束或延长募集期并相应调整本理财产品成立日。</w:t>
            </w:r>
          </w:p>
          <w:p w14:paraId="6F668863">
            <w:pPr>
              <w:keepNext w:val="0"/>
              <w:keepLines w:val="0"/>
              <w:suppressLineNumbers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color w:val="000000"/>
                <w:szCs w:val="21"/>
              </w:rPr>
              <w:t>★如经产品管理人判断需提前结束或延长募集期，产品管理人将</w:t>
            </w:r>
            <w:r>
              <w:rPr>
                <w:rFonts w:hint="eastAsia" w:ascii="宋体" w:hAnsi="宋体" w:eastAsia="宋体" w:cs="宋体"/>
                <w:color w:val="000000"/>
                <w:szCs w:val="21"/>
                <w:lang w:val="en-US" w:eastAsia="zh-CN"/>
              </w:rPr>
              <w:t>至少</w:t>
            </w:r>
            <w:r>
              <w:rPr>
                <w:rFonts w:hint="eastAsia" w:ascii="宋体" w:hAnsi="宋体" w:eastAsia="宋体" w:cs="宋体"/>
                <w:color w:val="000000"/>
                <w:szCs w:val="21"/>
              </w:rPr>
              <w:t>提前1个工作日在本理财产品销售文件约定的信息披露渠道公告。</w:t>
            </w:r>
          </w:p>
        </w:tc>
      </w:tr>
      <w:tr w14:paraId="6E16E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 w:hRule="atLeast"/>
        </w:trPr>
        <w:tc>
          <w:tcPr>
            <w:tcW w:w="2451" w:type="dxa"/>
            <w:vAlign w:val="center"/>
          </w:tcPr>
          <w:p w14:paraId="701DFA03">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成立日</w:t>
            </w:r>
          </w:p>
        </w:tc>
        <w:tc>
          <w:tcPr>
            <w:tcW w:w="6633" w:type="dxa"/>
            <w:vAlign w:val="center"/>
          </w:tcPr>
          <w:p w14:paraId="21BD046E">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bCs/>
                <w:color w:val="000000"/>
                <w:szCs w:val="21"/>
              </w:rPr>
              <w:t>2024年5月24日。</w:t>
            </w:r>
          </w:p>
        </w:tc>
      </w:tr>
      <w:tr w14:paraId="10B07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451" w:type="dxa"/>
            <w:vAlign w:val="center"/>
          </w:tcPr>
          <w:p w14:paraId="6A2A796D">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产品单位面值</w:t>
            </w:r>
          </w:p>
        </w:tc>
        <w:tc>
          <w:tcPr>
            <w:tcW w:w="6633" w:type="dxa"/>
            <w:vAlign w:val="center"/>
          </w:tcPr>
          <w:p w14:paraId="769460DB">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本理财产品的初始产品单位面值为1.00元/份。</w:t>
            </w:r>
          </w:p>
        </w:tc>
      </w:tr>
      <w:tr w14:paraId="6B4D0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2451" w:type="dxa"/>
            <w:vAlign w:val="center"/>
          </w:tcPr>
          <w:p w14:paraId="0468BF4C">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投资起点</w:t>
            </w:r>
          </w:p>
        </w:tc>
        <w:tc>
          <w:tcPr>
            <w:tcW w:w="6633" w:type="dxa"/>
            <w:vAlign w:val="center"/>
          </w:tcPr>
          <w:p w14:paraId="2C0F01A5">
            <w:pPr>
              <w:keepNext w:val="0"/>
              <w:keepLines w:val="0"/>
              <w:suppressLineNumbers w:val="0"/>
              <w:snapToGrid w:val="0"/>
              <w:spacing w:before="0" w:beforeAutospacing="0" w:after="0" w:afterAutospacing="0" w:line="360" w:lineRule="auto"/>
              <w:ind w:left="0" w:right="0"/>
              <w:rPr>
                <w:rFonts w:hint="eastAsia" w:ascii="宋体" w:hAnsi="宋体" w:eastAsia="宋体" w:cs="宋体"/>
                <w:bCs/>
                <w:color w:val="000000"/>
                <w:szCs w:val="21"/>
              </w:rPr>
            </w:pPr>
            <w:r>
              <w:rPr>
                <w:rFonts w:hint="eastAsia" w:ascii="宋体" w:hAnsi="宋体" w:eastAsia="宋体" w:cs="宋体"/>
                <w:bCs/>
                <w:color w:val="000000"/>
                <w:szCs w:val="21"/>
              </w:rPr>
              <w:t>B类份额：投资起点为0.01元，并以0.01元为单位递增。</w:t>
            </w:r>
          </w:p>
          <w:p w14:paraId="3AA065FD">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bCs/>
                <w:color w:val="000000"/>
                <w:szCs w:val="21"/>
              </w:rPr>
              <w:t>★如销售机构另有要求的，实际投资起点金额及递增金额应当以销售机构展示/提示为准，但不得低于本理财产品销售文件约定的投资起点金额及递增金额。</w:t>
            </w:r>
          </w:p>
        </w:tc>
      </w:tr>
      <w:tr w14:paraId="3AB9D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2451" w:type="dxa"/>
            <w:vAlign w:val="center"/>
          </w:tcPr>
          <w:p w14:paraId="02B2F5D0">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产品募集规模下限</w:t>
            </w:r>
          </w:p>
        </w:tc>
        <w:tc>
          <w:tcPr>
            <w:tcW w:w="6633" w:type="dxa"/>
            <w:vAlign w:val="center"/>
          </w:tcPr>
          <w:p w14:paraId="509F3F1D">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本理财产品募集规模下限为：</w:t>
            </w:r>
            <w:r>
              <w:rPr>
                <w:rFonts w:hint="eastAsia" w:ascii="宋体" w:hAnsi="宋体" w:eastAsia="宋体" w:cs="宋体"/>
                <w:bCs/>
                <w:color w:val="000000"/>
                <w:szCs w:val="21"/>
                <w:lang w:val="en-US" w:eastAsia="zh-CN"/>
              </w:rPr>
              <w:t>不设置</w:t>
            </w:r>
            <w:r>
              <w:rPr>
                <w:rFonts w:hint="eastAsia" w:ascii="宋体" w:hAnsi="宋体" w:eastAsia="宋体" w:cs="宋体"/>
                <w:bCs/>
                <w:color w:val="000000"/>
                <w:szCs w:val="21"/>
              </w:rPr>
              <w:t>。</w:t>
            </w:r>
          </w:p>
          <w:p w14:paraId="4C4F638B">
            <w:pPr>
              <w:keepNext w:val="0"/>
              <w:keepLines w:val="0"/>
              <w:widowControl w:val="0"/>
              <w:suppressLineNumbers w:val="0"/>
              <w:spacing w:before="0" w:beforeAutospacing="0" w:after="0" w:afterAutospacing="0" w:line="360" w:lineRule="auto"/>
              <w:ind w:left="0" w:leftChars="0" w:right="0" w:firstLine="0"/>
              <w:jc w:val="both"/>
              <w:rPr>
                <w:rFonts w:hint="default" w:ascii="宋体" w:hAnsi="宋体" w:eastAsia="宋体" w:cs="宋体"/>
                <w:bCs/>
                <w:color w:val="000000"/>
                <w:kern w:val="2"/>
                <w:sz w:val="21"/>
                <w:szCs w:val="21"/>
                <w:lang w:val="en-US" w:eastAsia="zh-CN" w:bidi="ar-SA"/>
              </w:rPr>
            </w:pPr>
            <w:r>
              <w:rPr>
                <w:rFonts w:hint="eastAsia" w:ascii="宋体" w:hAnsi="宋体" w:eastAsia="宋体" w:cs="宋体"/>
                <w:bCs/>
                <w:color w:val="000000"/>
                <w:kern w:val="2"/>
                <w:sz w:val="21"/>
                <w:szCs w:val="21"/>
                <w:lang w:val="en-US" w:eastAsia="zh-CN" w:bidi="ar-SA"/>
              </w:rPr>
              <w:t>★本理财产品募集期届满或产品管理人提前/延迟结束募集期时，若募集资金达到募集下限，</w:t>
            </w:r>
            <w:r>
              <w:rPr>
                <w:rFonts w:hint="eastAsia" w:ascii="宋体" w:hAnsi="宋体" w:eastAsia="宋体" w:cs="宋体"/>
                <w:color w:val="000000"/>
                <w:kern w:val="2"/>
                <w:sz w:val="21"/>
                <w:szCs w:val="21"/>
                <w:lang w:val="en-US" w:eastAsia="zh-CN" w:bidi="ar-SA"/>
              </w:rPr>
              <w:t>且不存在其他因素导致产品不成立的，</w:t>
            </w:r>
            <w:r>
              <w:rPr>
                <w:rFonts w:hint="eastAsia" w:ascii="宋体" w:hAnsi="宋体" w:eastAsia="宋体" w:cs="宋体"/>
                <w:bCs/>
                <w:color w:val="000000"/>
                <w:kern w:val="2"/>
                <w:sz w:val="21"/>
                <w:szCs w:val="21"/>
                <w:lang w:val="en-US" w:eastAsia="zh-CN" w:bidi="ar-SA"/>
              </w:rPr>
              <w:t>则本理财产品成立；否则，本理财产品不成立。</w:t>
            </w:r>
          </w:p>
          <w:p w14:paraId="439C6636">
            <w:pPr>
              <w:keepNext w:val="0"/>
              <w:keepLines w:val="0"/>
              <w:widowControl w:val="0"/>
              <w:suppressLineNumbers w:val="0"/>
              <w:spacing w:before="0" w:beforeAutospacing="0" w:after="0" w:afterAutospacing="0" w:line="360" w:lineRule="auto"/>
              <w:ind w:left="0" w:leftChars="0" w:right="0" w:firstLine="0"/>
              <w:jc w:val="both"/>
              <w:rPr>
                <w:rFonts w:hint="default" w:ascii="宋体" w:hAnsi="宋体" w:eastAsia="宋体" w:cs="宋体"/>
                <w:bCs/>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★产品管理人有权根据市场情况调整产品募集规模下限。</w:t>
            </w:r>
          </w:p>
        </w:tc>
      </w:tr>
      <w:tr w14:paraId="38FD7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2451" w:type="dxa"/>
            <w:vAlign w:val="center"/>
          </w:tcPr>
          <w:p w14:paraId="58EB4179">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产品募集规模上限</w:t>
            </w:r>
          </w:p>
        </w:tc>
        <w:tc>
          <w:tcPr>
            <w:tcW w:w="6633" w:type="dxa"/>
            <w:vAlign w:val="center"/>
          </w:tcPr>
          <w:p w14:paraId="31877FC7">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本理财产品募集规模上限为：</w:t>
            </w:r>
            <w:r>
              <w:rPr>
                <w:rFonts w:hint="eastAsia" w:ascii="宋体" w:hAnsi="宋体" w:eastAsia="宋体" w:cs="宋体"/>
                <w:bCs/>
                <w:color w:val="000000"/>
                <w:szCs w:val="21"/>
                <w:lang w:val="en-US" w:eastAsia="zh-CN"/>
              </w:rPr>
              <w:t>不设置</w:t>
            </w:r>
            <w:r>
              <w:rPr>
                <w:rFonts w:hint="eastAsia" w:ascii="宋体" w:hAnsi="宋体" w:eastAsia="宋体" w:cs="宋体"/>
                <w:bCs/>
                <w:color w:val="000000"/>
                <w:szCs w:val="21"/>
              </w:rPr>
              <w:t>。</w:t>
            </w:r>
          </w:p>
          <w:p w14:paraId="3FAC3F88">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★产品管理人有权根据市场情况调整产品募集规模上限。</w:t>
            </w:r>
          </w:p>
        </w:tc>
      </w:tr>
      <w:tr w14:paraId="5A8CC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451" w:type="dxa"/>
            <w:vAlign w:val="center"/>
          </w:tcPr>
          <w:p w14:paraId="6A0C3E37">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开放日（T日）</w:t>
            </w:r>
          </w:p>
        </w:tc>
        <w:tc>
          <w:tcPr>
            <w:tcW w:w="6633" w:type="dxa"/>
            <w:vAlign w:val="center"/>
          </w:tcPr>
          <w:p w14:paraId="41983312">
            <w:pPr>
              <w:keepNext w:val="0"/>
              <w:keepLines w:val="0"/>
              <w:suppressLineNumbers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color w:val="000000"/>
                <w:sz w:val="21"/>
                <w:szCs w:val="21"/>
                <w:highlight w:val="none"/>
              </w:rPr>
              <w:t>自本理财产品成立起的每个</w:t>
            </w:r>
            <w:r>
              <w:rPr>
                <w:rFonts w:hint="eastAsia" w:ascii="宋体" w:hAnsi="宋体" w:eastAsia="宋体" w:cs="宋体"/>
                <w:color w:val="000000"/>
                <w:szCs w:val="21"/>
                <w:highlight w:val="none"/>
              </w:rPr>
              <w:t>证券交易所交易</w:t>
            </w:r>
            <w:r>
              <w:rPr>
                <w:rFonts w:hint="eastAsia" w:ascii="宋体" w:hAnsi="宋体" w:eastAsia="宋体" w:cs="宋体"/>
                <w:color w:val="000000"/>
                <w:sz w:val="21"/>
                <w:szCs w:val="21"/>
                <w:highlight w:val="none"/>
              </w:rPr>
              <w:t>日</w:t>
            </w:r>
            <w:r>
              <w:rPr>
                <w:rFonts w:hint="eastAsia" w:ascii="宋体" w:hAnsi="宋体" w:eastAsia="宋体" w:cs="宋体"/>
                <w:color w:val="000000"/>
                <w:szCs w:val="21"/>
              </w:rPr>
              <w:t>。</w:t>
            </w:r>
          </w:p>
        </w:tc>
      </w:tr>
      <w:tr w14:paraId="764B3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2451" w:type="dxa"/>
            <w:vAlign w:val="center"/>
          </w:tcPr>
          <w:p w14:paraId="7C110981">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交易时间</w:t>
            </w:r>
          </w:p>
        </w:tc>
        <w:tc>
          <w:tcPr>
            <w:tcW w:w="6633" w:type="dxa"/>
            <w:vAlign w:val="center"/>
          </w:tcPr>
          <w:p w14:paraId="572E6E6E">
            <w:pPr>
              <w:keepNext w:val="0"/>
              <w:keepLines w:val="0"/>
              <w:widowControl w:val="0"/>
              <w:suppressLineNumbers w:val="0"/>
              <w:spacing w:before="0" w:beforeAutospacing="0" w:after="0" w:afterAutospacing="0" w:line="360" w:lineRule="auto"/>
              <w:ind w:left="0" w:leftChars="0" w:right="0" w:firstLine="0"/>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本理财产品认购交易时间为募集期开始日至结束日的每日</w:t>
            </w:r>
            <w:r>
              <w:rPr>
                <w:rFonts w:hint="eastAsia" w:ascii="宋体" w:hAnsi="宋体" w:eastAsia="宋体" w:cs="宋体"/>
                <w:color w:val="000000"/>
                <w:szCs w:val="21"/>
              </w:rPr>
              <w:t>9:00</w:t>
            </w:r>
            <w:r>
              <w:rPr>
                <w:rFonts w:hint="eastAsia" w:ascii="宋体" w:hAnsi="宋体" w:eastAsia="宋体" w:cs="宋体"/>
                <w:color w:val="000000"/>
                <w:kern w:val="2"/>
                <w:sz w:val="21"/>
                <w:szCs w:val="21"/>
                <w:lang w:val="en-US" w:eastAsia="zh-CN" w:bidi="ar-SA"/>
              </w:rPr>
              <w:t>（含）-</w:t>
            </w:r>
            <w:r>
              <w:rPr>
                <w:rFonts w:hint="eastAsia" w:ascii="宋体" w:hAnsi="宋体" w:eastAsia="宋体" w:cs="宋体"/>
                <w:color w:val="000000"/>
                <w:szCs w:val="21"/>
              </w:rPr>
              <w:t>17:00</w:t>
            </w:r>
            <w:r>
              <w:rPr>
                <w:rFonts w:hint="eastAsia" w:ascii="宋体" w:hAnsi="宋体" w:eastAsia="宋体" w:cs="宋体"/>
                <w:color w:val="000000"/>
                <w:kern w:val="2"/>
                <w:sz w:val="21"/>
                <w:szCs w:val="21"/>
                <w:lang w:val="en-US" w:eastAsia="zh-CN" w:bidi="ar-SA"/>
              </w:rPr>
              <w:t>（不含）；申购或赎回交易时间为开放日当日的9:00（含）-17:00（不含）。</w:t>
            </w:r>
          </w:p>
          <w:p w14:paraId="3A7E3931">
            <w:pPr>
              <w:keepNext w:val="0"/>
              <w:keepLines w:val="0"/>
              <w:widowControl w:val="0"/>
              <w:suppressLineNumbers w:val="0"/>
              <w:spacing w:before="0" w:beforeAutospacing="0" w:after="0" w:afterAutospacing="0" w:line="360" w:lineRule="auto"/>
              <w:ind w:left="0" w:leftChars="0" w:right="0" w:firstLine="0"/>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★投资者通过销售机构购买本理财产品的，还应按照销售机构对于交易时间和交易申请的相关规定执行。</w:t>
            </w:r>
          </w:p>
          <w:p w14:paraId="4C650536">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w:t>
            </w:r>
            <w:r>
              <w:rPr>
                <w:rFonts w:hint="eastAsia" w:ascii="宋体" w:hAnsi="宋体" w:eastAsia="宋体" w:cs="宋体"/>
                <w:bCs/>
                <w:color w:val="000000"/>
                <w:szCs w:val="21"/>
              </w:rPr>
              <w:t>以上规则如有调整，</w:t>
            </w:r>
            <w:r>
              <w:rPr>
                <w:rFonts w:hint="eastAsia" w:ascii="宋体" w:hAnsi="宋体" w:eastAsia="宋体" w:cs="宋体"/>
                <w:color w:val="000000"/>
                <w:szCs w:val="21"/>
              </w:rPr>
              <w:t>产品管理人将</w:t>
            </w:r>
            <w:r>
              <w:rPr>
                <w:rFonts w:hint="eastAsia" w:ascii="宋体" w:hAnsi="宋体" w:eastAsia="宋体" w:cs="宋体"/>
                <w:color w:val="000000"/>
                <w:szCs w:val="21"/>
                <w:lang w:val="en-US" w:eastAsia="zh-CN"/>
              </w:rPr>
              <w:t>至少</w:t>
            </w:r>
            <w:r>
              <w:rPr>
                <w:rFonts w:hint="eastAsia" w:ascii="宋体" w:hAnsi="宋体" w:eastAsia="宋体" w:cs="宋体"/>
                <w:color w:val="000000"/>
                <w:szCs w:val="21"/>
              </w:rPr>
              <w:t>提前1个工作日在本理财产品销售文件约定的信息披露渠道公告。</w:t>
            </w:r>
          </w:p>
        </w:tc>
      </w:tr>
      <w:tr w14:paraId="4DAF0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2451" w:type="dxa"/>
            <w:vAlign w:val="center"/>
          </w:tcPr>
          <w:p w14:paraId="7FD2FB41">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收益分配方式</w:t>
            </w:r>
          </w:p>
        </w:tc>
        <w:tc>
          <w:tcPr>
            <w:tcW w:w="6633" w:type="dxa"/>
            <w:vAlign w:val="center"/>
          </w:tcPr>
          <w:p w14:paraId="770BF046">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b/>
                <w:bCs/>
                <w:color w:val="000000"/>
                <w:szCs w:val="21"/>
              </w:rPr>
              <w:t>★红利再投资。</w:t>
            </w:r>
          </w:p>
        </w:tc>
      </w:tr>
      <w:tr w14:paraId="7300F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2451" w:type="dxa"/>
            <w:vAlign w:val="center"/>
          </w:tcPr>
          <w:p w14:paraId="3F18B6DD">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★产品费用</w:t>
            </w:r>
          </w:p>
        </w:tc>
        <w:tc>
          <w:tcPr>
            <w:tcW w:w="6633" w:type="dxa"/>
            <w:vAlign w:val="center"/>
          </w:tcPr>
          <w:p w14:paraId="4430AD46">
            <w:pPr>
              <w:keepNext w:val="0"/>
              <w:keepLines w:val="0"/>
              <w:suppressLineNumbers w:val="0"/>
              <w:spacing w:before="0" w:beforeAutospacing="0" w:after="0" w:afterAutospacing="0" w:line="360" w:lineRule="auto"/>
              <w:ind w:left="0" w:right="0"/>
              <w:rPr>
                <w:rFonts w:hint="default" w:ascii="宋体" w:hAnsi="宋体" w:eastAsia="宋体" w:cs="宋体"/>
                <w:b/>
                <w:bCs/>
                <w:color w:val="000000"/>
                <w:szCs w:val="21"/>
              </w:rPr>
            </w:pPr>
            <w:r>
              <w:rPr>
                <w:rFonts w:hint="eastAsia" w:ascii="宋体" w:hAnsi="宋体" w:eastAsia="宋体" w:cs="宋体"/>
                <w:b/>
                <w:bCs/>
                <w:color w:val="000000"/>
                <w:szCs w:val="21"/>
              </w:rPr>
              <w:t>★1.销售手续费率（销售机构收取）：</w:t>
            </w:r>
          </w:p>
          <w:p w14:paraId="1769CCDC">
            <w:pPr>
              <w:keepNext w:val="0"/>
              <w:keepLines w:val="0"/>
              <w:widowControl w:val="0"/>
              <w:suppressLineNumbers w:val="0"/>
              <w:spacing w:before="0" w:beforeAutospacing="0" w:after="0" w:afterAutospacing="0" w:line="360" w:lineRule="auto"/>
              <w:ind w:left="360" w:right="0" w:firstLine="0" w:firstLineChars="0"/>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szCs w:val="21"/>
              </w:rPr>
              <w:t>B类</w:t>
            </w:r>
            <w:r>
              <w:rPr>
                <w:rFonts w:hint="eastAsia" w:ascii="宋体" w:hAnsi="宋体" w:eastAsia="宋体" w:cs="宋体"/>
                <w:color w:val="000000"/>
                <w:kern w:val="2"/>
                <w:sz w:val="21"/>
                <w:szCs w:val="21"/>
                <w:lang w:val="en-US" w:eastAsia="zh-CN" w:bidi="ar-SA"/>
              </w:rPr>
              <w:t>份额：</w:t>
            </w:r>
            <w:r>
              <w:rPr>
                <w:rFonts w:hint="eastAsia" w:ascii="宋体" w:hAnsi="宋体" w:eastAsia="宋体" w:cs="宋体"/>
                <w:color w:val="000000"/>
                <w:szCs w:val="21"/>
              </w:rPr>
              <w:t>0.2</w:t>
            </w:r>
            <w:r>
              <w:rPr>
                <w:rFonts w:hint="eastAsia" w:ascii="宋体" w:hAnsi="宋体" w:eastAsia="宋体" w:cs="宋体"/>
                <w:color w:val="000000"/>
                <w:kern w:val="2"/>
                <w:sz w:val="21"/>
                <w:szCs w:val="21"/>
                <w:lang w:val="en-US" w:eastAsia="zh-CN" w:bidi="ar-SA"/>
              </w:rPr>
              <w:t>0%/年</w:t>
            </w:r>
          </w:p>
          <w:p w14:paraId="30440DAC">
            <w:pPr>
              <w:keepNext w:val="0"/>
              <w:keepLines w:val="0"/>
              <w:suppressLineNumbers w:val="0"/>
              <w:spacing w:before="0" w:beforeAutospacing="0" w:after="0" w:afterAutospacing="0" w:line="360" w:lineRule="auto"/>
              <w:ind w:left="0" w:right="0"/>
              <w:rPr>
                <w:rFonts w:hint="default" w:ascii="宋体" w:hAnsi="宋体" w:eastAsia="宋体" w:cs="宋体"/>
                <w:b/>
                <w:bCs/>
                <w:color w:val="000000"/>
                <w:szCs w:val="21"/>
              </w:rPr>
            </w:pPr>
            <w:r>
              <w:rPr>
                <w:rFonts w:hint="eastAsia" w:ascii="宋体" w:hAnsi="宋体" w:eastAsia="宋体" w:cs="宋体"/>
                <w:b/>
                <w:bCs/>
                <w:color w:val="000000"/>
                <w:szCs w:val="21"/>
              </w:rPr>
              <w:t>★2.固定管理费率（产品管理人收取）：</w:t>
            </w:r>
            <w:r>
              <w:rPr>
                <w:rFonts w:hint="eastAsia" w:ascii="宋体" w:hAnsi="宋体" w:eastAsia="宋体" w:cs="宋体"/>
                <w:color w:val="000000"/>
                <w:szCs w:val="21"/>
                <w:lang w:val="en-US" w:eastAsia="zh-CN"/>
              </w:rPr>
              <w:t>0.10</w:t>
            </w:r>
            <w:r>
              <w:rPr>
                <w:rFonts w:hint="eastAsia" w:ascii="宋体" w:hAnsi="宋体" w:eastAsia="宋体" w:cs="宋体"/>
                <w:color w:val="000000"/>
                <w:szCs w:val="21"/>
              </w:rPr>
              <w:t>%/年</w:t>
            </w:r>
          </w:p>
          <w:p w14:paraId="4672C591">
            <w:pPr>
              <w:keepNext w:val="0"/>
              <w:keepLines w:val="0"/>
              <w:widowControl w:val="0"/>
              <w:numPr>
                <w:ilvl w:val="255"/>
                <w:numId w:val="0"/>
              </w:numPr>
              <w:suppressLineNumbers w:val="0"/>
              <w:spacing w:before="0" w:beforeAutospacing="0" w:after="0" w:afterAutospacing="0" w:line="360" w:lineRule="auto"/>
              <w:ind w:left="0" w:right="0" w:firstLine="0" w:firstLineChars="0"/>
              <w:jc w:val="both"/>
              <w:rPr>
                <w:rFonts w:hint="default" w:ascii="宋体" w:hAnsi="宋体" w:eastAsia="宋体" w:cs="宋体"/>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★3.托管费率（产品托管人收取）：</w:t>
            </w:r>
            <w:r>
              <w:rPr>
                <w:rFonts w:hint="eastAsia" w:ascii="宋体" w:hAnsi="宋体" w:eastAsia="宋体" w:cs="宋体"/>
                <w:b w:val="0"/>
                <w:bCs w:val="0"/>
                <w:color w:val="000000"/>
                <w:szCs w:val="21"/>
              </w:rPr>
              <w:t>0.03</w:t>
            </w:r>
            <w:r>
              <w:rPr>
                <w:rFonts w:hint="eastAsia" w:ascii="宋体" w:hAnsi="宋体" w:eastAsia="宋体" w:cs="宋体"/>
                <w:color w:val="000000"/>
                <w:kern w:val="2"/>
                <w:sz w:val="21"/>
                <w:szCs w:val="21"/>
                <w:lang w:val="en-US" w:eastAsia="zh-CN" w:bidi="ar-SA"/>
              </w:rPr>
              <w:t>%/年</w:t>
            </w:r>
          </w:p>
          <w:p w14:paraId="7BE46B7D">
            <w:pPr>
              <w:keepNext w:val="0"/>
              <w:keepLines w:val="0"/>
              <w:suppressLineNumbers w:val="0"/>
              <w:spacing w:before="0" w:beforeAutospacing="0" w:after="0" w:afterAutospacing="0" w:line="360" w:lineRule="auto"/>
              <w:ind w:left="0" w:right="0"/>
              <w:jc w:val="left"/>
              <w:rPr>
                <w:rFonts w:hint="default" w:ascii="宋体" w:hAnsi="宋体" w:eastAsia="宋体" w:cs="宋体"/>
                <w:color w:val="000000"/>
                <w:szCs w:val="21"/>
              </w:rPr>
            </w:pPr>
            <w:r>
              <w:rPr>
                <w:rFonts w:hint="eastAsia" w:ascii="宋体" w:hAnsi="宋体" w:eastAsia="宋体" w:cs="宋体"/>
                <w:b/>
                <w:bCs/>
                <w:color w:val="000000"/>
                <w:szCs w:val="21"/>
              </w:rPr>
              <w:t>★4.强制赎回费（产品收取，如需）：</w:t>
            </w:r>
            <w:r>
              <w:rPr>
                <w:rFonts w:hint="eastAsia" w:ascii="宋体" w:hAnsi="宋体" w:eastAsia="宋体" w:cs="宋体"/>
                <w:color w:val="000000"/>
                <w:szCs w:val="21"/>
              </w:rPr>
              <w:t>本理财产品出现以下情形之一时，产品管理人将收取强制赎回费：</w:t>
            </w:r>
          </w:p>
          <w:p w14:paraId="092E82DB">
            <w:pPr>
              <w:keepNext w:val="0"/>
              <w:keepLines w:val="0"/>
              <w:suppressLineNumbers w:val="0"/>
              <w:spacing w:before="0" w:beforeAutospacing="0" w:after="0" w:afterAutospacing="0" w:line="360" w:lineRule="auto"/>
              <w:ind w:left="0" w:right="0"/>
              <w:jc w:val="left"/>
              <w:rPr>
                <w:rFonts w:hint="default" w:ascii="宋体" w:hAnsi="宋体" w:eastAsia="宋体" w:cs="宋体"/>
                <w:color w:val="000000"/>
                <w:szCs w:val="21"/>
              </w:rPr>
            </w:pPr>
            <w:r>
              <w:rPr>
                <w:rFonts w:hint="eastAsia" w:ascii="宋体" w:hAnsi="宋体" w:eastAsia="宋体" w:cs="宋体"/>
                <w:color w:val="000000"/>
                <w:szCs w:val="21"/>
              </w:rPr>
              <w:t>（1）在满足相关流动性风险管理要求的前提下，当本理财产品持有的现金、国债、中央银行票据、政策性金融债券以及5个交易日内到期的其他金融工具占本理财产品资产净值的比例合计低于5%且偏离度为负时，产品管理人应对当日单个投资者申请赎回份额超过本理财产品总份额1%以上的赎回申请征收1%的强制赎回费用，并将上述赎回费用全额计入本理财产品财产。产品管理人与产品托管人协商确认上述做法无益于本理财产品利益最大化的情形除外。</w:t>
            </w:r>
          </w:p>
          <w:p w14:paraId="3C701B91">
            <w:pPr>
              <w:keepNext w:val="0"/>
              <w:keepLines w:val="0"/>
              <w:suppressLineNumbers w:val="0"/>
              <w:spacing w:before="0" w:beforeAutospacing="0" w:after="0" w:afterAutospacing="0" w:line="360" w:lineRule="auto"/>
              <w:ind w:left="0" w:right="0"/>
              <w:jc w:val="left"/>
              <w:rPr>
                <w:rFonts w:hint="default" w:ascii="宋体" w:hAnsi="宋体" w:eastAsia="宋体" w:cs="宋体"/>
                <w:color w:val="000000"/>
                <w:szCs w:val="21"/>
              </w:rPr>
            </w:pPr>
            <w:r>
              <w:rPr>
                <w:rFonts w:hint="eastAsia" w:ascii="宋体" w:hAnsi="宋体" w:eastAsia="宋体" w:cs="宋体"/>
                <w:color w:val="000000"/>
                <w:szCs w:val="21"/>
              </w:rPr>
              <w:t>（2）本理财产品前10名投资者的持有份额合计超过本理财产品总份额50%的，当投资组合中现金、国债、中央银行票据、政策性金融债券以及5个交易日内到期的其他金融工具占本理财产品资产净值的比例合计低于10%且偏离度为负时，产品管理人应对投资者超过本理财产品总份额1%以上的赎回申请征收1%的强制赎回费用。</w:t>
            </w:r>
          </w:p>
          <w:p w14:paraId="0E73BC1C">
            <w:pPr>
              <w:keepNext w:val="0"/>
              <w:keepLines w:val="0"/>
              <w:suppressLineNumbers w:val="0"/>
              <w:spacing w:before="0" w:beforeAutospacing="0" w:after="0" w:afterAutospacing="0" w:line="360" w:lineRule="auto"/>
              <w:ind w:left="0" w:right="0"/>
              <w:jc w:val="left"/>
              <w:rPr>
                <w:rFonts w:hint="default" w:ascii="宋体" w:hAnsi="宋体" w:eastAsia="宋体" w:cs="宋体"/>
                <w:color w:val="000000"/>
                <w:szCs w:val="21"/>
              </w:rPr>
            </w:pPr>
            <w:r>
              <w:rPr>
                <w:rFonts w:hint="eastAsia" w:ascii="宋体" w:hAnsi="宋体" w:eastAsia="宋体" w:cs="宋体"/>
                <w:color w:val="000000"/>
                <w:szCs w:val="21"/>
              </w:rPr>
              <w:t>（3）法律法规或监管机构另有规定的，从其规定。</w:t>
            </w:r>
          </w:p>
          <w:p w14:paraId="3F954BE9">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b/>
                <w:bCs/>
                <w:color w:val="000000"/>
                <w:szCs w:val="21"/>
              </w:rPr>
              <w:t>★5.管理成本费用（相关机构收取）：</w:t>
            </w:r>
            <w:r>
              <w:rPr>
                <w:rFonts w:hint="eastAsia" w:ascii="宋体" w:hAnsi="宋体" w:eastAsia="宋体" w:cs="宋体"/>
                <w:color w:val="000000"/>
                <w:szCs w:val="21"/>
              </w:rPr>
              <w:t>为本理财产品项下投资交易提供专属信托、保管、托管、咨询、顾问、管理等服务所产生的费用(如基金管理费、投资顾问费、信托保管费、信托报酬、各类信托费用等)和支出均属于本理财产品的管理成本费用，由相关机构(包括但不限于基金公司、信托公司、保管银行等)依照相关法律文件(包括但不限于基金合同、信托合同、保管合同、顾问协议等)约定的标准和条件扣除。</w:t>
            </w:r>
          </w:p>
          <w:p w14:paraId="4231FE71">
            <w:pPr>
              <w:keepNext w:val="0"/>
              <w:keepLines w:val="0"/>
              <w:suppressLineNumbers w:val="0"/>
              <w:spacing w:before="0" w:beforeAutospacing="0" w:after="0" w:afterAutospacing="0" w:line="360" w:lineRule="auto"/>
              <w:ind w:left="0" w:right="0"/>
              <w:rPr>
                <w:rFonts w:hint="eastAsia" w:ascii="宋体" w:hAnsi="宋体" w:eastAsia="宋体" w:cs="宋体"/>
                <w:color w:val="000000"/>
                <w:szCs w:val="21"/>
              </w:rPr>
            </w:pPr>
            <w:r>
              <w:rPr>
                <w:rFonts w:hint="eastAsia" w:ascii="宋体" w:hAnsi="宋体" w:eastAsia="宋体" w:cs="宋体"/>
                <w:b/>
                <w:bCs/>
                <w:color w:val="000000"/>
                <w:szCs w:val="21"/>
              </w:rPr>
              <w:t>★6.其他成本费用（产品支付）：</w:t>
            </w:r>
            <w:r>
              <w:rPr>
                <w:rFonts w:hint="eastAsia" w:ascii="宋体" w:hAnsi="宋体" w:eastAsia="宋体" w:cs="宋体"/>
                <w:color w:val="000000"/>
                <w:szCs w:val="21"/>
              </w:rPr>
              <w:t>本理财产品运作和清算中产生的其他资金汇划费、结算费、交易手续费、注册登记费、账户服务费</w:t>
            </w:r>
            <w:r>
              <w:rPr>
                <w:rFonts w:hint="eastAsia" w:ascii="宋体" w:hAnsi="宋体" w:eastAsia="宋体" w:cs="宋体"/>
                <w:color w:val="auto"/>
                <w:szCs w:val="21"/>
                <w:lang w:val="en-US" w:eastAsia="zh-CN"/>
              </w:rPr>
              <w:t>/维护费</w:t>
            </w:r>
            <w:r>
              <w:rPr>
                <w:rFonts w:hint="eastAsia" w:ascii="宋体" w:hAnsi="宋体" w:eastAsia="宋体" w:cs="宋体"/>
                <w:color w:val="000000"/>
                <w:szCs w:val="21"/>
              </w:rPr>
              <w:t>、进行本理财产品销售文件约定的投资而发生的交易费用、根据国家有关规定应当在本理财产品收益或资产中扣除的法定费用、本理财产品存续期间发生的信息披露费用、与本理财产品相关的会计师费（如审计费等）和律师费以及本理财产品销售文件约定可扣除的其他费用(包括交易发生的税费、手续费等)均属于本理财产品的其他成本费用，由产品管理人依照相关法律文件的约定在向投资者分配资金前从理财产品中支付。</w:t>
            </w:r>
          </w:p>
          <w:p w14:paraId="4A3A2295">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b/>
                <w:bCs/>
                <w:color w:val="000000"/>
                <w:szCs w:val="21"/>
              </w:rPr>
              <w:t>★产品费用详情请见本《理财产品说明书》“九、产品的费用”部分。</w:t>
            </w:r>
          </w:p>
        </w:tc>
      </w:tr>
      <w:tr w14:paraId="0F376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6" w:hRule="atLeast"/>
        </w:trPr>
        <w:tc>
          <w:tcPr>
            <w:tcW w:w="2451" w:type="dxa"/>
            <w:vAlign w:val="center"/>
          </w:tcPr>
          <w:p w14:paraId="7A14088E">
            <w:pPr>
              <w:keepNext w:val="0"/>
              <w:keepLines w:val="0"/>
              <w:suppressLineNumbers w:val="0"/>
              <w:snapToGrid w:val="0"/>
              <w:spacing w:before="0" w:beforeAutospacing="0" w:after="0" w:afterAutospacing="0" w:line="360" w:lineRule="auto"/>
              <w:ind w:left="0" w:right="0"/>
              <w:rPr>
                <w:rFonts w:hint="default" w:ascii="宋体" w:hAnsi="宋体" w:eastAsia="宋体" w:cs="宋体"/>
                <w:bCs/>
                <w:color w:val="000000"/>
                <w:szCs w:val="21"/>
              </w:rPr>
            </w:pPr>
            <w:r>
              <w:rPr>
                <w:rFonts w:hint="eastAsia" w:ascii="宋体" w:hAnsi="宋体" w:eastAsia="宋体" w:cs="宋体"/>
                <w:bCs/>
                <w:color w:val="000000"/>
                <w:szCs w:val="21"/>
              </w:rPr>
              <w:t>税款</w:t>
            </w:r>
          </w:p>
        </w:tc>
        <w:tc>
          <w:tcPr>
            <w:tcW w:w="6633" w:type="dxa"/>
            <w:vAlign w:val="center"/>
          </w:tcPr>
          <w:p w14:paraId="6E6336B3">
            <w:pPr>
              <w:keepNext w:val="0"/>
              <w:keepLines w:val="0"/>
              <w:suppressLineNumbers w:val="0"/>
              <w:spacing w:before="0" w:beforeAutospacing="0" w:after="0" w:afterAutospacing="0" w:line="360" w:lineRule="auto"/>
              <w:ind w:left="0" w:right="0"/>
              <w:rPr>
                <w:rFonts w:hint="default" w:ascii="宋体" w:hAnsi="宋体" w:eastAsia="宋体" w:cs="宋体"/>
                <w:color w:val="000000"/>
                <w:szCs w:val="21"/>
              </w:rPr>
            </w:pPr>
            <w:r>
              <w:rPr>
                <w:rFonts w:hint="eastAsia" w:ascii="宋体" w:hAnsi="宋体" w:eastAsia="宋体" w:cs="宋体"/>
                <w:color w:val="000000"/>
                <w:szCs w:val="21"/>
              </w:rPr>
              <w:t>本理财产品运作过程中涉及的各纳税主体，其纳税义务按国家税收法律、法规执行。本理财产品运营过程中发生的应由本理财产品承担的增值税应税行为，由产品管理人申报和缴纳增值税及附加税费，该等税款直接从本理财产品账户中扣付缴纳。除法律法规特别要求外，投资者从本理财产品取得的收益应纳税款由投资者自行申报及缴纳，产品管理人不承担相关代扣代缴或纳税义务。</w:t>
            </w:r>
          </w:p>
        </w:tc>
      </w:tr>
    </w:tbl>
    <w:p w14:paraId="4DE757F5">
      <w:pPr>
        <w:spacing w:line="360" w:lineRule="auto"/>
        <w:ind w:firstLine="422" w:firstLineChars="200"/>
        <w:outlineLvl w:val="0"/>
        <w:rPr>
          <w:rFonts w:ascii="宋体" w:hAnsi="宋体" w:eastAsia="宋体" w:cs="宋体"/>
          <w:b/>
          <w:color w:val="000000"/>
          <w:szCs w:val="21"/>
        </w:rPr>
      </w:pPr>
      <w:r>
        <w:rPr>
          <w:rFonts w:hint="eastAsia" w:ascii="宋体" w:hAnsi="宋体" w:eastAsia="宋体" w:cs="宋体"/>
          <w:b/>
          <w:color w:val="000000"/>
          <w:szCs w:val="21"/>
        </w:rPr>
        <w:t>四、产品的投资运作</w:t>
      </w:r>
    </w:p>
    <w:p w14:paraId="61D004A7">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（一）投资范围</w:t>
      </w:r>
    </w:p>
    <w:p w14:paraId="0F4272B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本理财产品可投资于以下金融工具：</w:t>
      </w:r>
    </w:p>
    <w:p w14:paraId="6EEBA2EB">
      <w:pPr>
        <w:spacing w:line="360" w:lineRule="auto"/>
        <w:ind w:firstLine="420" w:firstLineChars="200"/>
        <w:rPr>
          <w:rFonts w:ascii="宋体" w:hAnsi="宋体" w:eastAsia="宋体" w:cs="宋体"/>
          <w:color w:val="000000"/>
          <w:szCs w:val="21"/>
        </w:rPr>
      </w:pPr>
      <w:r>
        <w:rPr>
          <w:rFonts w:ascii="宋体" w:hAnsi="宋体" w:eastAsia="宋体" w:cs="宋体"/>
          <w:color w:val="000000"/>
          <w:szCs w:val="21"/>
        </w:rPr>
        <w:t>1.现金；</w:t>
      </w:r>
    </w:p>
    <w:p w14:paraId="7AE4FE29">
      <w:pPr>
        <w:spacing w:line="360" w:lineRule="auto"/>
        <w:ind w:firstLine="420" w:firstLineChars="200"/>
        <w:rPr>
          <w:rFonts w:ascii="宋体" w:hAnsi="宋体" w:eastAsia="宋体" w:cs="宋体"/>
          <w:color w:val="000000"/>
          <w:szCs w:val="21"/>
        </w:rPr>
      </w:pPr>
      <w:r>
        <w:rPr>
          <w:rFonts w:ascii="宋体" w:hAnsi="宋体" w:eastAsia="宋体" w:cs="宋体"/>
          <w:color w:val="000000"/>
          <w:szCs w:val="21"/>
        </w:rPr>
        <w:t>2.期限在1年以内（含1年）的银行存款、债券回购、中央银行票据、同业存单；</w:t>
      </w:r>
    </w:p>
    <w:p w14:paraId="5A01C414">
      <w:pPr>
        <w:spacing w:line="360" w:lineRule="auto"/>
        <w:ind w:firstLine="420" w:firstLineChars="200"/>
        <w:rPr>
          <w:rFonts w:ascii="宋体" w:hAnsi="宋体" w:eastAsia="宋体" w:cs="宋体"/>
          <w:color w:val="000000"/>
          <w:szCs w:val="21"/>
        </w:rPr>
      </w:pPr>
      <w:r>
        <w:rPr>
          <w:rFonts w:ascii="宋体" w:hAnsi="宋体" w:eastAsia="宋体" w:cs="宋体"/>
          <w:color w:val="000000"/>
          <w:szCs w:val="21"/>
        </w:rPr>
        <w:t>3.剩余期限在397天以内（含397天）的债券、在银行间市场和证券交易所市场发行的资产支持证券；</w:t>
      </w:r>
    </w:p>
    <w:p w14:paraId="48ABD35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4.国家金融监督管理总局、中国人民银行认可的其他具有良好流动性的货币市场工具。</w:t>
      </w:r>
    </w:p>
    <w:p w14:paraId="5CB61169">
      <w:pPr>
        <w:numPr>
          <w:ilvl w:val="255"/>
          <w:numId w:val="0"/>
        </w:num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（二）投资比例</w:t>
      </w:r>
    </w:p>
    <w:p w14:paraId="69222092">
      <w:pPr>
        <w:numPr>
          <w:ilvl w:val="255"/>
          <w:numId w:val="0"/>
        </w:num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本理财产品直接或间接投资于固定收益类资产的比例为100%。</w:t>
      </w:r>
    </w:p>
    <w:p w14:paraId="7918CBCD">
      <w:pPr>
        <w:numPr>
          <w:ilvl w:val="255"/>
          <w:numId w:val="0"/>
        </w:num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★特别提示：</w:t>
      </w:r>
    </w:p>
    <w:p w14:paraId="3DFF8EAA">
      <w:pPr>
        <w:numPr>
          <w:ilvl w:val="255"/>
          <w:numId w:val="0"/>
        </w:num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在本理财产品存续期内，金融市场发生重大变化导致前述投资比例暂时超出浮动区间且可能对本理财产品收益产生重大影响的，产品管理人将根据本理财产品销售文件约定向投资者进行信息披露。</w:t>
      </w:r>
    </w:p>
    <w:p w14:paraId="261E2FE4">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（三）投资策略</w:t>
      </w:r>
    </w:p>
    <w:p w14:paraId="3C620A2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将基于宏观经济形势、货币政策、固定收益资产价格走势，确定各类投资资产的投资比例，优选投资品种，追求合理收益。其中债券投资策略主要包括：资产配置策略、信用投资策略、久期配置策略和杠杆策略。在不同时期，以上策略对组合收益和风险的贡献不尽相同，具体采用何种策略，取决于债券组合允许的风险程度。</w:t>
      </w:r>
    </w:p>
    <w:p w14:paraId="5DA57EE7">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1.资产配置策略</w:t>
      </w:r>
    </w:p>
    <w:p w14:paraId="71FD26E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从宏观环境、政策因素、资金供求因素、证券市场基本面等角度进行综合分析，判断各类资产的市场趋势和预期风险收益，在严格控制风险的前提下，确定投资组合的投资比例，并根据宏观经济形势和市场时机的变化适时进行动态调整。</w:t>
      </w:r>
    </w:p>
    <w:p w14:paraId="2EAB55F6">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2.信用投资策略</w:t>
      </w:r>
    </w:p>
    <w:p w14:paraId="325EB5F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根据产品管理人的内部信用评级标准，辅以外部信用评级，研究债权资产发行主体的信用状况，平衡风险与收益选择信用风险适当的主体和券种作为投资对象。</w:t>
      </w:r>
    </w:p>
    <w:p w14:paraId="3C0859D6">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3.久期配置策略</w:t>
      </w:r>
    </w:p>
    <w:p w14:paraId="036DC47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本理财产品将基于对市场利率变化趋势的预判，分析债券市场的反映，并据此对债券组合的久期进行调整，从而获取利率下行导致债券价格上升带来的收益，并缓解利率上行导致债券价格下降的风险。</w:t>
      </w:r>
    </w:p>
    <w:p w14:paraId="7252CD2B">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4.杠杆配置策略</w:t>
      </w:r>
    </w:p>
    <w:p w14:paraId="692CCAF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产品管理人根据对未来资金成本预测，通过融入短期资金，适度运用杠杆策略增厚组合收益，从而获得杠杆放大收益；产品管理人将根据市场利率水平以及对利率期限结构的预期等，对杠杆比例适时进行调整，尽可能平滑投资组合的净值波动。</w:t>
      </w:r>
    </w:p>
    <w:p w14:paraId="2C689838">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（四）投资限制</w:t>
      </w:r>
    </w:p>
    <w:p w14:paraId="1DDFAFE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1.本理财产品投资债券信用等级的认定：</w:t>
      </w:r>
    </w:p>
    <w:p w14:paraId="27AA24A6">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本理财产品投资债券的信用等级主要参照外部最新主体评级或债项评级，若无主体和债项评级的，则按照产品管理人内部评级进行投资。</w:t>
      </w:r>
    </w:p>
    <w:p w14:paraId="63B49D9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2.本理财产品不得投资于以下金融工具：</w:t>
      </w:r>
    </w:p>
    <w:p w14:paraId="793B521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（1）股票；</w:t>
      </w:r>
    </w:p>
    <w:p w14:paraId="3A93ABF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（2）可转换债券、可交换债券；</w:t>
      </w:r>
    </w:p>
    <w:p w14:paraId="7911622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（3）以定期存款利率为基准利率的浮动利率债券，已进入最后一个利率调整期的除外；</w:t>
      </w:r>
    </w:p>
    <w:p w14:paraId="7523170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（4）信用等级在AA+以下的债券、资产支持证券；</w:t>
      </w:r>
    </w:p>
    <w:p w14:paraId="33540F9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（5）国家金融监督管理总局、中国人民银行禁止投资的其他金融工具。</w:t>
      </w:r>
    </w:p>
    <w:p w14:paraId="5817785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3.本理财产品投资集中度要求如下：</w:t>
      </w:r>
    </w:p>
    <w:p w14:paraId="5460140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（1）本理财产品投资于同一机构发行的债券及其作为原始权益人的资产支持证券的比例合计不得超过本理财产品资产净值的10%，投资于国债、中央银行票据、政策性金融债券的除外；</w:t>
      </w:r>
    </w:p>
    <w:p w14:paraId="69A56C8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本理财产品投资于所有主体信用评级低于AAA的机构发行的金融工具的比例合计不得超过本理财产品资产净值的10%，其中单一机构发行的金融工具的比例合计不得超过本理财产品资产净值的2%，本款所称金融工具包括债券、银行存款、同业存单、相关机构作为原始权益人的资产支持证券及国家金融监督管理总局认可的其他金融工具；</w:t>
      </w:r>
    </w:p>
    <w:p w14:paraId="786034B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本理财产品投资于有固定期限银行存款的比例合计不得超过本理财产品资产净值的30%，投资于有存款期限，根据协议可提前支取的银行存款除外；本理财产品投资于主体信用评级为AAA的同一商业银行的银行存款、同业存单占本理财产品资产净值的比例合计不得超过20%；</w:t>
      </w:r>
    </w:p>
    <w:p w14:paraId="10E7A4B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（4）产品管理人管理的全部现金管理类理财产品投资于同一商业银行的存款、同业存单和债券，不得超过该商业银行最近一个季度末净资产的10%；</w:t>
      </w:r>
    </w:p>
    <w:p w14:paraId="3B35732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产品管理人管理的现金管理类理财产品拟投资于主体信用评级低于AA+的商业银行的银行存款与同业存单的，应当经产品管理人的董事会审议批准，相关交易应当事先告知产品托管人，并作为重大事项履行信息披露程序。</w:t>
      </w:r>
    </w:p>
    <w:p w14:paraId="0F21DA1F">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★非主观因素导致突破前款各项比例限制的，产品管理人应当在10个交易日内调整至符合要求，国家金融监督管理总局规定的特殊情形除外。</w:t>
      </w:r>
    </w:p>
    <w:p w14:paraId="1B8D16C8">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4.本理财产品应持有足够的具有良好流动性的资产，本理财产品的投资组合应符合以下要求：</w:t>
      </w:r>
    </w:p>
    <w:p w14:paraId="75914D3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（1）本理财产品持有不低于本理财产品资产净值5%的现金、国债、中央银行票据、政策性金融债券；</w:t>
      </w:r>
    </w:p>
    <w:p w14:paraId="175BB2F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（2）本理财产品持有不低于本理财产品资产净值10%的现金、国债、中央银行票据、政策性金融债券以及五个交易日内到期的其他金融工具；</w:t>
      </w:r>
    </w:p>
    <w:p w14:paraId="3E43201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当前10名投资者的持有份额合计超过本理财产品总份额的50%时，投资组合中现金、国债、中央银行票据、政策性金融债券以及5个交易日内到期的其他金融工具占本理财产品资产净值的比例合计不得低于30%；</w:t>
      </w:r>
    </w:p>
    <w:p w14:paraId="11B6BF7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当前10名投资者的持有份额合计超过本理财产品总份额的20%时，投资组合中现金、国债、中央银行票据、政策性金融债券以及5个交易日内到期的其他金融工具占本理财产品资产净值的比例合计不得低于20%；</w:t>
      </w:r>
    </w:p>
    <w:p w14:paraId="6EDAD2D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本理财产品投资到期日在10个交易日以上的债券买入返售、银行定期存款（含协议约定有条件提前支取的银行存款），以及资产支持证券、因发行人债务违约无法进行转让或者交易的债券等由于法律法规、合同或者操作障碍等原因无法以合理价格予以变现的流动性受限资产，合计不得超过本理财产品资产净值的10%；</w:t>
      </w:r>
    </w:p>
    <w:p w14:paraId="159FB82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（4）本理财产品的杠杆水平不得超过120%，发生巨额赎回、连续3个交易日累计赎回20%以上或者连续5个交易日累计赎回30%以上的情形除外。</w:t>
      </w:r>
    </w:p>
    <w:p w14:paraId="26EA5A98">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★非主观因素导致突破前款第（2）（4）项比例限制的，产品管理人应当在10个交易日内调整至符合要求；非主观因素导致突破前款第（3）项比例限制的，产品管理人不得主动新增流动性受限资产的投资。</w:t>
      </w:r>
    </w:p>
    <w:p w14:paraId="515FE8E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5.本理财产品投资期限要求如下：</w:t>
      </w:r>
    </w:p>
    <w:p w14:paraId="43BE3E7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（1）本理财产品投资组合的平均剩余期限不得超过120天，平均剩余存续期限不得超过240天；</w:t>
      </w:r>
    </w:p>
    <w:p w14:paraId="19D53D7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（2）当前10名投资者的持有份额合计超过本理财产品总份额的50%时，投资组合的平均剩余期限不得超过60天，平均剩余存续期限不得超过120天；</w:t>
      </w:r>
    </w:p>
    <w:p w14:paraId="3A85F5A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（3）当前10名投资者的持有份额合计超过本理财产品总份额的20%时，投资组合的平均剩余期限不得超过90天，平均剩余存续期限不得超过180天。</w:t>
      </w:r>
    </w:p>
    <w:p w14:paraId="046C0AF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★非因产品管理人主观因素导致突破前款第（2）（3）项比例限制的，产品管理人应当在10个交易日内调整至符合要求，国家金融监督管理总局规定的特殊情形除外。</w:t>
      </w:r>
    </w:p>
    <w:p w14:paraId="30B4459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6.法律法规及国家金融监督管理总局规定的其他投资限制。</w:t>
      </w:r>
    </w:p>
    <w:p w14:paraId="4A16F8C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★特别提示：</w:t>
      </w:r>
    </w:p>
    <w:p w14:paraId="7CEC92F6">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本理财产品的上述投资限制将有可能随国家法律法规及监管政策的变化而产生变化，如发生变化，产品管理人将及时进行信息披露。</w:t>
      </w:r>
    </w:p>
    <w:p w14:paraId="13DD17A3">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（五）投资目标</w:t>
      </w:r>
    </w:p>
    <w:p w14:paraId="7918B758">
      <w:pPr>
        <w:spacing w:line="360" w:lineRule="auto"/>
        <w:ind w:firstLine="420" w:firstLineChars="200"/>
        <w:rPr>
          <w:rFonts w:ascii="宋体" w:hAnsi="宋体" w:eastAsia="宋体" w:cs="宋体"/>
          <w:b/>
          <w:color w:val="000000"/>
          <w:szCs w:val="21"/>
        </w:rPr>
      </w:pPr>
      <w:r>
        <w:rPr>
          <w:rFonts w:hint="eastAsia" w:ascii="宋体" w:hAnsi="宋体" w:eastAsia="宋体" w:cs="宋体"/>
          <w:color w:val="000000"/>
        </w:rPr>
        <w:t>以投资价值分析为基础，宏观与微观、定性与定量相结合，进行主动式管理，在追求理财投资资产稳定增值的基础上，力争为投资者获得较高的收益。</w:t>
      </w:r>
    </w:p>
    <w:p w14:paraId="76F83659">
      <w:pPr>
        <w:spacing w:line="360" w:lineRule="auto"/>
        <w:ind w:firstLine="422" w:firstLineChars="200"/>
        <w:outlineLvl w:val="0"/>
        <w:rPr>
          <w:rFonts w:ascii="宋体" w:hAnsi="宋体" w:eastAsia="宋体" w:cs="宋体"/>
          <w:b/>
          <w:color w:val="000000"/>
          <w:szCs w:val="21"/>
        </w:rPr>
      </w:pPr>
      <w:r>
        <w:rPr>
          <w:rFonts w:hint="eastAsia" w:ascii="宋体" w:hAnsi="宋体" w:eastAsia="宋体" w:cs="宋体"/>
          <w:b/>
          <w:color w:val="000000"/>
          <w:szCs w:val="21"/>
        </w:rPr>
        <w:t>五、产品的募集和认购</w:t>
      </w:r>
    </w:p>
    <w:p w14:paraId="7DF6406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（一）投资者在指定向北银理财申请购买本理财产品销售文件项下的理财产品时应已经在代销机构开立活期存款账户。</w:t>
      </w:r>
    </w:p>
    <w:p w14:paraId="4B7451C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二）投资者应指定其开立在代销机构的相关账户作为清算账户。该账户用于产品管理人和投资者之间根据本理财产品销售文件办理投资金额与清算分配金额等款项收付。投资者同意，代销机构制作的该账户收款、付款记录是证明该账户项下款项收付的有效凭证。</w:t>
      </w:r>
    </w:p>
    <w:p w14:paraId="3555728C">
      <w:pPr>
        <w:spacing w:line="360" w:lineRule="auto"/>
        <w:ind w:firstLine="420" w:firstLineChars="200"/>
        <w:rPr>
          <w:rFonts w:hint="eastAsia" w:ascii="宋体" w:hAnsi="宋体" w:eastAsia="宋体" w:cs="宋体"/>
          <w:bCs/>
          <w:color w:val="000000"/>
          <w:szCs w:val="21"/>
        </w:rPr>
      </w:pPr>
      <w:r>
        <w:rPr>
          <w:rFonts w:hint="eastAsia" w:ascii="宋体" w:hAnsi="宋体" w:eastAsia="宋体" w:cs="宋体"/>
          <w:color w:val="000000"/>
          <w:szCs w:val="21"/>
        </w:rPr>
        <w:t>（三）本理财产品认购金额要求：投资者购买本理财产品A类份额的投资起点为0.01元，并以0.01元为单位递增</w:t>
      </w:r>
      <w:r>
        <w:rPr>
          <w:rFonts w:hint="eastAsia" w:ascii="宋体" w:hAnsi="宋体" w:eastAsia="宋体" w:cs="宋体"/>
          <w:bCs/>
          <w:color w:val="000000"/>
          <w:szCs w:val="21"/>
        </w:rPr>
        <w:t>。</w:t>
      </w:r>
    </w:p>
    <w:p w14:paraId="06C8D53E">
      <w:pPr>
        <w:spacing w:line="360" w:lineRule="auto"/>
        <w:ind w:firstLine="420" w:firstLineChars="200"/>
        <w:rPr>
          <w:rFonts w:ascii="宋体" w:hAnsi="宋体" w:eastAsia="宋体" w:cs="宋体"/>
          <w:color w:val="000000"/>
          <w:szCs w:val="21"/>
        </w:rPr>
      </w:pPr>
      <w:r>
        <w:rPr>
          <w:rFonts w:hint="eastAsia" w:ascii="宋体" w:hAnsi="宋体" w:eastAsia="宋体" w:cs="宋体"/>
          <w:bCs/>
          <w:color w:val="000000"/>
          <w:szCs w:val="21"/>
        </w:rPr>
        <w:t>★如销售机构另有要求的，实际投资起点金额及递增金额应当以销售机构展示/提示为准，但不得低于本理财产品销售文件约定的投资起点金额及递增金额。</w:t>
      </w:r>
    </w:p>
    <w:p w14:paraId="336C99F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（四）认购份额的计算：认购份额=认购金额/产品单位面值，本理财产品成立日的产品单位面值为1.00元，认购份额以四舍五入的方法保留到小数点后两位。实际认购份额以产品管理人确认的份额为准。</w:t>
      </w:r>
    </w:p>
    <w:p w14:paraId="0F33D55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（五）认购费用：</w:t>
      </w:r>
      <w:r>
        <w:rPr>
          <w:rFonts w:hint="eastAsia" w:ascii="宋体" w:hAnsi="宋体" w:eastAsia="宋体" w:cs="宋体"/>
          <w:color w:val="000000"/>
          <w:szCs w:val="21"/>
          <w:lang w:val="en-US" w:eastAsia="zh-CN"/>
        </w:rPr>
        <w:t>本理财产品暂不收取认购费用。</w:t>
      </w:r>
    </w:p>
    <w:p w14:paraId="2CB4290B">
      <w:pPr>
        <w:widowControl w:val="0"/>
        <w:spacing w:after="0" w:line="360" w:lineRule="auto"/>
        <w:ind w:left="0" w:leftChars="0" w:firstLine="420" w:firstLineChars="200"/>
        <w:jc w:val="both"/>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（六）受理时间和确认时间：投资者可在认购交易时间内购买本理财产品。</w:t>
      </w:r>
      <w:r>
        <w:rPr>
          <w:rFonts w:hint="eastAsia" w:ascii="宋体" w:hAnsi="宋体" w:eastAsia="宋体" w:cs="宋体"/>
          <w:bCs/>
          <w:color w:val="000000"/>
          <w:kern w:val="2"/>
          <w:sz w:val="21"/>
          <w:szCs w:val="21"/>
          <w:lang w:val="en-US" w:eastAsia="zh-CN" w:bidi="ar-SA"/>
        </w:rPr>
        <w:t>通过代销机构渠道销售本理财产品的，代销机构有权冻结认购款项，并于本理财产品成立日由代销机构划款</w:t>
      </w:r>
      <w:r>
        <w:rPr>
          <w:rFonts w:hint="eastAsia" w:ascii="宋体" w:hAnsi="宋体" w:eastAsia="宋体" w:cs="宋体"/>
          <w:color w:val="000000"/>
          <w:kern w:val="2"/>
          <w:sz w:val="21"/>
          <w:szCs w:val="21"/>
          <w:lang w:val="en-US" w:eastAsia="zh-CN" w:bidi="ar-SA"/>
        </w:rPr>
        <w:t>。销售机构受理认购申请并不代表对该申请成功的确认，而仅代表其收到了认购申请，申请是否成功应以产品管理人的系统确认为准。产品管理人在本理财产品成立日确认产品份额。</w:t>
      </w:r>
    </w:p>
    <w:p w14:paraId="7D71D786">
      <w:pPr>
        <w:widowControl/>
        <w:spacing w:after="0" w:line="360" w:lineRule="auto"/>
        <w:ind w:left="0" w:leftChars="0" w:firstLine="420" w:firstLineChars="200"/>
        <w:jc w:val="left"/>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w:t>
      </w:r>
      <w:r>
        <w:rPr>
          <w:rFonts w:hint="eastAsia" w:ascii="宋体" w:hAnsi="宋体" w:eastAsia="宋体" w:cs="宋体"/>
          <w:color w:val="000000"/>
          <w:kern w:val="2"/>
          <w:sz w:val="21"/>
          <w:szCs w:val="21"/>
          <w:lang w:val="en-US" w:eastAsia="zh-CN" w:bidi="ar-SA"/>
        </w:rPr>
        <w:t>若因本理财产品销售文件约定的特殊情况（包括但不限于单一投资者认（申）购金额、比例或产品募集上限等条件、产品不成立，以及在认（申）购期内发生的有权机关查封、冻结、扣划等情况）发生，导致投资者全部或部分认（申）购失败的，</w:t>
      </w:r>
      <w:r>
        <w:rPr>
          <w:rFonts w:hint="eastAsia" w:ascii="宋体" w:hAnsi="宋体" w:eastAsia="宋体" w:cs="宋体"/>
          <w:color w:val="000000"/>
          <w:kern w:val="2"/>
          <w:sz w:val="21"/>
          <w:szCs w:val="21"/>
          <w:lang w:val="en-US" w:eastAsia="zh-CN" w:bidi="ar"/>
        </w:rPr>
        <w:t>如资金已划转至产品管理人，产品管理人将于本产品原定成立日将对应资金退回销售机构，由销售机构退回投资者；如资金尚未划转至产品管理人，则由销售机构退回投资者。</w:t>
      </w:r>
    </w:p>
    <w:p w14:paraId="10141403">
      <w:pPr>
        <w:widowControl w:val="0"/>
        <w:spacing w:after="0" w:line="360" w:lineRule="auto"/>
        <w:ind w:left="0" w:leftChars="0" w:firstLine="420"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w:t>
      </w:r>
      <w:r>
        <w:rPr>
          <w:rFonts w:hint="eastAsia" w:ascii="宋体" w:hAnsi="宋体" w:eastAsia="宋体" w:cs="宋体"/>
          <w:color w:val="000000"/>
          <w:kern w:val="2"/>
          <w:sz w:val="21"/>
          <w:szCs w:val="21"/>
          <w:lang w:val="en-US" w:eastAsia="zh-CN" w:bidi="ar-SA"/>
        </w:rPr>
        <w:t>（七）募集期的利息计算：募集期内，</w:t>
      </w:r>
      <w:r>
        <w:rPr>
          <w:rFonts w:hint="eastAsia" w:ascii="宋体" w:hAnsi="宋体" w:eastAsia="宋体" w:cs="宋体"/>
          <w:bCs w:val="0"/>
          <w:color w:val="000000"/>
          <w:kern w:val="2"/>
          <w:sz w:val="21"/>
          <w:szCs w:val="21"/>
          <w:lang w:val="en-US" w:eastAsia="zh-CN" w:bidi="ar-SA"/>
        </w:rPr>
        <w:t>认购资金是否计息等相关安排以销售机构为准</w:t>
      </w:r>
      <w:r>
        <w:rPr>
          <w:rFonts w:hint="eastAsia" w:ascii="宋体" w:hAnsi="宋体" w:eastAsia="宋体" w:cs="宋体"/>
          <w:color w:val="000000"/>
          <w:kern w:val="2"/>
          <w:sz w:val="21"/>
          <w:szCs w:val="21"/>
          <w:lang w:val="en-US" w:eastAsia="zh-CN" w:bidi="ar-SA"/>
        </w:rPr>
        <w:t>。</w:t>
      </w:r>
    </w:p>
    <w:p w14:paraId="156F056C">
      <w:pPr>
        <w:widowControl w:val="0"/>
        <w:spacing w:after="0" w:line="360" w:lineRule="auto"/>
        <w:ind w:left="0" w:leftChars="0" w:firstLine="420"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（八）受理渠道：</w:t>
      </w:r>
      <w:r>
        <w:rPr>
          <w:rFonts w:hint="eastAsia" w:ascii="宋体" w:hAnsi="宋体" w:eastAsia="宋体" w:cs="宋体"/>
          <w:bCs w:val="0"/>
          <w:color w:val="000000"/>
          <w:kern w:val="2"/>
          <w:sz w:val="21"/>
          <w:szCs w:val="21"/>
          <w:lang w:val="en-US" w:eastAsia="zh-CN" w:bidi="ar-SA"/>
        </w:rPr>
        <w:t>通过代销机构渠道销售本理财产品的，</w:t>
      </w:r>
      <w:r>
        <w:rPr>
          <w:rFonts w:hint="eastAsia" w:ascii="宋体" w:hAnsi="宋体" w:eastAsia="宋体" w:cs="宋体"/>
          <w:color w:val="000000"/>
          <w:kern w:val="2"/>
          <w:sz w:val="21"/>
          <w:szCs w:val="21"/>
          <w:lang w:val="en-US" w:eastAsia="zh-CN" w:bidi="ar-SA"/>
        </w:rPr>
        <w:t>投资者可通过代销机构各营业网点、代销机构手机银行等电子渠道办理理财账户的开户手续，可通过代销机构各营业网点、代销机构手机银行等电子渠道办理本理财产品的购买手续（具体以代销机构要求为准）。</w:t>
      </w:r>
    </w:p>
    <w:p w14:paraId="0D1FEC31">
      <w:pPr>
        <w:spacing w:line="360" w:lineRule="auto"/>
        <w:ind w:firstLine="422" w:firstLineChars="200"/>
        <w:rPr>
          <w:rFonts w:ascii="宋体" w:hAnsi="宋体" w:eastAsia="宋体" w:cs="宋体"/>
          <w:color w:val="000000"/>
          <w:szCs w:val="21"/>
        </w:rPr>
      </w:pPr>
      <w:r>
        <w:rPr>
          <w:rFonts w:hint="eastAsia" w:ascii="宋体" w:hAnsi="宋体" w:eastAsia="宋体" w:cs="宋体"/>
          <w:b/>
          <w:bCs/>
          <w:color w:val="000000"/>
          <w:szCs w:val="21"/>
        </w:rPr>
        <w:t>★</w:t>
      </w:r>
      <w:r>
        <w:rPr>
          <w:rFonts w:hint="eastAsia" w:ascii="宋体" w:hAnsi="宋体" w:eastAsia="宋体" w:cs="宋体"/>
          <w:color w:val="000000"/>
          <w:szCs w:val="21"/>
        </w:rPr>
        <w:t>（九）撤销认购：投资者可在本理财产品认购交易时间内撤销购买（具体按销售机构对于交易时间和交易申请的相关规定执行），撤销后的资金原则上将于2个工作日内到账，具体到账时间以销售机构提示为准。</w:t>
      </w:r>
      <w:r>
        <w:rPr>
          <w:rFonts w:hint="eastAsia" w:ascii="宋体" w:hAnsi="宋体" w:eastAsia="宋体" w:cs="宋体"/>
          <w:b/>
          <w:bCs/>
          <w:color w:val="000000"/>
          <w:szCs w:val="21"/>
          <w:u w:val="single"/>
        </w:rPr>
        <w:t>本理财产品募集期结束后，投资者不能撤销购买本理财产品。</w:t>
      </w:r>
    </w:p>
    <w:p w14:paraId="79DA3226">
      <w:pPr>
        <w:spacing w:line="360" w:lineRule="auto"/>
        <w:ind w:firstLine="422" w:firstLineChars="200"/>
        <w:outlineLvl w:val="0"/>
        <w:rPr>
          <w:rFonts w:ascii="宋体" w:hAnsi="宋体" w:eastAsia="宋体" w:cs="宋体"/>
          <w:b/>
          <w:color w:val="000000"/>
          <w:szCs w:val="21"/>
        </w:rPr>
      </w:pPr>
      <w:r>
        <w:rPr>
          <w:rFonts w:hint="eastAsia" w:ascii="宋体" w:hAnsi="宋体" w:eastAsia="宋体" w:cs="宋体"/>
          <w:b/>
          <w:color w:val="000000"/>
          <w:szCs w:val="21"/>
        </w:rPr>
        <w:t>六、产品的申购和赎回</w:t>
      </w:r>
    </w:p>
    <w:p w14:paraId="3115A9E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（一）申购/赎回规则</w:t>
      </w:r>
    </w:p>
    <w:p w14:paraId="10CEE11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1.本理财产品采用金额申购、份额赎回的原则，即申购以金额申请，赎回以份额申请。</w:t>
      </w:r>
    </w:p>
    <w:p w14:paraId="5EDC47B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2.投资者可在本理财产品申购或赎回交易时间内提交申请，产品管理人公告暂停开放的日期除外。</w:t>
      </w:r>
    </w:p>
    <w:p w14:paraId="74D30686">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非申购或赎回交易时间提交的申请，将于投资者提出申请后的产品最近一个开放日正式受理，非申购或赎回交易时间是否可提交申请以销售机构为准。</w:t>
      </w:r>
    </w:p>
    <w:p w14:paraId="39F4184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投资者可在本理财产品申购或赎回交易时间内撤销申请，具体是否可撤销以及撤销规则以销售机构为准。撤销后的申购资金原则上于2个工作日内到账，具体到账时间以销售机构提示为准。</w:t>
      </w:r>
    </w:p>
    <w:p w14:paraId="4F2C422A">
      <w:pPr>
        <w:numPr>
          <w:ilvl w:val="255"/>
          <w:numId w:val="0"/>
        </w:num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3.投资者申购、赎回本理财产品时，采用“确定价原则”，即本理财产品申购申请和赎回申请提交时，适用的产品单位净值都为1.00元人民币。</w:t>
      </w:r>
    </w:p>
    <w:p w14:paraId="550C67EC">
      <w:pPr>
        <w:numPr>
          <w:ilvl w:val="255"/>
          <w:numId w:val="0"/>
        </w:num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（二）申购/赎回的数额限制</w:t>
      </w:r>
    </w:p>
    <w:p w14:paraId="3558122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1.申购金额要求：本理财产品B类份额申购起点金额为0.01元，并以0.01元为单位递增。</w:t>
      </w:r>
    </w:p>
    <w:p w14:paraId="45011BB8">
      <w:pPr>
        <w:spacing w:line="360" w:lineRule="auto"/>
        <w:ind w:firstLine="420" w:firstLineChars="200"/>
        <w:rPr>
          <w:rFonts w:ascii="宋体" w:hAnsi="宋体" w:eastAsia="宋体" w:cs="宋体"/>
          <w:color w:val="000000"/>
          <w:szCs w:val="21"/>
        </w:rPr>
      </w:pPr>
      <w:r>
        <w:rPr>
          <w:rFonts w:hint="eastAsia" w:ascii="宋体" w:hAnsi="宋体" w:eastAsia="宋体" w:cs="宋体"/>
          <w:bCs/>
          <w:color w:val="000000"/>
          <w:szCs w:val="21"/>
        </w:rPr>
        <w:t>★如销售机构另有要求的，实际</w:t>
      </w:r>
      <w:r>
        <w:rPr>
          <w:rFonts w:hint="eastAsia" w:ascii="宋体" w:hAnsi="宋体" w:eastAsia="宋体" w:cs="宋体"/>
          <w:bCs/>
          <w:color w:val="000000"/>
          <w:szCs w:val="21"/>
          <w:lang w:val="en-US" w:eastAsia="zh-CN"/>
        </w:rPr>
        <w:t>申购</w:t>
      </w:r>
      <w:r>
        <w:rPr>
          <w:rFonts w:hint="eastAsia" w:ascii="宋体" w:hAnsi="宋体" w:eastAsia="宋体" w:cs="宋体"/>
          <w:bCs/>
          <w:color w:val="000000"/>
          <w:szCs w:val="21"/>
        </w:rPr>
        <w:t>起点金额及递增金额应当以销售机构展示/提示为准，但不得低于本理财产品销售文件约定的</w:t>
      </w:r>
      <w:r>
        <w:rPr>
          <w:rFonts w:hint="eastAsia" w:ascii="宋体" w:hAnsi="宋体" w:eastAsia="宋体" w:cs="宋体"/>
          <w:bCs/>
          <w:color w:val="000000"/>
          <w:szCs w:val="21"/>
          <w:lang w:val="en-US" w:eastAsia="zh-CN"/>
        </w:rPr>
        <w:t>申购</w:t>
      </w:r>
      <w:r>
        <w:rPr>
          <w:rFonts w:hint="eastAsia" w:ascii="宋体" w:hAnsi="宋体" w:eastAsia="宋体" w:cs="宋体"/>
          <w:bCs/>
          <w:color w:val="000000"/>
          <w:szCs w:val="21"/>
        </w:rPr>
        <w:t>起点金额及递增金额。</w:t>
      </w:r>
    </w:p>
    <w:p w14:paraId="4155669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赎回份额要求：投资者可以选择全部赎回或部分赎回本理财产品，本理财产品B类份额最低赎回份额为0.01份，最低持有份额为0.01份。若投资者申请部分赎回后，其持有的剩余产品份额少于最低持有份额，投资者应申请全部赎回本理财产品，否则该部分赎回申请将不被受理。</w:t>
      </w:r>
    </w:p>
    <w:p w14:paraId="4383CB6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3</w:t>
      </w:r>
      <w:r>
        <w:rPr>
          <w:rFonts w:hint="eastAsia" w:ascii="宋体" w:hAnsi="宋体" w:eastAsia="宋体" w:cs="宋体"/>
          <w:color w:val="000000"/>
          <w:szCs w:val="21"/>
        </w:rPr>
        <w:t>.对于可能导致单一投资者持有份额超过本理财产品总份额的50%的申购申请，产品管理人有权拒绝接受或部分接受，确保单一投资者持有份额不超过本理财产品总份额的50%。</w:t>
      </w:r>
    </w:p>
    <w:p w14:paraId="074CDED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5.产品管理人在不损害理财产品份额持有人权益的情况下有权更改上述原则，但最迟须在新的原则实施前1个工作日予以公告。</w:t>
      </w:r>
    </w:p>
    <w:p w14:paraId="0003824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（三）申购/赎回的受理和确认</w:t>
      </w:r>
    </w:p>
    <w:p w14:paraId="1E2B3F2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投资者在提交申购申请时须按销售机构规定方式备足资金，在提交赎回申请时须持有足够的理财产品份额，否则所提交的申购/赎回申请将失败。销售机构受理申购/赎回申请并不代表对该申请成功的确认，而仅代表其收到了申购/赎回申请，申请是否成功应以产品管理人的系统确认为准。</w:t>
      </w:r>
    </w:p>
    <w:p w14:paraId="7B808C68">
      <w:pPr>
        <w:numPr>
          <w:ilvl w:val="255"/>
          <w:numId w:val="0"/>
        </w:num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2.申</w:t>
      </w:r>
      <w:r>
        <w:rPr>
          <w:rFonts w:hint="eastAsia" w:ascii="宋体" w:hAnsi="宋体" w:eastAsia="宋体" w:cs="宋体"/>
          <w:bCs/>
          <w:color w:val="000000"/>
          <w:szCs w:val="21"/>
        </w:rPr>
        <w:t>购资金是否计息等相关安排以销售机构为准</w:t>
      </w:r>
      <w:r>
        <w:rPr>
          <w:rFonts w:hint="eastAsia" w:ascii="宋体" w:hAnsi="宋体" w:eastAsia="宋体" w:cs="宋体"/>
          <w:color w:val="000000"/>
          <w:szCs w:val="21"/>
        </w:rPr>
        <w:t>。</w:t>
      </w:r>
    </w:p>
    <w:p w14:paraId="421284A6">
      <w:pPr>
        <w:numPr>
          <w:ilvl w:val="255"/>
          <w:numId w:val="0"/>
        </w:num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3.申购确认</w:t>
      </w:r>
    </w:p>
    <w:p w14:paraId="0309C8C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投资者在申购交易时间内提出的申购申请，申购日为开放日当日，产品管理人在该日的下一个开放日对满足条件的有效申购申请予以确认；投资者在非申购交易时间提出的申购申请，申购日为投资者提出申请后的产品最近一个开放日，产品管理人将在该日的下一个开放日对满足条件的有效申购申请予以确认。</w:t>
      </w:r>
    </w:p>
    <w:p w14:paraId="50CA7D0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产品管理人确认投资者申购申请的，投资者自申购确认日起持有本理财产品份额。投资者实际申购份额以产品管理人确认份额为准。申购份额=申购金额÷申购价格，申购价格为申购日的产品单位净值，申购份额以四舍五入的方法保留到小数点后两位。</w:t>
      </w:r>
    </w:p>
    <w:p w14:paraId="14E90377">
      <w:pPr>
        <w:spacing w:line="360" w:lineRule="auto"/>
        <w:ind w:firstLine="422" w:firstLineChars="200"/>
        <w:rPr>
          <w:rFonts w:ascii="宋体" w:hAnsi="宋体" w:eastAsia="宋体" w:cs="宋体"/>
          <w:b/>
          <w:bCs/>
          <w:color w:val="000000"/>
          <w:szCs w:val="21"/>
        </w:rPr>
      </w:pPr>
      <w:r>
        <w:rPr>
          <w:rFonts w:ascii="宋体" w:hAnsi="宋体" w:eastAsia="宋体" w:cs="宋体"/>
          <w:b/>
          <w:bCs/>
          <w:color w:val="000000"/>
          <w:szCs w:val="21"/>
        </w:rPr>
        <w:t>4.赎回的确认和到账时间</w:t>
      </w:r>
    </w:p>
    <w:p w14:paraId="6891064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投资者在赎回交易时间内提出的赎回申请，赎回日为开放日当日，产品管理人在该日的下一个</w:t>
      </w:r>
      <w:r>
        <w:rPr>
          <w:rFonts w:hint="eastAsia" w:ascii="宋体" w:hAnsi="宋体" w:eastAsia="宋体" w:cs="宋体"/>
          <w:color w:val="000000"/>
          <w:szCs w:val="21"/>
          <w:lang w:val="en-US" w:eastAsia="zh-CN"/>
        </w:rPr>
        <w:t>开放</w:t>
      </w:r>
      <w:r>
        <w:rPr>
          <w:rFonts w:hint="eastAsia" w:ascii="宋体" w:hAnsi="宋体" w:eastAsia="宋体" w:cs="宋体"/>
          <w:color w:val="000000"/>
          <w:szCs w:val="21"/>
        </w:rPr>
        <w:t>日对满足条件的有效赎回申请予以确认；投资者在非赎回交易时间提出的赎回申请，赎回日为投资者提出申请后的产品最近一个开放日，产品管理人将在该日的下一个</w:t>
      </w:r>
      <w:r>
        <w:rPr>
          <w:rFonts w:hint="eastAsia" w:ascii="宋体" w:hAnsi="宋体" w:eastAsia="宋体" w:cs="宋体"/>
          <w:color w:val="000000"/>
          <w:szCs w:val="21"/>
          <w:lang w:val="en-US" w:eastAsia="zh-CN"/>
        </w:rPr>
        <w:t>开放</w:t>
      </w:r>
      <w:r>
        <w:rPr>
          <w:rFonts w:hint="eastAsia" w:ascii="宋体" w:hAnsi="宋体" w:eastAsia="宋体" w:cs="宋体"/>
          <w:color w:val="000000"/>
          <w:szCs w:val="21"/>
        </w:rPr>
        <w:t>日对满足条件的有效赎回申请予以确认。</w:t>
      </w:r>
    </w:p>
    <w:p w14:paraId="0C48E82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投资者实际赎回份额以产品管理人确认份额为准，赎回金额=赎回份额×赎回价格，赎回价格为赎回日的产品单位净值，赎回金额以四舍五入的方法保留到小数点后两位。产品管理人确认投资者赎回申请的，投资者自赎回确认日起不再持有本理财产品份额，赎回资金原则上将于赎回确认日当日内划转至代销机构清算账户，投资者赎回资金的具体到账时间以代销机构划付规则为准。</w:t>
      </w:r>
    </w:p>
    <w:p w14:paraId="6B897886">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★5.本理财产品存续期内，如遇有权机关冻结投资者持有的本理财产品份额的，产品管理人应按照有权机关要求进行操作。</w:t>
      </w:r>
    </w:p>
    <w:p w14:paraId="1D14AEDD">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（四）巨额赎回</w:t>
      </w:r>
    </w:p>
    <w:p w14:paraId="20B5D5A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1.巨额赎回的认定</w:t>
      </w:r>
    </w:p>
    <w:p w14:paraId="0AB6CD1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在本理财产品的单个开放日，净赎回申请（即产品赎回有效申请份额总数扣除产品申购有效申请份额总数后的差额）超过前一日终本理财产品总份额的10％时，为巨额赎回。</w:t>
      </w:r>
    </w:p>
    <w:p w14:paraId="3AF8FBF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2.巨额赎回的处理方式</w:t>
      </w:r>
    </w:p>
    <w:p w14:paraId="1BF8ADC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本理财产品在开放日发生巨额赎回时，产品管理人有权根据本理财产品当时的投资运作情况决定采取全额赎回、部分赎回等措施。</w:t>
      </w:r>
    </w:p>
    <w:p w14:paraId="3AFEF139">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w:t>
      </w:r>
      <w:r>
        <w:rPr>
          <w:rFonts w:ascii="宋体" w:hAnsi="宋体" w:eastAsia="宋体" w:cs="宋体"/>
          <w:b/>
          <w:bCs/>
          <w:color w:val="000000"/>
          <w:szCs w:val="21"/>
        </w:rPr>
        <w:t>1）全额赎回：当本理财产品可以兑付投资者（或称“份额持有人”）的全部赎回申请时，将在赎回确认日按投资者申请赎回份额执行正常赎回程序。</w:t>
      </w:r>
    </w:p>
    <w:p w14:paraId="0EB6D375">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w:t>
      </w:r>
      <w:r>
        <w:rPr>
          <w:rFonts w:ascii="宋体" w:hAnsi="宋体" w:eastAsia="宋体" w:cs="宋体"/>
          <w:b/>
          <w:bCs/>
          <w:color w:val="000000"/>
          <w:szCs w:val="21"/>
        </w:rPr>
        <w:t>2）部分赎回：产品管理人在赎回确认日当日办理的赎回份额不低于前一日终本理财产品总份额的10%的前提下，对其余赎回申请有权暂停接受或延期办理。对该理财产品单个份额持有人的赎回申请，产品管理人有权按照其申请赎回份额占赎回确认日当日申请赎回总份额的比例，确定该单个份额持有人当日办理的赎回份额。本理财产品份额持有人可以在申请赎回时选择将当日未获办理部分予以撤销（具体交易功能以</w:t>
      </w:r>
      <w:r>
        <w:rPr>
          <w:rFonts w:hint="eastAsia" w:ascii="宋体" w:hAnsi="宋体" w:eastAsia="宋体" w:cs="宋体"/>
          <w:b/>
          <w:bCs/>
          <w:color w:val="000000"/>
          <w:szCs w:val="21"/>
        </w:rPr>
        <w:t>销售机构规定为准），未选择撤销的，产品管理人有权将当日未获办理部分延迟至下一个开放日办理（赎回价格为下一个开放日当日的产品单位净值）。</w:t>
      </w:r>
      <w:r>
        <w:rPr>
          <w:rFonts w:ascii="宋体" w:hAnsi="宋体" w:eastAsia="宋体" w:cs="宋体"/>
          <w:b/>
          <w:bCs/>
          <w:color w:val="000000"/>
          <w:szCs w:val="21"/>
        </w:rPr>
        <w:t>本理财产品连续2个以上开放日发生巨额赎回的，除有权采取以上措施外，对于已经接受的赎回申请，产品管理人有权延缓支付赎回款项，但延缓期限不得超过20个工作日。</w:t>
      </w:r>
    </w:p>
    <w:p w14:paraId="29CC0D0D">
      <w:pPr>
        <w:spacing w:line="360" w:lineRule="auto"/>
        <w:ind w:firstLine="422" w:firstLineChars="200"/>
        <w:rPr>
          <w:rFonts w:hint="eastAsia" w:ascii="宋体" w:hAnsi="宋体" w:eastAsia="宋体" w:cs="宋体"/>
          <w:b/>
          <w:bCs/>
          <w:color w:val="000000"/>
          <w:szCs w:val="21"/>
        </w:rPr>
      </w:pPr>
      <w:r>
        <w:rPr>
          <w:rFonts w:hint="eastAsia" w:ascii="宋体" w:hAnsi="宋体" w:eastAsia="宋体" w:cs="宋体"/>
          <w:b/>
          <w:bCs/>
          <w:color w:val="000000"/>
          <w:szCs w:val="21"/>
        </w:rPr>
        <w:t>3.对投资者的潜在影响</w:t>
      </w:r>
    </w:p>
    <w:p w14:paraId="5DED152F">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lang w:eastAsia="zh-CN"/>
        </w:rPr>
        <w:t>发生上述情形时，投资者将面临无法全部赎回或及时获得赎回资金的风险，由此可能影响投资者的资金安排。在本理财</w:t>
      </w:r>
      <w:r>
        <w:rPr>
          <w:rFonts w:hint="eastAsia" w:ascii="宋体" w:hAnsi="宋体" w:eastAsia="宋体" w:cs="宋体"/>
          <w:b/>
          <w:bCs/>
          <w:color w:val="000000"/>
          <w:szCs w:val="21"/>
          <w:lang w:val="en-US" w:eastAsia="zh-CN"/>
        </w:rPr>
        <w:t>产品</w:t>
      </w:r>
      <w:r>
        <w:rPr>
          <w:rFonts w:hint="eastAsia" w:ascii="宋体" w:hAnsi="宋体" w:eastAsia="宋体" w:cs="宋体"/>
          <w:b/>
          <w:bCs/>
          <w:color w:val="000000"/>
          <w:szCs w:val="21"/>
          <w:lang w:eastAsia="zh-CN"/>
        </w:rPr>
        <w:t>暂停接受或延期办理投资者赎回申请的情况下，投资者未能赎回的理财</w:t>
      </w:r>
      <w:r>
        <w:rPr>
          <w:rFonts w:hint="eastAsia" w:ascii="宋体" w:hAnsi="宋体" w:eastAsia="宋体" w:cs="宋体"/>
          <w:b/>
          <w:bCs/>
          <w:color w:val="000000"/>
          <w:szCs w:val="21"/>
          <w:lang w:val="en-US" w:eastAsia="zh-CN"/>
        </w:rPr>
        <w:t>产品</w:t>
      </w:r>
      <w:r>
        <w:rPr>
          <w:rFonts w:hint="eastAsia" w:ascii="宋体" w:hAnsi="宋体" w:eastAsia="宋体" w:cs="宋体"/>
          <w:b/>
          <w:bCs/>
          <w:color w:val="000000"/>
          <w:szCs w:val="21"/>
          <w:lang w:eastAsia="zh-CN"/>
        </w:rPr>
        <w:t>份额还将面临净值波动的风险</w:t>
      </w:r>
      <w:r>
        <w:rPr>
          <w:rFonts w:hint="eastAsia" w:ascii="宋体" w:hAnsi="宋体" w:eastAsia="宋体" w:cs="宋体"/>
          <w:b/>
          <w:bCs/>
          <w:color w:val="000000"/>
          <w:szCs w:val="21"/>
        </w:rPr>
        <w:t>。</w:t>
      </w:r>
    </w:p>
    <w:p w14:paraId="14C71F9C">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★（五）拒绝或暂停申购</w:t>
      </w:r>
    </w:p>
    <w:p w14:paraId="655AB18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rPr>
        <w:t>当出现下列情形时，产品管理人有权选择拒绝接受或暂停接受投资者的申购申请：</w:t>
      </w:r>
    </w:p>
    <w:p w14:paraId="1F4844F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1</w:t>
      </w:r>
      <w:r>
        <w:rPr>
          <w:rFonts w:hint="eastAsia" w:ascii="宋体" w:hAnsi="宋体" w:eastAsia="宋体" w:cs="宋体"/>
          <w:color w:val="000000"/>
          <w:szCs w:val="21"/>
          <w:lang w:eastAsia="zh-CN"/>
        </w:rPr>
        <w:t>）</w:t>
      </w:r>
      <w:r>
        <w:rPr>
          <w:rFonts w:hint="eastAsia" w:ascii="宋体" w:hAnsi="宋体" w:eastAsia="宋体" w:cs="宋体"/>
          <w:color w:val="000000"/>
          <w:szCs w:val="21"/>
        </w:rPr>
        <w:t>不可抗力及/或意外事件等原因导致本理财产品无法正常运作；</w:t>
      </w:r>
    </w:p>
    <w:p w14:paraId="2D3D9E0F">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eastAsia="zh-CN"/>
        </w:rPr>
        <w:t>）</w:t>
      </w:r>
      <w:r>
        <w:rPr>
          <w:rFonts w:hint="eastAsia" w:ascii="宋体" w:hAnsi="宋体" w:eastAsia="宋体" w:cs="宋体"/>
          <w:color w:val="000000"/>
          <w:szCs w:val="21"/>
        </w:rPr>
        <w:t>证券交易场所依法决定临时停市，导致产品管理人无法计算当日产品资产净值；</w:t>
      </w:r>
    </w:p>
    <w:p w14:paraId="6E4F394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3</w:t>
      </w:r>
      <w:r>
        <w:rPr>
          <w:rFonts w:hint="eastAsia" w:ascii="宋体" w:hAnsi="宋体" w:eastAsia="宋体" w:cs="宋体"/>
          <w:color w:val="000000"/>
          <w:szCs w:val="21"/>
          <w:lang w:eastAsia="zh-CN"/>
        </w:rPr>
        <w:t>）</w:t>
      </w:r>
      <w:r>
        <w:rPr>
          <w:rFonts w:hint="eastAsia" w:ascii="宋体" w:hAnsi="宋体" w:eastAsia="宋体" w:cs="宋体"/>
          <w:color w:val="000000"/>
          <w:szCs w:val="21"/>
        </w:rPr>
        <w:t>超过本理财产品募集规模上限；</w:t>
      </w:r>
    </w:p>
    <w:p w14:paraId="33613D6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4</w:t>
      </w:r>
      <w:r>
        <w:rPr>
          <w:rFonts w:hint="eastAsia" w:ascii="宋体" w:hAnsi="宋体" w:eastAsia="宋体" w:cs="宋体"/>
          <w:color w:val="000000"/>
          <w:szCs w:val="21"/>
          <w:lang w:eastAsia="zh-CN"/>
        </w:rPr>
        <w:t>）</w:t>
      </w:r>
      <w:r>
        <w:rPr>
          <w:rFonts w:hint="eastAsia" w:ascii="宋体" w:hAnsi="宋体" w:eastAsia="宋体" w:cs="宋体"/>
          <w:color w:val="000000"/>
          <w:szCs w:val="21"/>
        </w:rPr>
        <w:t>投资者申购超过个人/机构投资者持有上限；</w:t>
      </w:r>
    </w:p>
    <w:p w14:paraId="75263618">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5</w:t>
      </w:r>
      <w:r>
        <w:rPr>
          <w:rFonts w:hint="eastAsia" w:ascii="宋体" w:hAnsi="宋体" w:eastAsia="宋体" w:cs="宋体"/>
          <w:color w:val="000000"/>
          <w:szCs w:val="21"/>
          <w:lang w:eastAsia="zh-CN"/>
        </w:rPr>
        <w:t>）</w:t>
      </w:r>
      <w:r>
        <w:rPr>
          <w:rFonts w:hint="eastAsia" w:ascii="宋体" w:hAnsi="宋体" w:eastAsia="宋体" w:cs="宋体"/>
          <w:color w:val="000000"/>
          <w:szCs w:val="21"/>
        </w:rPr>
        <w:t>本理财产品资产规模过大，产品管理人无法找到合适的投资品种，或继续接受申购可能对本理财产品的业绩产生负面影响，从而损害现有产品份额持有人利益；</w:t>
      </w:r>
    </w:p>
    <w:p w14:paraId="3064695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6</w:t>
      </w:r>
      <w:r>
        <w:rPr>
          <w:rFonts w:hint="eastAsia" w:ascii="宋体" w:hAnsi="宋体" w:eastAsia="宋体" w:cs="宋体"/>
          <w:color w:val="000000"/>
          <w:szCs w:val="21"/>
          <w:lang w:eastAsia="zh-CN"/>
        </w:rPr>
        <w:t>）</w:t>
      </w:r>
      <w:r>
        <w:rPr>
          <w:rFonts w:hint="eastAsia" w:ascii="宋体" w:hAnsi="宋体" w:eastAsia="宋体" w:cs="宋体"/>
          <w:color w:val="000000"/>
          <w:szCs w:val="21"/>
        </w:rPr>
        <w:t>当产品管理人认为接受申购申请可能对本理财产品存量投资者利益构成重大不利影响时，或者基于投资运作与风险控制需要；</w:t>
      </w:r>
    </w:p>
    <w:p w14:paraId="708D9210">
      <w:pPr>
        <w:spacing w:line="360" w:lineRule="auto"/>
        <w:ind w:firstLine="420" w:firstLineChars="200"/>
        <w:rPr>
          <w:rFonts w:ascii="宋体" w:hAnsi="宋体" w:eastAsia="宋体" w:cs="宋体"/>
          <w:color w:val="000000"/>
          <w:szCs w:val="21"/>
        </w:rPr>
      </w:pPr>
      <w:bookmarkStart w:id="0" w:name="_Hlk146069622"/>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7</w:t>
      </w:r>
      <w:r>
        <w:rPr>
          <w:rFonts w:hint="eastAsia" w:ascii="宋体" w:hAnsi="宋体" w:eastAsia="宋体" w:cs="宋体"/>
          <w:color w:val="000000"/>
          <w:szCs w:val="21"/>
          <w:lang w:eastAsia="zh-CN"/>
        </w:rPr>
        <w:t>）</w:t>
      </w:r>
      <w:r>
        <w:rPr>
          <w:rFonts w:hint="eastAsia" w:ascii="宋体" w:hAnsi="宋体" w:eastAsia="宋体" w:cs="宋体"/>
          <w:color w:val="000000"/>
          <w:szCs w:val="21"/>
        </w:rPr>
        <w:t>本理财产品不允许单一投资者持有份额超过本理财产品总份额的50%，非因产品管理人主观因素导致突破前款规定比例限制的，在单一投资者持有比例降至50%以下之前，产品管理人不得再接受该投资者对本理财产品的申购申请；</w:t>
      </w:r>
    </w:p>
    <w:p w14:paraId="5B5891B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8</w:t>
      </w:r>
      <w:r>
        <w:rPr>
          <w:rFonts w:hint="eastAsia" w:ascii="宋体" w:hAnsi="宋体" w:eastAsia="宋体" w:cs="宋体"/>
          <w:color w:val="000000"/>
          <w:szCs w:val="21"/>
          <w:lang w:eastAsia="zh-CN"/>
        </w:rPr>
        <w:t>）</w:t>
      </w:r>
      <w:r>
        <w:rPr>
          <w:rFonts w:hint="eastAsia" w:ascii="宋体" w:hAnsi="宋体" w:eastAsia="宋体" w:cs="宋体"/>
          <w:color w:val="000000"/>
          <w:szCs w:val="21"/>
        </w:rPr>
        <w:t>本理财产品在前一估值日内，产品资产净值50%以上的资产不具备活跃交易市场或者在活跃市场中无报价，且不能采用估值技术可靠计量公允价值时；</w:t>
      </w:r>
    </w:p>
    <w:bookmarkEnd w:id="0"/>
    <w:p w14:paraId="240C5B5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9</w:t>
      </w:r>
      <w:r>
        <w:rPr>
          <w:rFonts w:hint="eastAsia" w:ascii="宋体" w:hAnsi="宋体" w:eastAsia="宋体" w:cs="宋体"/>
          <w:color w:val="000000"/>
          <w:szCs w:val="21"/>
          <w:lang w:eastAsia="zh-CN"/>
        </w:rPr>
        <w:t>）</w:t>
      </w:r>
      <w:r>
        <w:rPr>
          <w:rFonts w:hint="eastAsia" w:ascii="宋体" w:hAnsi="宋体" w:eastAsia="宋体" w:cs="宋体"/>
          <w:color w:val="000000"/>
          <w:szCs w:val="21"/>
        </w:rPr>
        <w:t>当影子定价确定的本理财产品资产净值与摊余成本法计算的本理财产品资产净值正偏离度绝对值达到0.5%时，产品管理人应当暂停接受投资者的申购申请；</w:t>
      </w:r>
    </w:p>
    <w:p w14:paraId="63A39ED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10</w:t>
      </w:r>
      <w:r>
        <w:rPr>
          <w:rFonts w:hint="eastAsia" w:ascii="宋体" w:hAnsi="宋体" w:eastAsia="宋体" w:cs="宋体"/>
          <w:color w:val="000000"/>
          <w:szCs w:val="21"/>
          <w:lang w:eastAsia="zh-CN"/>
        </w:rPr>
        <w:t>）</w:t>
      </w:r>
      <w:r>
        <w:rPr>
          <w:rFonts w:hint="eastAsia" w:ascii="宋体" w:hAnsi="宋体" w:eastAsia="宋体" w:cs="宋体"/>
          <w:color w:val="000000"/>
          <w:szCs w:val="21"/>
        </w:rPr>
        <w:t>法律法规规定或本理财产品销售文件约定的其他情形。</w:t>
      </w:r>
    </w:p>
    <w:p w14:paraId="2D573D69">
      <w:pPr>
        <w:spacing w:line="360" w:lineRule="auto"/>
        <w:ind w:firstLine="422" w:firstLineChars="200"/>
        <w:rPr>
          <w:rFonts w:hint="eastAsia" w:ascii="宋体" w:hAnsi="宋体" w:eastAsia="宋体" w:cs="宋体"/>
          <w:b/>
          <w:bCs/>
          <w:color w:val="000000"/>
          <w:szCs w:val="21"/>
        </w:rPr>
      </w:pPr>
      <w:r>
        <w:rPr>
          <w:rFonts w:hint="eastAsia" w:ascii="宋体" w:hAnsi="宋体" w:eastAsia="宋体" w:cs="宋体"/>
          <w:b/>
          <w:bCs/>
          <w:color w:val="000000"/>
          <w:szCs w:val="21"/>
        </w:rPr>
        <w:t>2.对投资者的潜在影响</w:t>
      </w:r>
    </w:p>
    <w:p w14:paraId="3A65143F">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管理人拒绝接受或暂停接受申购申请，投资者</w:t>
      </w:r>
      <w:r>
        <w:rPr>
          <w:rFonts w:hint="eastAsia" w:ascii="宋体" w:hAnsi="宋体" w:eastAsia="宋体" w:cs="宋体"/>
          <w:b/>
          <w:bCs/>
          <w:color w:val="000000"/>
          <w:szCs w:val="21"/>
          <w:lang w:val="en-US" w:eastAsia="zh-CN"/>
        </w:rPr>
        <w:t>可能</w:t>
      </w:r>
      <w:r>
        <w:rPr>
          <w:rFonts w:hint="eastAsia" w:ascii="宋体" w:hAnsi="宋体" w:eastAsia="宋体" w:cs="宋体"/>
          <w:b/>
          <w:bCs/>
          <w:color w:val="000000"/>
          <w:szCs w:val="21"/>
        </w:rPr>
        <w:t>因资金被占用而</w:t>
      </w:r>
      <w:r>
        <w:rPr>
          <w:rFonts w:hint="eastAsia" w:ascii="宋体" w:hAnsi="宋体" w:eastAsia="宋体" w:cs="宋体"/>
          <w:b/>
          <w:bCs/>
          <w:color w:val="000000"/>
          <w:szCs w:val="21"/>
          <w:lang w:val="en-US" w:eastAsia="zh-CN"/>
        </w:rPr>
        <w:t>产生机会成本</w:t>
      </w:r>
      <w:r>
        <w:rPr>
          <w:rFonts w:hint="eastAsia" w:ascii="宋体" w:hAnsi="宋体" w:eastAsia="宋体" w:cs="宋体"/>
          <w:b/>
          <w:bCs/>
          <w:color w:val="000000"/>
          <w:szCs w:val="21"/>
        </w:rPr>
        <w:t>。</w:t>
      </w:r>
    </w:p>
    <w:p w14:paraId="321751A3">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★（六）拒绝或暂停赎回</w:t>
      </w:r>
    </w:p>
    <w:p w14:paraId="64903B4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当出现下列情形时，产品管理人有权选择拒绝接受或暂停接受投资者的赎回申请：</w:t>
      </w:r>
    </w:p>
    <w:p w14:paraId="0A30C21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rPr>
        <w:t>因不可抗力及/或意外事件等原因导致产品管理人无法正常运作或不能按时支付赎回款项；</w:t>
      </w:r>
    </w:p>
    <w:p w14:paraId="1A7BAA3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2.</w:t>
      </w:r>
      <w:r>
        <w:rPr>
          <w:rFonts w:hint="eastAsia" w:ascii="宋体" w:hAnsi="宋体" w:eastAsia="宋体" w:cs="宋体"/>
          <w:color w:val="000000"/>
          <w:szCs w:val="21"/>
        </w:rPr>
        <w:t>证券交易场所依法决定临时停市，导致产品管理人无法计算当日产品资产净值；</w:t>
      </w:r>
    </w:p>
    <w:p w14:paraId="61DC217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3.</w:t>
      </w:r>
      <w:r>
        <w:rPr>
          <w:rFonts w:hint="eastAsia" w:ascii="宋体" w:hAnsi="宋体" w:eastAsia="宋体" w:cs="宋体"/>
          <w:color w:val="000000"/>
          <w:szCs w:val="21"/>
        </w:rPr>
        <w:t>发生巨额赎回时，产品管理人在赎回确认日当日办理的赎回份额不低于前一日终本理财产品总份额的10%的前提下，有权暂停接受其余赎回申请；</w:t>
      </w:r>
    </w:p>
    <w:p w14:paraId="066E7BE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4.</w:t>
      </w:r>
      <w:r>
        <w:rPr>
          <w:rFonts w:hint="eastAsia" w:ascii="宋体" w:hAnsi="宋体" w:eastAsia="宋体" w:cs="宋体"/>
          <w:color w:val="000000"/>
          <w:szCs w:val="21"/>
        </w:rPr>
        <w:t>本理财产品连续2个及以上开放日发生巨额赎回；</w:t>
      </w:r>
    </w:p>
    <w:p w14:paraId="1581F9E0">
      <w:pPr>
        <w:widowControl w:val="0"/>
        <w:spacing w:after="0" w:line="360" w:lineRule="auto"/>
        <w:ind w:left="0" w:leftChars="0" w:firstLine="420" w:firstLineChars="200"/>
        <w:jc w:val="both"/>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5.本理财产品在前一估值日内，产品资产净值50%以上的资产不具备活跃交易市场或者在活跃市场中无报价，且不能采用估值技术可靠计量公允价值时；</w:t>
      </w:r>
    </w:p>
    <w:p w14:paraId="3F5B770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6.</w:t>
      </w:r>
      <w:r>
        <w:rPr>
          <w:rFonts w:hint="eastAsia" w:ascii="宋体" w:hAnsi="宋体" w:eastAsia="宋体" w:cs="宋体"/>
          <w:color w:val="000000"/>
          <w:szCs w:val="21"/>
        </w:rPr>
        <w:t>当影子定价确定的本理财产品资产净值与摊余成本法计算的本理财产品资产净值负偏离度绝对值连续两个交易日超过0.5%时，产品管理人有权选择暂停接受所有赎回申请并终止本理财产品销售文件进行财产清算；</w:t>
      </w:r>
    </w:p>
    <w:p w14:paraId="3CEB767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7.</w:t>
      </w:r>
      <w:r>
        <w:rPr>
          <w:rFonts w:hint="eastAsia" w:ascii="宋体" w:hAnsi="宋体" w:eastAsia="宋体" w:cs="宋体"/>
          <w:color w:val="000000"/>
          <w:szCs w:val="21"/>
        </w:rPr>
        <w:t>产品管理人认为继续接受赎回可能对本理财产品的业绩产生较大负面影响的情形；</w:t>
      </w:r>
    </w:p>
    <w:p w14:paraId="3BA2F542">
      <w:pPr>
        <w:spacing w:line="360" w:lineRule="auto"/>
        <w:ind w:firstLine="420" w:firstLineChars="200"/>
        <w:rPr>
          <w:rFonts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8.</w:t>
      </w:r>
      <w:r>
        <w:rPr>
          <w:rFonts w:ascii="宋体" w:hAnsi="宋体" w:eastAsia="宋体" w:cs="宋体"/>
          <w:b w:val="0"/>
          <w:bCs w:val="0"/>
          <w:color w:val="000000"/>
          <w:szCs w:val="21"/>
        </w:rPr>
        <w:t>法律法规规定或本理财产品销售文件约定的其他情形。</w:t>
      </w:r>
    </w:p>
    <w:p w14:paraId="7BD8659B">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★（七）延期办理赎回申请</w:t>
      </w:r>
    </w:p>
    <w:p w14:paraId="6DC9134B">
      <w:pPr>
        <w:widowControl w:val="0"/>
        <w:spacing w:after="0" w:line="360" w:lineRule="auto"/>
        <w:ind w:left="0" w:leftChars="0" w:firstLine="420" w:firstLineChars="200"/>
        <w:jc w:val="both"/>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当出现下列情形时，产品管理人有权选择延期办理赎回申请：</w:t>
      </w:r>
    </w:p>
    <w:p w14:paraId="6D61642B">
      <w:pPr>
        <w:widowControl w:val="0"/>
        <w:numPr>
          <w:ilvl w:val="255"/>
          <w:numId w:val="0"/>
        </w:numPr>
        <w:spacing w:after="0" w:line="360" w:lineRule="auto"/>
        <w:ind w:left="420" w:leftChars="200" w:firstLine="420" w:firstLineChars="200"/>
        <w:jc w:val="both"/>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1.单个投资者在单个开放日申请赎回份额超过本理财产品总份额10%的；</w:t>
      </w:r>
    </w:p>
    <w:p w14:paraId="4853F09E">
      <w:pPr>
        <w:widowControl w:val="0"/>
        <w:numPr>
          <w:ilvl w:val="255"/>
          <w:numId w:val="0"/>
        </w:numPr>
        <w:spacing w:after="0" w:line="360" w:lineRule="auto"/>
        <w:ind w:left="420" w:leftChars="200" w:firstLine="420" w:firstLineChars="200"/>
        <w:jc w:val="both"/>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2.发生巨额赎回时，产品管理人在赎回确认日当日办理的赎回份额不低于前一日终本理财产品总份额的10%的前提下，有权延期办理其余赎回申请；</w:t>
      </w:r>
    </w:p>
    <w:p w14:paraId="54B3363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3.</w:t>
      </w:r>
      <w:r>
        <w:rPr>
          <w:rFonts w:hint="eastAsia" w:ascii="宋体" w:hAnsi="宋体" w:eastAsia="宋体" w:cs="宋体"/>
          <w:color w:val="000000"/>
          <w:szCs w:val="21"/>
        </w:rPr>
        <w:t>为保护投资者利益，产品管理人认为需要延期办理赎回申请的情形；</w:t>
      </w:r>
    </w:p>
    <w:p w14:paraId="5DFB5BA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4.</w:t>
      </w:r>
      <w:r>
        <w:rPr>
          <w:rFonts w:hint="eastAsia" w:ascii="宋体" w:hAnsi="宋体" w:eastAsia="宋体" w:cs="宋体"/>
          <w:color w:val="000000"/>
          <w:szCs w:val="21"/>
        </w:rPr>
        <w:t>法律法规规定或本理财产品销售文件约定的其他情形。</w:t>
      </w:r>
    </w:p>
    <w:p w14:paraId="38AD8706">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★（八）延缓支付赎回款项</w:t>
      </w:r>
    </w:p>
    <w:p w14:paraId="6FAF05B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当出现下列情形时，产品管理人有权选择延缓支付赎回款项：</w:t>
      </w:r>
    </w:p>
    <w:p w14:paraId="47E08E8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1.</w:t>
      </w:r>
      <w:r>
        <w:rPr>
          <w:rFonts w:hint="eastAsia" w:ascii="宋体" w:hAnsi="宋体" w:eastAsia="宋体" w:cs="宋体"/>
          <w:color w:val="000000"/>
          <w:szCs w:val="21"/>
        </w:rPr>
        <w:t>因市场成交量不足、资产限制赎回、暂停交易、交易对手缺乏意愿等原因，导致本理财产品项下对应的投资标的无法及时变现；</w:t>
      </w:r>
    </w:p>
    <w:p w14:paraId="76CD98E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2.</w:t>
      </w:r>
      <w:r>
        <w:rPr>
          <w:rFonts w:hint="eastAsia" w:ascii="宋体" w:hAnsi="宋体" w:eastAsia="宋体" w:cs="宋体"/>
          <w:color w:val="000000"/>
          <w:szCs w:val="21"/>
        </w:rPr>
        <w:t>因资金在途等原因，导致未能及时收回资金；</w:t>
      </w:r>
    </w:p>
    <w:p w14:paraId="17410F4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3.</w:t>
      </w:r>
      <w:r>
        <w:rPr>
          <w:rFonts w:hint="eastAsia" w:ascii="宋体" w:hAnsi="宋体" w:eastAsia="宋体" w:cs="宋体"/>
          <w:color w:val="000000"/>
          <w:szCs w:val="21"/>
        </w:rPr>
        <w:t>因不可抗力及/或意外事件等原因，导致产品管理人接受赎回申请后无法兑付；</w:t>
      </w:r>
    </w:p>
    <w:p w14:paraId="2A8F1A0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4.</w:t>
      </w:r>
      <w:r>
        <w:rPr>
          <w:rFonts w:hint="eastAsia" w:ascii="宋体" w:hAnsi="宋体" w:eastAsia="宋体" w:cs="宋体"/>
          <w:color w:val="000000"/>
          <w:szCs w:val="21"/>
        </w:rPr>
        <w:t>发生暂停理财产品估值的情形；</w:t>
      </w:r>
    </w:p>
    <w:p w14:paraId="2A98E43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5.</w:t>
      </w:r>
      <w:r>
        <w:rPr>
          <w:rFonts w:hint="eastAsia" w:ascii="宋体" w:hAnsi="宋体" w:eastAsia="宋体" w:cs="宋体"/>
          <w:color w:val="000000"/>
          <w:szCs w:val="21"/>
        </w:rPr>
        <w:t>本理财产品连续2个及以上开放日发生巨额赎回的，对于已经接受的投资者赎回申请，产品管理人可以延缓支付赎回款项，延缓期限不超过20个工作日；</w:t>
      </w:r>
    </w:p>
    <w:p w14:paraId="42DAAFAE">
      <w:pPr>
        <w:spacing w:line="360" w:lineRule="auto"/>
        <w:ind w:firstLine="420" w:firstLineChars="200"/>
        <w:rPr>
          <w:rFonts w:ascii="宋体" w:hAnsi="宋体" w:eastAsia="宋体" w:cs="宋体"/>
          <w:color w:val="000000"/>
          <w:szCs w:val="21"/>
        </w:rPr>
      </w:pPr>
      <w:bookmarkStart w:id="1" w:name="_Hlk146059245"/>
      <w:r>
        <w:rPr>
          <w:rFonts w:hint="eastAsia" w:ascii="宋体" w:hAnsi="宋体" w:eastAsia="宋体" w:cs="宋体"/>
          <w:color w:val="000000"/>
          <w:szCs w:val="21"/>
          <w:lang w:val="en-US" w:eastAsia="zh-CN"/>
        </w:rPr>
        <w:t>6.</w:t>
      </w:r>
      <w:r>
        <w:rPr>
          <w:rFonts w:hint="eastAsia" w:ascii="宋体" w:hAnsi="宋体" w:eastAsia="宋体" w:cs="宋体"/>
          <w:color w:val="000000"/>
          <w:szCs w:val="21"/>
        </w:rPr>
        <w:t>本理财产品在前一估值日内，产品资产净值50%以上的资产不具备活跃交易市场或者在活跃市场中无报价，且不能采用估值技术可靠计量公允价值；</w:t>
      </w:r>
      <w:bookmarkEnd w:id="1"/>
    </w:p>
    <w:p w14:paraId="1889016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7.</w:t>
      </w:r>
      <w:r>
        <w:rPr>
          <w:rFonts w:hint="eastAsia" w:ascii="宋体" w:hAnsi="宋体" w:eastAsia="宋体" w:cs="宋体"/>
          <w:color w:val="000000"/>
          <w:szCs w:val="21"/>
        </w:rPr>
        <w:t>单个投资者在单个开放日申请赎回份额超过本理财产品总份额10%的；</w:t>
      </w:r>
    </w:p>
    <w:p w14:paraId="6E690F0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8.</w:t>
      </w:r>
      <w:r>
        <w:rPr>
          <w:rFonts w:hint="eastAsia" w:ascii="宋体" w:hAnsi="宋体" w:eastAsia="宋体" w:cs="宋体"/>
          <w:color w:val="000000"/>
          <w:szCs w:val="21"/>
        </w:rPr>
        <w:t>为保护投资者利益，产品管理人认为需要延续支付赎回款项的情形；</w:t>
      </w:r>
    </w:p>
    <w:p w14:paraId="63DF2608">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9.</w:t>
      </w:r>
      <w:r>
        <w:rPr>
          <w:rFonts w:hint="eastAsia" w:ascii="宋体" w:hAnsi="宋体" w:eastAsia="宋体" w:cs="宋体"/>
          <w:color w:val="000000"/>
          <w:szCs w:val="21"/>
        </w:rPr>
        <w:t>法律法规规定或本理财产品销售文件约定的其他情形。</w:t>
      </w:r>
    </w:p>
    <w:p w14:paraId="19799EE4">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w:t>
      </w:r>
      <w:r>
        <w:rPr>
          <w:rFonts w:hint="eastAsia" w:ascii="宋体" w:hAnsi="宋体" w:eastAsia="宋体" w:cs="宋体"/>
          <w:b/>
          <w:bCs/>
          <w:color w:val="000000"/>
          <w:szCs w:val="21"/>
        </w:rPr>
        <w:t>对投资者的潜在影响</w:t>
      </w:r>
      <w:r>
        <w:rPr>
          <w:rFonts w:hint="eastAsia" w:ascii="宋体" w:hAnsi="宋体" w:eastAsia="宋体" w:cs="宋体"/>
          <w:b/>
          <w:bCs/>
          <w:color w:val="000000"/>
          <w:szCs w:val="21"/>
          <w:lang w:eastAsia="zh-CN"/>
        </w:rPr>
        <w:t>：</w:t>
      </w:r>
      <w:r>
        <w:rPr>
          <w:rFonts w:hint="eastAsia" w:ascii="宋体" w:hAnsi="宋体" w:eastAsia="宋体" w:cs="宋体"/>
          <w:b/>
          <w:bCs/>
          <w:szCs w:val="21"/>
          <w:lang w:val="en-US" w:eastAsia="zh-CN"/>
        </w:rPr>
        <w:t>发生上述（六）（七）（八）情形时，若产品管理人采用暂停赎回、延期办理赎回申请的流动性风险应对措施，投资者在暂停赎回、延期办理赎回申请期间将无法赎回其持有的产品份额；若产品管理人采用拒绝赎回的流动性风险应对措施，投资者的部分或全部赎回申请可能被拒绝；若管理人</w:t>
      </w:r>
      <w:r>
        <w:rPr>
          <w:rFonts w:hint="eastAsia" w:ascii="宋体" w:hAnsi="宋体" w:eastAsia="宋体" w:cs="宋体"/>
          <w:b/>
          <w:bCs/>
          <w:color w:val="000000"/>
          <w:szCs w:val="21"/>
        </w:rPr>
        <w:t>延缓支付赎回款项</w:t>
      </w:r>
      <w:r>
        <w:rPr>
          <w:rFonts w:hint="eastAsia" w:ascii="宋体" w:hAnsi="宋体" w:eastAsia="宋体" w:cs="宋体"/>
          <w:b/>
          <w:bCs/>
          <w:color w:val="000000"/>
          <w:szCs w:val="21"/>
          <w:lang w:eastAsia="zh-CN"/>
        </w:rPr>
        <w:t>，</w:t>
      </w:r>
      <w:r>
        <w:rPr>
          <w:rFonts w:hint="eastAsia" w:ascii="宋体" w:hAnsi="宋体" w:eastAsia="宋体" w:cs="宋体"/>
          <w:b/>
          <w:bCs/>
          <w:color w:val="000000"/>
          <w:szCs w:val="21"/>
        </w:rPr>
        <w:t>投资者</w:t>
      </w:r>
      <w:r>
        <w:rPr>
          <w:rFonts w:hint="eastAsia" w:ascii="宋体" w:hAnsi="宋体" w:eastAsia="宋体" w:cs="宋体"/>
          <w:b/>
          <w:bCs/>
          <w:color w:val="000000"/>
          <w:szCs w:val="21"/>
          <w:lang w:val="en-US" w:eastAsia="zh-CN"/>
        </w:rPr>
        <w:t>的</w:t>
      </w:r>
      <w:r>
        <w:rPr>
          <w:rFonts w:hint="eastAsia" w:ascii="宋体" w:hAnsi="宋体" w:eastAsia="宋体" w:cs="宋体"/>
          <w:b/>
          <w:bCs/>
          <w:color w:val="000000"/>
          <w:szCs w:val="21"/>
        </w:rPr>
        <w:t>赎回款项</w:t>
      </w:r>
      <w:r>
        <w:rPr>
          <w:rFonts w:hint="eastAsia" w:ascii="宋体" w:hAnsi="宋体" w:eastAsia="宋体" w:cs="宋体"/>
          <w:b/>
          <w:bCs/>
          <w:color w:val="000000"/>
          <w:szCs w:val="21"/>
          <w:lang w:val="en-US" w:eastAsia="zh-CN"/>
        </w:rPr>
        <w:t>将延迟到账</w:t>
      </w:r>
      <w:r>
        <w:rPr>
          <w:rFonts w:hint="eastAsia" w:ascii="宋体" w:hAnsi="宋体" w:eastAsia="宋体" w:cs="宋体"/>
          <w:b/>
          <w:bCs/>
          <w:color w:val="000000"/>
          <w:szCs w:val="21"/>
        </w:rPr>
        <w:t>。</w:t>
      </w:r>
    </w:p>
    <w:p w14:paraId="0A33F1B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w:t>
      </w:r>
      <w:r>
        <w:rPr>
          <w:rFonts w:hint="eastAsia" w:ascii="宋体" w:hAnsi="宋体" w:eastAsia="宋体" w:cs="宋体"/>
          <w:b/>
          <w:color w:val="000000"/>
          <w:szCs w:val="21"/>
        </w:rPr>
        <w:t>特别提示：</w:t>
      </w:r>
      <w:r>
        <w:rPr>
          <w:rFonts w:hint="eastAsia" w:ascii="宋体" w:hAnsi="宋体" w:eastAsia="宋体" w:cs="宋体"/>
          <w:color w:val="000000"/>
          <w:szCs w:val="21"/>
        </w:rPr>
        <w:t>除上述流动性风险应对措施外，本理财产品的管理人还可根据实际业务情况，采取收取短期赎回费、暂停理财产品估值、设定单一投资者持有金额上限等国家金融监督管理总局规定的其他流动性风险应对措施。在运用流动性风险应对措施后，产品管理人将按照监管规定及本理财产品销售文件约定的信息披露方式在3个交易日内发布临时公告，告知本理财产品的投资者，并说明运用相关措施的原因及拟采取的应对安排等。</w:t>
      </w:r>
    </w:p>
    <w:p w14:paraId="66D6FD0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（九）申购费用</w:t>
      </w:r>
    </w:p>
    <w:p w14:paraId="5ADC37A1">
      <w:pPr>
        <w:spacing w:line="360" w:lineRule="auto"/>
        <w:ind w:firstLine="420" w:firstLineChars="200"/>
        <w:rPr>
          <w:rFonts w:ascii="宋体" w:hAnsi="宋体" w:eastAsia="宋体" w:cs="宋体"/>
          <w:bCs/>
          <w:color w:val="000000"/>
          <w:szCs w:val="21"/>
        </w:rPr>
      </w:pPr>
      <w:r>
        <w:rPr>
          <w:rFonts w:hint="eastAsia" w:ascii="宋体" w:hAnsi="宋体" w:eastAsia="宋体" w:cs="宋体"/>
          <w:color w:val="000000"/>
          <w:szCs w:val="21"/>
        </w:rPr>
        <w:t>本理财产品暂不收取申购费用。</w:t>
      </w:r>
    </w:p>
    <w:p w14:paraId="648393FC">
      <w:pPr>
        <w:spacing w:line="360" w:lineRule="auto"/>
        <w:ind w:firstLine="420" w:firstLineChars="200"/>
        <w:rPr>
          <w:rFonts w:ascii="宋体" w:hAnsi="宋体" w:eastAsia="宋体" w:cs="宋体"/>
          <w:bCs/>
          <w:color w:val="000000"/>
          <w:szCs w:val="21"/>
        </w:rPr>
      </w:pPr>
      <w:r>
        <w:rPr>
          <w:rFonts w:hint="eastAsia" w:ascii="宋体" w:hAnsi="宋体" w:eastAsia="宋体" w:cs="宋体"/>
          <w:bCs/>
          <w:color w:val="000000"/>
          <w:szCs w:val="21"/>
        </w:rPr>
        <w:t>（十）赎回费用</w:t>
      </w:r>
    </w:p>
    <w:p w14:paraId="1306CC6E">
      <w:pPr>
        <w:spacing w:line="360" w:lineRule="auto"/>
        <w:ind w:firstLine="480"/>
        <w:rPr>
          <w:rFonts w:ascii="宋体" w:hAnsi="宋体" w:eastAsia="宋体" w:cs="宋体"/>
          <w:color w:val="000000"/>
          <w:szCs w:val="21"/>
        </w:rPr>
      </w:pPr>
      <w:r>
        <w:rPr>
          <w:rFonts w:hint="eastAsia" w:ascii="宋体" w:hAnsi="宋体" w:eastAsia="宋体" w:cs="宋体"/>
          <w:color w:val="000000"/>
          <w:szCs w:val="21"/>
        </w:rPr>
        <w:t>1.原则上，本理财产品暂不收取赎回费用。</w:t>
      </w:r>
    </w:p>
    <w:p w14:paraId="5BD33458">
      <w:pPr>
        <w:spacing w:line="360" w:lineRule="auto"/>
        <w:ind w:firstLine="480"/>
        <w:rPr>
          <w:rFonts w:ascii="宋体" w:hAnsi="宋体" w:eastAsia="宋体" w:cs="宋体"/>
          <w:color w:val="000000"/>
          <w:szCs w:val="21"/>
        </w:rPr>
      </w:pPr>
      <w:r>
        <w:rPr>
          <w:rFonts w:hint="eastAsia" w:ascii="宋体" w:hAnsi="宋体" w:eastAsia="宋体" w:cs="宋体"/>
          <w:color w:val="000000"/>
          <w:szCs w:val="21"/>
        </w:rPr>
        <w:t>2.特殊情况下，发生本《理财产品说明书》“九、产品的费用”中“（二）费用计提方法、计提标准和支付方式”条款约定的触发强制赎回费的情形时，产品管理人将收取强制赎回费用，具体请见本《理财产品说明书》“九、产品的费用”部分。</w:t>
      </w:r>
    </w:p>
    <w:p w14:paraId="7EB50CB8">
      <w:pPr>
        <w:spacing w:line="360" w:lineRule="auto"/>
        <w:ind w:firstLine="480"/>
        <w:rPr>
          <w:rFonts w:ascii="宋体" w:hAnsi="宋体" w:eastAsia="宋体" w:cs="宋体"/>
          <w:color w:val="000000"/>
          <w:szCs w:val="21"/>
        </w:rPr>
      </w:pPr>
      <w:r>
        <w:rPr>
          <w:rFonts w:hint="eastAsia" w:ascii="宋体" w:hAnsi="宋体" w:eastAsia="宋体" w:cs="宋体"/>
          <w:color w:val="000000"/>
          <w:szCs w:val="21"/>
        </w:rPr>
        <w:t>（十一）快速赎回（如有）</w:t>
      </w:r>
    </w:p>
    <w:p w14:paraId="737B07FE">
      <w:pPr>
        <w:numPr>
          <w:ilvl w:val="255"/>
          <w:numId w:val="0"/>
        </w:numPr>
        <w:spacing w:line="360" w:lineRule="auto"/>
        <w:ind w:firstLine="480"/>
        <w:rPr>
          <w:rFonts w:ascii="宋体" w:hAnsi="宋体" w:eastAsia="宋体" w:cs="宋体"/>
          <w:color w:val="000000"/>
          <w:szCs w:val="21"/>
        </w:rPr>
      </w:pPr>
      <w:r>
        <w:rPr>
          <w:rFonts w:hint="eastAsia" w:ascii="宋体" w:hAnsi="宋体" w:eastAsia="宋体" w:cs="宋体"/>
          <w:color w:val="000000"/>
          <w:szCs w:val="21"/>
        </w:rPr>
        <w:t>1.本理财产品存续期内，代销机构或其他垫支机构可能会提供理财产品快速赎回服务（以下简称“快速赎回服务”，具体服务名称和服务内容由投资者与代销机构或其他垫支机构另行约定）。代销机构或其他垫支机构成功为本理财产品投资者提供快速赎回服务后，投资者快速赎回申请对应的理财产品份额将过户至快速赎回业务资金提供方。</w:t>
      </w:r>
    </w:p>
    <w:p w14:paraId="4E8B36F2">
      <w:pPr>
        <w:spacing w:line="360" w:lineRule="auto"/>
        <w:ind w:firstLine="480"/>
        <w:rPr>
          <w:rFonts w:ascii="宋体" w:hAnsi="宋体" w:eastAsia="宋体" w:cs="宋体"/>
          <w:b/>
          <w:bCs/>
          <w:color w:val="000000"/>
          <w:szCs w:val="21"/>
        </w:rPr>
      </w:pPr>
      <w:r>
        <w:rPr>
          <w:rFonts w:hint="eastAsia" w:ascii="宋体" w:hAnsi="宋体" w:eastAsia="宋体" w:cs="宋体"/>
          <w:b/>
          <w:bCs/>
          <w:color w:val="000000"/>
          <w:szCs w:val="21"/>
        </w:rPr>
        <w:t>★2.快速赎回服务由代销机构或其他垫支机构提供，产品管理人不承担提供快速赎回服务义务或责任。</w:t>
      </w:r>
    </w:p>
    <w:p w14:paraId="5584D906">
      <w:pPr>
        <w:spacing w:line="360" w:lineRule="auto"/>
        <w:ind w:firstLine="480"/>
        <w:rPr>
          <w:rFonts w:ascii="宋体" w:hAnsi="宋体" w:eastAsia="宋体" w:cs="宋体"/>
          <w:b/>
          <w:bCs/>
          <w:color w:val="000000"/>
          <w:szCs w:val="21"/>
        </w:rPr>
      </w:pPr>
      <w:r>
        <w:rPr>
          <w:rFonts w:hint="eastAsia" w:ascii="宋体" w:hAnsi="宋体" w:eastAsia="宋体" w:cs="宋体"/>
          <w:b/>
          <w:bCs/>
          <w:color w:val="000000"/>
          <w:szCs w:val="21"/>
        </w:rPr>
        <w:t>★3.快速赎回服务非法定义务，快速赎回服务基本规则由投资者与代销机构或其他垫支机构另行约定，产品管理人不承担任何责任。</w:t>
      </w:r>
    </w:p>
    <w:p w14:paraId="435D38F9">
      <w:pPr>
        <w:spacing w:line="360" w:lineRule="auto"/>
        <w:ind w:firstLine="480"/>
        <w:rPr>
          <w:rFonts w:ascii="宋体" w:hAnsi="宋体" w:eastAsia="宋体" w:cs="宋体"/>
          <w:b/>
          <w:bCs/>
          <w:color w:val="000000"/>
          <w:szCs w:val="21"/>
        </w:rPr>
      </w:pPr>
      <w:r>
        <w:rPr>
          <w:rFonts w:hint="eastAsia" w:ascii="宋体" w:hAnsi="宋体" w:eastAsia="宋体" w:cs="宋体"/>
          <w:b/>
          <w:bCs/>
          <w:color w:val="000000"/>
          <w:szCs w:val="21"/>
        </w:rPr>
        <w:t>★4.投资者知悉并同意，投资者选择代销机构或其他垫支机构提供的快速赎回服务并在收到相应款项后，其快速赎回申请对应的理财产品份额将过户至快速赎回业务资金提供方，该等理财产品份额由快速赎回业务资金提供方所有，投资者不得再次就该等理财产品份额及该等理财产品份额的收（受）益权所对应的清算款项向产品管理人主张权利。产品管理人办理理财产品份额过户登记时，快速赎回申请对应的理财产品份额以代销机构或其他垫支机构提供至产品管理人的数据为准。</w:t>
      </w:r>
    </w:p>
    <w:p w14:paraId="16F27A7B">
      <w:pPr>
        <w:spacing w:line="360" w:lineRule="auto"/>
        <w:ind w:firstLine="480"/>
        <w:rPr>
          <w:rFonts w:ascii="宋体" w:hAnsi="宋体" w:eastAsia="宋体" w:cs="宋体"/>
          <w:b/>
          <w:bCs/>
          <w:color w:val="000000"/>
          <w:szCs w:val="21"/>
        </w:rPr>
      </w:pPr>
      <w:r>
        <w:rPr>
          <w:rFonts w:hint="eastAsia" w:ascii="宋体" w:hAnsi="宋体" w:eastAsia="宋体" w:cs="宋体"/>
          <w:b/>
          <w:bCs/>
          <w:color w:val="000000"/>
          <w:szCs w:val="21"/>
        </w:rPr>
        <w:t>★5.本理财产品投资者同意，自其收到快速赎回项下相关款项之自然日（含当日）起，已不再享有快速赎回申请对应的快速赎回理财产品份额可能产生的收益，相应理财产品份额在快速赎回申请之自然日起（含当日）的收益（如有）归快速赎回服务资金提供方所有。因此投资者在使用快速赎回服务时所获得的赎回款项将可能少于普通赎回获得的赎回款项。</w:t>
      </w:r>
    </w:p>
    <w:p w14:paraId="6A0CFC3D">
      <w:pPr>
        <w:spacing w:line="360" w:lineRule="auto"/>
        <w:ind w:firstLine="480"/>
        <w:rPr>
          <w:rFonts w:ascii="宋体" w:hAnsi="宋体" w:eastAsia="宋体" w:cs="宋体"/>
          <w:b/>
          <w:bCs/>
          <w:color w:val="000000"/>
          <w:szCs w:val="21"/>
        </w:rPr>
      </w:pPr>
      <w:r>
        <w:rPr>
          <w:rFonts w:hint="eastAsia" w:ascii="宋体" w:hAnsi="宋体" w:eastAsia="宋体" w:cs="宋体"/>
          <w:b/>
          <w:bCs/>
          <w:color w:val="000000"/>
          <w:szCs w:val="21"/>
        </w:rPr>
        <w:t>★6.单个投资者在单个销售渠道持有的本理财产品的快速赎回额度在每个自然日不高于 1 万元。</w:t>
      </w:r>
    </w:p>
    <w:p w14:paraId="668DBA26">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★七、产品的收益分配</w:t>
      </w:r>
    </w:p>
    <w:p w14:paraId="4310833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（一）</w:t>
      </w:r>
      <w:r>
        <w:rPr>
          <w:rFonts w:hint="eastAsia" w:ascii="宋体" w:hAnsi="宋体" w:eastAsia="宋体" w:cs="宋体"/>
          <w:color w:val="000000"/>
          <w:szCs w:val="21"/>
          <w:lang w:val="en-US" w:eastAsia="zh-CN"/>
        </w:rPr>
        <w:t>收益的构成</w:t>
      </w:r>
    </w:p>
    <w:p w14:paraId="5605AAC6">
      <w:pPr>
        <w:spacing w:line="360" w:lineRule="auto"/>
        <w:ind w:firstLine="420" w:firstLineChars="200"/>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本</w:t>
      </w:r>
      <w:r>
        <w:rPr>
          <w:rFonts w:hint="eastAsia" w:ascii="宋体" w:hAnsi="宋体" w:eastAsia="宋体" w:cs="宋体"/>
          <w:color w:val="000000"/>
          <w:szCs w:val="21"/>
        </w:rPr>
        <w:t>理财产品资产总值是指本理财产品所购买的各类证券价值、银行存款本息和本理财产品应收款项以及其他投资所形成的价值总和。理财产品资产净值是指理财产品资产总值减去负债后的价值</w:t>
      </w:r>
      <w:r>
        <w:rPr>
          <w:rFonts w:hint="eastAsia" w:ascii="宋体" w:hAnsi="宋体" w:eastAsia="宋体" w:cs="宋体"/>
          <w:color w:val="000000"/>
          <w:szCs w:val="21"/>
          <w:lang w:eastAsia="zh-CN"/>
        </w:rPr>
        <w:t>。</w:t>
      </w:r>
    </w:p>
    <w:p w14:paraId="799D077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（二）每万份收益和七日年化收益率</w:t>
      </w:r>
    </w:p>
    <w:p w14:paraId="6343414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本理财产品每万份收益和七日年化收益率根据市场利率的变化以及产品管理人实际投资运作的情况计算，计算方式如下：</w:t>
      </w:r>
    </w:p>
    <w:p w14:paraId="390D3B1F">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当日每万份收益=当日产品净收益/当日产品份额总额×10000</w:t>
      </w:r>
    </w:p>
    <w:p w14:paraId="09C8EEAF">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以上收益计算保留到小数点后4位，小数点后第5位及之后位数舍去（不进行四舍五入）。</w:t>
      </w:r>
    </w:p>
    <w:p w14:paraId="7E02E71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 xml:space="preserve">七日年化收益率（%）= </w:t>
      </w:r>
      <w:r>
        <w:rPr>
          <w:rFonts w:ascii="Times New Roman" w:hAnsi="Cambria Math" w:eastAsia="宋体" w:cs="Times New Roman"/>
          <w:color w:val="000000"/>
          <w:sz w:val="24"/>
        </w:rPr>
        <w:drawing>
          <wp:inline distT="0" distB="0" distL="114300" distR="114300">
            <wp:extent cx="2476500" cy="409575"/>
            <wp:effectExtent l="0" t="0" r="0" b="889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7"/>
                    <a:stretch>
                      <a:fillRect/>
                    </a:stretch>
                  </pic:blipFill>
                  <pic:spPr>
                    <a:xfrm>
                      <a:off x="0" y="0"/>
                      <a:ext cx="2476500" cy="409575"/>
                    </a:xfrm>
                    <a:prstGeom prst="rect">
                      <a:avLst/>
                    </a:prstGeom>
                    <a:noFill/>
                    <a:ln>
                      <a:noFill/>
                    </a:ln>
                  </pic:spPr>
                </pic:pic>
              </a:graphicData>
            </a:graphic>
          </wp:inline>
        </w:drawing>
      </w:r>
    </w:p>
    <w:p w14:paraId="2B529C6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其中，Ri是最近第i个自然日（i=1,2,3…7）的每万份收益，七日年化收益率保留到小数点后2位，小数点后第3位及之后位数舍去（不进行四舍五入）。</w:t>
      </w:r>
    </w:p>
    <w:p w14:paraId="73BEFF7B">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本理财产品每万份收益和七日年化收益率仅供投资者购买时作决策参考，理财收益以产品管理人实际支付为准。</w:t>
      </w:r>
    </w:p>
    <w:p w14:paraId="568533B3">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（三）收益分配原则</w:t>
      </w:r>
    </w:p>
    <w:p w14:paraId="2C4E7228">
      <w:pPr>
        <w:spacing w:line="360" w:lineRule="auto"/>
        <w:ind w:firstLine="420" w:firstLineChars="20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1.每一产品份额享有同等分配权；</w:t>
      </w:r>
    </w:p>
    <w:p w14:paraId="351B33DE">
      <w:pPr>
        <w:spacing w:line="360" w:lineRule="auto"/>
        <w:ind w:firstLine="420" w:firstLineChars="20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2.当日认（</w:t>
      </w:r>
      <w:r>
        <w:rPr>
          <w:rFonts w:hint="eastAsia" w:ascii="宋体" w:hAnsi="宋体" w:eastAsia="宋体" w:cs="宋体"/>
          <w:color w:val="000000"/>
          <w:szCs w:val="21"/>
          <w:lang w:val="en-US" w:eastAsia="zh-CN"/>
        </w:rPr>
        <w:t>申</w:t>
      </w:r>
      <w:r>
        <w:rPr>
          <w:rFonts w:hint="eastAsia" w:ascii="宋体" w:hAnsi="宋体" w:eastAsia="宋体" w:cs="宋体"/>
          <w:color w:val="000000"/>
          <w:szCs w:val="21"/>
          <w:lang w:eastAsia="zh-CN"/>
        </w:rPr>
        <w:t>）购的本理财产品份额应当自下一个开放日起享有该产品的分配权益；当日赎回的本理财产品份额自下一个开放日起不享有该产品的分配权益，国家金融监督管理总局认定的特殊现金管理类产品品种除外；</w:t>
      </w:r>
    </w:p>
    <w:p w14:paraId="5BD871CA">
      <w:pPr>
        <w:spacing w:line="360" w:lineRule="auto"/>
        <w:ind w:firstLine="420" w:firstLineChars="20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3.投资者通过两个（</w:t>
      </w:r>
      <w:r>
        <w:rPr>
          <w:rFonts w:hint="eastAsia" w:ascii="宋体" w:hAnsi="宋体" w:eastAsia="宋体" w:cs="宋体"/>
          <w:color w:val="000000"/>
          <w:szCs w:val="21"/>
          <w:lang w:val="en-US" w:eastAsia="zh-CN"/>
        </w:rPr>
        <w:t>含</w:t>
      </w:r>
      <w:r>
        <w:rPr>
          <w:rFonts w:hint="eastAsia" w:ascii="宋体" w:hAnsi="宋体" w:eastAsia="宋体" w:cs="宋体"/>
          <w:color w:val="000000"/>
          <w:szCs w:val="21"/>
          <w:lang w:eastAsia="zh-CN"/>
        </w:rPr>
        <w:t>）以上交易账号购买本理财产品的，理财收益按购买本理财产品的交易账号分别计算；</w:t>
      </w:r>
    </w:p>
    <w:p w14:paraId="043A2D23">
      <w:pPr>
        <w:spacing w:line="360" w:lineRule="auto"/>
        <w:ind w:firstLine="420" w:firstLineChars="200"/>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4.管理人有权基于投资者利益最大化和公平对待投资者的原则，对</w:t>
      </w:r>
      <w:r>
        <w:rPr>
          <w:rFonts w:hint="eastAsia" w:ascii="宋体" w:hAnsi="宋体" w:eastAsia="宋体" w:cs="宋体"/>
          <w:color w:val="000000"/>
          <w:szCs w:val="21"/>
          <w:lang w:val="en-US" w:eastAsia="zh-CN"/>
        </w:rPr>
        <w:t>本</w:t>
      </w:r>
      <w:r>
        <w:rPr>
          <w:rFonts w:hint="eastAsia" w:ascii="宋体" w:hAnsi="宋体" w:eastAsia="宋体" w:cs="宋体"/>
          <w:color w:val="000000"/>
          <w:szCs w:val="21"/>
          <w:lang w:eastAsia="zh-CN"/>
        </w:rPr>
        <w:t>理财产品产生的收益（</w:t>
      </w:r>
      <w:r>
        <w:rPr>
          <w:rFonts w:hint="eastAsia" w:ascii="宋体" w:hAnsi="宋体" w:eastAsia="宋体" w:cs="宋体"/>
          <w:color w:val="000000"/>
          <w:szCs w:val="21"/>
          <w:lang w:val="en-US" w:eastAsia="zh-CN"/>
        </w:rPr>
        <w:t>如有</w:t>
      </w:r>
      <w:r>
        <w:rPr>
          <w:rFonts w:hint="eastAsia" w:ascii="宋体" w:hAnsi="宋体" w:eastAsia="宋体" w:cs="宋体"/>
          <w:color w:val="000000"/>
          <w:szCs w:val="21"/>
          <w:lang w:eastAsia="zh-CN"/>
        </w:rPr>
        <w:t>）进行合理分配。</w:t>
      </w:r>
    </w:p>
    <w:p w14:paraId="36D4FE8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四</w:t>
      </w:r>
      <w:r>
        <w:rPr>
          <w:rFonts w:hint="eastAsia" w:ascii="宋体" w:hAnsi="宋体" w:eastAsia="宋体" w:cs="宋体"/>
          <w:color w:val="000000"/>
          <w:szCs w:val="21"/>
          <w:lang w:eastAsia="zh-CN"/>
        </w:rPr>
        <w:t>）</w:t>
      </w:r>
      <w:r>
        <w:rPr>
          <w:rFonts w:hint="eastAsia" w:ascii="宋体" w:hAnsi="宋体" w:eastAsia="宋体" w:cs="宋体"/>
          <w:color w:val="000000"/>
          <w:szCs w:val="21"/>
        </w:rPr>
        <w:t>收益分配方案</w:t>
      </w:r>
    </w:p>
    <w:p w14:paraId="5CA2F3FF">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本理财产品收益分配方式为红利再投资，每日收益结转份额，投资者可通过赎回其持有的本理财产品份额获得现金收益。</w:t>
      </w:r>
    </w:p>
    <w:p w14:paraId="322D2EC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根据每日收益情况，将当日收益全部计提，若当日净收益大于零时，则增加投资者持有的产品份额；若当日净收益等于零时，则保持投资者持有的产品份额不变；产品管理人将采取必要措施尽量避免本理财产品净收益小于零，若当日净收益小于零时，将缩减投资者持有的产品份额。具体以本理财产品实际收益为准，产品管理人每日为投资者计提当日理财收益，每日结转份额。</w:t>
      </w:r>
    </w:p>
    <w:p w14:paraId="110667D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收益分配的计算保留到小数点后2位，小数点后第3位及之后位数舍去（不进行四舍五入），因去尾形成的余额进行再次分配，直至分完为止。当投资者持有份额较低时，由于估值方法和收益结转规则导致投资者可能无法取得收益。</w:t>
      </w:r>
    </w:p>
    <w:p w14:paraId="71B38EEF">
      <w:pPr>
        <w:spacing w:line="360" w:lineRule="auto"/>
        <w:ind w:firstLine="422" w:firstLineChars="200"/>
        <w:outlineLvl w:val="0"/>
        <w:rPr>
          <w:rFonts w:ascii="宋体" w:hAnsi="宋体" w:eastAsia="宋体" w:cs="宋体"/>
          <w:b/>
          <w:color w:val="000000"/>
          <w:szCs w:val="21"/>
        </w:rPr>
      </w:pPr>
      <w:r>
        <w:rPr>
          <w:rFonts w:hint="eastAsia" w:ascii="宋体" w:hAnsi="宋体" w:eastAsia="宋体" w:cs="宋体"/>
          <w:b/>
          <w:color w:val="000000"/>
          <w:szCs w:val="21"/>
        </w:rPr>
        <w:t>八、产品的终止与清算</w:t>
      </w:r>
    </w:p>
    <w:p w14:paraId="6181F54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★（一）产品的提前终止</w:t>
      </w:r>
    </w:p>
    <w:p w14:paraId="73EB818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本理财产品存续期内如出现以下情况，产品管理人有权提前终止本理财产品：</w:t>
      </w:r>
    </w:p>
    <w:p w14:paraId="2542C44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1.由于监管机构要求或法律法规规定需要终止本理财产品；</w:t>
      </w:r>
    </w:p>
    <w:p w14:paraId="670E7DF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2.因不可抗力及/或意外事件导致本理财产品无法正常运作或产品管理人无法继续履行本理财产品销售文件约定事项；</w:t>
      </w:r>
    </w:p>
    <w:p w14:paraId="504F66B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3.遇有市场出现剧烈波动、异常风险事件等情形导致本理财产品收益出现大幅波动或严重影响本理财产品的资产安全；</w:t>
      </w:r>
    </w:p>
    <w:p w14:paraId="422CDFE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4.因理财资金被有权机关扣划等原因导致本理财产品剩余资产无法满足相关法律法规规定、所投资市场要求或协议等相关法律文件约定，或者继续存续无法实现投资目标；</w:t>
      </w:r>
    </w:p>
    <w:p w14:paraId="1CE6042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5.相关投资合作机构或运用理财资金的第三方主体实施符合法律法规规定或协议等相关文件约定的行为导致本理财产品被动终止；</w:t>
      </w:r>
    </w:p>
    <w:p w14:paraId="7409243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6.</w:t>
      </w:r>
      <w:r>
        <w:rPr>
          <w:rFonts w:hint="eastAsia" w:ascii="宋体" w:hAnsi="宋体" w:eastAsia="宋体" w:cs="宋体"/>
          <w:color w:val="000000"/>
          <w:szCs w:val="21"/>
          <w:lang w:val="en-US" w:eastAsia="zh-CN"/>
        </w:rPr>
        <w:t>为保护投资者利益，</w:t>
      </w:r>
      <w:r>
        <w:rPr>
          <w:rFonts w:hint="eastAsia" w:ascii="宋体" w:hAnsi="宋体" w:eastAsia="宋体" w:cs="宋体"/>
          <w:color w:val="000000"/>
          <w:szCs w:val="21"/>
        </w:rPr>
        <w:t>产品管理人根据市场情况认为需要终止本理财产品。</w:t>
      </w:r>
    </w:p>
    <w:p w14:paraId="54B1947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产品管理人提前终止本理财产品的，应</w:t>
      </w:r>
      <w:r>
        <w:rPr>
          <w:rFonts w:hint="eastAsia" w:ascii="宋体" w:hAnsi="宋体" w:eastAsia="宋体" w:cs="宋体"/>
          <w:color w:val="000000"/>
          <w:szCs w:val="21"/>
          <w:lang w:val="en-US" w:eastAsia="zh-CN"/>
        </w:rPr>
        <w:t>至少</w:t>
      </w:r>
      <w:r>
        <w:rPr>
          <w:rFonts w:hint="eastAsia" w:ascii="宋体" w:hAnsi="宋体" w:eastAsia="宋体" w:cs="宋体"/>
          <w:color w:val="000000"/>
          <w:szCs w:val="21"/>
        </w:rPr>
        <w:t>提前1个工作日公告本理财产品终止日及本理财产品终止后的理财本金及收益到账日，并通过本理财产品销售文件约定的信息披露渠道进行公告。</w:t>
      </w:r>
    </w:p>
    <w:p w14:paraId="654074C8">
      <w:pPr>
        <w:spacing w:line="360" w:lineRule="auto"/>
        <w:ind w:firstLine="480"/>
        <w:rPr>
          <w:rFonts w:ascii="宋体" w:hAnsi="宋体" w:eastAsia="宋体" w:cs="宋体"/>
          <w:color w:val="000000"/>
          <w:szCs w:val="21"/>
        </w:rPr>
      </w:pPr>
      <w:r>
        <w:rPr>
          <w:rFonts w:hint="eastAsia" w:ascii="宋体" w:hAnsi="宋体" w:eastAsia="宋体" w:cs="宋体"/>
          <w:color w:val="000000"/>
          <w:szCs w:val="21"/>
        </w:rPr>
        <w:t>（二）产品的清算</w:t>
      </w:r>
    </w:p>
    <w:p w14:paraId="39E09552">
      <w:pPr>
        <w:spacing w:line="360" w:lineRule="auto"/>
        <w:ind w:firstLine="480"/>
        <w:rPr>
          <w:rFonts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kern w:val="2"/>
          <w:sz w:val="21"/>
          <w:szCs w:val="21"/>
          <w:highlight w:val="none"/>
          <w:lang w:val="en-US" w:eastAsia="zh-CN" w:bidi="ar-SA"/>
        </w:rPr>
        <w:t>产品管理人以终止日当日投资者持有的本理财产品份额和收益总和向投资者进行分配。</w:t>
      </w:r>
    </w:p>
    <w:p w14:paraId="51C76C76">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2.自本理财产品终止日至投资者理财本金及收益到账日之间为本理财产品的清算期。清算期原则上不得超过5个工作日，清算期超过5个工作日的，本理财产品终止日前，产品管理人将</w:t>
      </w:r>
      <w:r>
        <w:rPr>
          <w:rFonts w:hint="eastAsia" w:ascii="宋体" w:hAnsi="宋体" w:eastAsia="宋体" w:cs="宋体"/>
          <w:color w:val="000000"/>
          <w:szCs w:val="21"/>
          <w:lang w:val="en-US" w:eastAsia="zh-CN"/>
        </w:rPr>
        <w:t>至少</w:t>
      </w:r>
      <w:r>
        <w:rPr>
          <w:rFonts w:hint="eastAsia" w:ascii="宋体" w:hAnsi="宋体" w:eastAsia="宋体" w:cs="宋体"/>
          <w:color w:val="000000"/>
          <w:szCs w:val="21"/>
        </w:rPr>
        <w:t>提前1个工作日通过本理财产品销售文件约定的信息披露渠道发布相关信息公告通知投资者。</w:t>
      </w:r>
    </w:p>
    <w:p w14:paraId="028E6C2B">
      <w:pPr>
        <w:spacing w:line="360" w:lineRule="auto"/>
        <w:ind w:firstLine="480"/>
        <w:rPr>
          <w:rFonts w:ascii="宋体" w:hAnsi="宋体" w:eastAsia="宋体" w:cs="宋体"/>
          <w:b/>
          <w:color w:val="000000"/>
          <w:szCs w:val="21"/>
        </w:rPr>
      </w:pPr>
      <w:r>
        <w:rPr>
          <w:rFonts w:hint="eastAsia" w:ascii="宋体" w:hAnsi="宋体" w:eastAsia="宋体" w:cs="宋体"/>
          <w:color w:val="000000"/>
          <w:szCs w:val="21"/>
        </w:rPr>
        <w:t>★</w:t>
      </w:r>
      <w:r>
        <w:rPr>
          <w:rFonts w:hint="eastAsia" w:ascii="宋体" w:hAnsi="宋体" w:eastAsia="宋体" w:cs="宋体"/>
          <w:b/>
          <w:color w:val="000000"/>
          <w:szCs w:val="21"/>
        </w:rPr>
        <w:t>九、产品的费用</w:t>
      </w:r>
    </w:p>
    <w:p w14:paraId="741169FF">
      <w:pPr>
        <w:spacing w:line="360" w:lineRule="auto"/>
        <w:ind w:firstLine="480"/>
        <w:rPr>
          <w:rFonts w:ascii="宋体" w:hAnsi="宋体" w:eastAsia="宋体" w:cs="宋体"/>
          <w:color w:val="000000"/>
          <w:szCs w:val="21"/>
        </w:rPr>
      </w:pPr>
      <w:r>
        <w:rPr>
          <w:rFonts w:hint="eastAsia" w:ascii="宋体" w:hAnsi="宋体" w:eastAsia="宋体" w:cs="宋体"/>
          <w:color w:val="000000"/>
          <w:szCs w:val="21"/>
        </w:rPr>
        <w:t>（一）费用的种类</w:t>
      </w:r>
    </w:p>
    <w:p w14:paraId="41E59483">
      <w:pPr>
        <w:spacing w:line="360" w:lineRule="auto"/>
        <w:ind w:firstLine="480"/>
        <w:rPr>
          <w:rFonts w:ascii="宋体" w:hAnsi="宋体" w:eastAsia="宋体" w:cs="宋体"/>
          <w:color w:val="000000"/>
          <w:szCs w:val="21"/>
        </w:rPr>
      </w:pPr>
      <w:r>
        <w:rPr>
          <w:rFonts w:hint="eastAsia" w:ascii="宋体" w:hAnsi="宋体" w:eastAsia="宋体" w:cs="宋体"/>
          <w:color w:val="000000"/>
          <w:szCs w:val="21"/>
        </w:rPr>
        <w:t>本理财产品的费用包括销售手续费、固定管理费、托管费、强制赎回费（如有）以及应当在理财财产中列支的其他费用。</w:t>
      </w:r>
    </w:p>
    <w:p w14:paraId="50CCF3E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（二）费用计提方法、计提标准和支付方式</w:t>
      </w:r>
    </w:p>
    <w:p w14:paraId="0D77B4F2">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w:t>
      </w:r>
      <w:r>
        <w:rPr>
          <w:rFonts w:hint="eastAsia" w:ascii="宋体" w:hAnsi="宋体" w:eastAsia="宋体" w:cs="宋体"/>
          <w:b/>
          <w:bCs/>
          <w:color w:val="000000"/>
          <w:szCs w:val="21"/>
        </w:rPr>
        <w:t>1.销售手续费</w:t>
      </w:r>
    </w:p>
    <w:p w14:paraId="278B431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理财财产的销售手续费计算方法如下：</w:t>
      </w:r>
    </w:p>
    <w:p w14:paraId="6FCF3DE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H＝E×【各类份额的年销售手续费率】%÷365</w:t>
      </w:r>
    </w:p>
    <w:p w14:paraId="7EBBB26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H为每日应计提的销售手续费。</w:t>
      </w:r>
    </w:p>
    <w:p w14:paraId="64A8B94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E为本理财产品当日产品份额。</w:t>
      </w:r>
    </w:p>
    <w:p w14:paraId="6C7206A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销售手续费原则上按日计提，由产品管理人与托管人核对一致，</w:t>
      </w:r>
      <w:r>
        <w:rPr>
          <w:rFonts w:hint="eastAsia" w:ascii="宋体" w:hAnsi="宋体" w:eastAsia="宋体" w:cs="宋体"/>
          <w:b/>
          <w:bCs/>
          <w:color w:val="000000"/>
          <w:szCs w:val="21"/>
        </w:rPr>
        <w:t>从理财财产中定期支付给销售机构。</w:t>
      </w:r>
    </w:p>
    <w:p w14:paraId="3DB49B52">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w:t>
      </w:r>
      <w:r>
        <w:rPr>
          <w:rFonts w:hint="eastAsia" w:ascii="宋体" w:hAnsi="宋体" w:eastAsia="宋体" w:cs="宋体"/>
          <w:b/>
          <w:bCs/>
          <w:color w:val="000000"/>
          <w:szCs w:val="21"/>
        </w:rPr>
        <w:t>2.固定管理费</w:t>
      </w:r>
    </w:p>
    <w:p w14:paraId="29B997D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理财财产的固定管理费计算方法如下：</w:t>
      </w:r>
    </w:p>
    <w:p w14:paraId="6A2600A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H＝E×【年固定管理费率】%÷365</w:t>
      </w:r>
    </w:p>
    <w:p w14:paraId="10843C5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H为每日应计提的固定管理费。</w:t>
      </w:r>
    </w:p>
    <w:p w14:paraId="55C19EB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E为本理财产品当日产品份额。</w:t>
      </w:r>
    </w:p>
    <w:p w14:paraId="250E6621">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固定管理费原则上按日计提，由产品管理人与托管人核对一致，</w:t>
      </w:r>
      <w:r>
        <w:rPr>
          <w:rFonts w:hint="eastAsia" w:ascii="宋体" w:hAnsi="宋体" w:eastAsia="宋体" w:cs="宋体"/>
          <w:b/>
          <w:bCs/>
          <w:color w:val="000000"/>
          <w:szCs w:val="21"/>
        </w:rPr>
        <w:t>从理财财产中定期支付给产品管理人。</w:t>
      </w:r>
    </w:p>
    <w:p w14:paraId="46E2CD9A">
      <w:pPr>
        <w:widowControl w:val="0"/>
        <w:spacing w:after="0" w:line="360" w:lineRule="auto"/>
        <w:ind w:left="0" w:leftChars="0" w:firstLine="422" w:firstLineChars="200"/>
        <w:jc w:val="both"/>
        <w:rPr>
          <w:rFonts w:ascii="宋体" w:hAnsi="宋体" w:eastAsia="宋体" w:cs="宋体"/>
          <w:b/>
          <w:bCs/>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★3.托管费</w:t>
      </w:r>
    </w:p>
    <w:p w14:paraId="40FCFBD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理财财产的托管费计算方法如下：</w:t>
      </w:r>
    </w:p>
    <w:p w14:paraId="5F78894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H＝E×【年托管费率】%÷365</w:t>
      </w:r>
    </w:p>
    <w:p w14:paraId="0BA61EC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H为每日应计提的托管费。</w:t>
      </w:r>
    </w:p>
    <w:p w14:paraId="4515348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E为本理财产品当日产品份额。</w:t>
      </w:r>
    </w:p>
    <w:p w14:paraId="2A665905">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托管费原则上按日计提，由产品管理人与托管人核对一致，</w:t>
      </w:r>
      <w:r>
        <w:rPr>
          <w:rFonts w:hint="eastAsia" w:ascii="宋体" w:hAnsi="宋体" w:eastAsia="宋体" w:cs="宋体"/>
          <w:b/>
          <w:bCs/>
          <w:color w:val="000000"/>
          <w:szCs w:val="21"/>
        </w:rPr>
        <w:t>从理财财产中定期支付给产品托管人。</w:t>
      </w:r>
    </w:p>
    <w:p w14:paraId="7CD49B99">
      <w:pPr>
        <w:spacing w:line="360" w:lineRule="auto"/>
        <w:ind w:firstLine="422" w:firstLineChars="200"/>
        <w:rPr>
          <w:rFonts w:ascii="宋体" w:hAnsi="宋体" w:eastAsia="宋体" w:cs="宋体"/>
          <w:b/>
          <w:bCs/>
          <w:color w:val="000000"/>
          <w:szCs w:val="21"/>
        </w:rPr>
      </w:pPr>
      <w:r>
        <w:rPr>
          <w:rFonts w:hint="eastAsia" w:ascii="宋体" w:hAnsi="宋体" w:eastAsia="宋体" w:cs="宋体"/>
          <w:b/>
          <w:bCs/>
          <w:color w:val="000000"/>
          <w:szCs w:val="21"/>
        </w:rPr>
        <w:t>★4.强制赎回费</w:t>
      </w:r>
    </w:p>
    <w:p w14:paraId="3129500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本理财产品出现以下情形之一时，产品管理人将收取强制赎回费：</w:t>
      </w:r>
    </w:p>
    <w:p w14:paraId="57493E18">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在满足相关流动性风险管理要求的前提下，当本理财产品持有的现金、国债、中央银行票据、政策性金融债券以及5个交易日内到期的其他金融工具占本理财产品资产净值的比例合计低于5%且偏离度为负时，产品管理人应对当日单个投资者申请赎回份额超过本理财产品总份额1%以上的赎回申请征收1%的强制赎回费用，并将上述赎回费用全额计入本理财产品财产。产品管理人与产品托管人协商确认上述做法无益于本理财产品利益最大化的情形除外。</w:t>
      </w:r>
    </w:p>
    <w:p w14:paraId="535D133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本理财产品前10名投资者的持有份额合计超过本理财产品总份额50%的，当投资组合中现金、国债、中央银行票据、政策性金融债券以及5个交易日内到期的其他金融工具占本理财产品资产净值的比例合计低于10%且偏离度为负时，产品管理人应对投资者超过本理财产品总份额1%以上的赎回申请征收1%的强制赎回费用。</w:t>
      </w:r>
    </w:p>
    <w:p w14:paraId="2595B5A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（3）法律法规或监管机构另有规定的，从其规定。</w:t>
      </w:r>
    </w:p>
    <w:p w14:paraId="67AFD936">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w:t>
      </w:r>
      <w:r>
        <w:rPr>
          <w:rFonts w:hint="eastAsia" w:ascii="宋体" w:hAnsi="宋体" w:eastAsia="宋体" w:cs="宋体"/>
          <w:b/>
          <w:bCs/>
          <w:color w:val="000000"/>
          <w:szCs w:val="21"/>
        </w:rPr>
        <w:t>5.其他费用</w:t>
      </w:r>
    </w:p>
    <w:p w14:paraId="7D05DF66">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管理成本费用：为本理财产品项下投资交易提供专属信托、保管、托管、咨询、顾问、管理等服务所产生的费用(如基金管理费、投资顾问费、信托保管费、信托报酬、各类信托费用等)和支出均属于本理财产品的管理成本费用，由相关机构(包括但不限于基金公司、信托公司、保管银行等)依照相关法律文件(包括但不限于基金合同、信托合同、保管合同、顾问协议等)约定的标准和条件扣除。</w:t>
      </w:r>
    </w:p>
    <w:p w14:paraId="09E9F3F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（2）其他成本费用：本理财产品运作和清算中产生的其他资金汇划费、结算费、交易手续费、注册登记费、账户服务费</w:t>
      </w:r>
      <w:r>
        <w:rPr>
          <w:rFonts w:hint="eastAsia" w:ascii="宋体" w:hAnsi="宋体" w:eastAsia="宋体" w:cs="宋体"/>
          <w:color w:val="auto"/>
          <w:szCs w:val="21"/>
          <w:lang w:val="en-US" w:eastAsia="zh-CN"/>
        </w:rPr>
        <w:t>/维护费</w:t>
      </w:r>
      <w:r>
        <w:rPr>
          <w:rFonts w:hint="eastAsia" w:ascii="宋体" w:hAnsi="宋体" w:eastAsia="宋体" w:cs="宋体"/>
          <w:color w:val="000000"/>
          <w:szCs w:val="21"/>
        </w:rPr>
        <w:t>、进行本理财产品销售文件约定的投资而发生的交易费用、根据国家有关规定应当在本理财产品收益或资产中扣除的法定费用、本理财产品存续期间发生的信息披露费用、与本理财产品相关的会计师费（如审计费等）和律师费以及本理财产品销售文件约定可扣除的其他费用(包括交易发生的税费、手续费等)均属于本理财产品的其他成本费用，由产品管理人依照相关法律文件的约定在向投资者分配资金前从理财产品中支付。</w:t>
      </w:r>
    </w:p>
    <w:p w14:paraId="15C4E2F2">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★（三）特别说明</w:t>
      </w:r>
    </w:p>
    <w:p w14:paraId="0E4297B3">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本理财产品销售文件项下北银理财所收取的费用为含税价格，相关税率按照国家法律法规规定执行。北银理财有权根据法律法规、监管规定、国家有关政策及市场情况调整前述收费项目、标准、条件、方式等具体收费内容。该等调整事项将</w:t>
      </w:r>
      <w:r>
        <w:rPr>
          <w:rFonts w:hint="eastAsia" w:ascii="宋体" w:hAnsi="宋体" w:eastAsia="宋体" w:cs="宋体"/>
          <w:color w:val="000000"/>
          <w:szCs w:val="21"/>
          <w:lang w:val="en-US" w:eastAsia="zh-CN"/>
        </w:rPr>
        <w:t>至少</w:t>
      </w:r>
      <w:r>
        <w:rPr>
          <w:rFonts w:hint="eastAsia" w:ascii="宋体" w:hAnsi="宋体" w:eastAsia="宋体" w:cs="宋体"/>
          <w:color w:val="000000"/>
          <w:szCs w:val="21"/>
        </w:rPr>
        <w:t>提前1个工作日在约定渠道向投资者进行信息披露。</w:t>
      </w:r>
      <w:r>
        <w:rPr>
          <w:rFonts w:hint="eastAsia" w:ascii="宋体" w:hAnsi="宋体" w:eastAsia="宋体" w:cs="宋体"/>
          <w:b/>
          <w:bCs/>
          <w:color w:val="000000"/>
          <w:szCs w:val="21"/>
        </w:rPr>
        <w:t>如投资者未按照公告进行赎回操作的，视为投资者同意接受该等调整并按其执行。</w:t>
      </w:r>
    </w:p>
    <w:p w14:paraId="39593820">
      <w:pPr>
        <w:spacing w:line="360" w:lineRule="auto"/>
        <w:ind w:firstLine="422" w:firstLineChars="200"/>
        <w:outlineLvl w:val="0"/>
        <w:rPr>
          <w:rFonts w:ascii="宋体" w:hAnsi="宋体" w:eastAsia="宋体" w:cs="宋体"/>
          <w:b/>
          <w:color w:val="000000"/>
          <w:szCs w:val="21"/>
        </w:rPr>
      </w:pPr>
      <w:r>
        <w:rPr>
          <w:rFonts w:hint="eastAsia" w:ascii="宋体" w:hAnsi="宋体" w:eastAsia="宋体" w:cs="宋体"/>
          <w:b/>
          <w:color w:val="000000"/>
          <w:szCs w:val="21"/>
        </w:rPr>
        <w:t>十、资产估值</w:t>
      </w:r>
    </w:p>
    <w:p w14:paraId="377F9B36">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（一）估值目的和估值原则</w:t>
      </w:r>
    </w:p>
    <w:p w14:paraId="6CCC54DF">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理财产品估值的目的是公允、合理地反映理财产品的价值。估值中坚持公允价值计量原则。金融资产的公允价值确定方法应与理财产品的类型相匹配。</w:t>
      </w:r>
    </w:p>
    <w:p w14:paraId="66442657">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（二）估值对象</w:t>
      </w:r>
    </w:p>
    <w:p w14:paraId="23D2E70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本理财产品持有的金融资产和负债，具体金融资产同投资范围。</w:t>
      </w:r>
    </w:p>
    <w:p w14:paraId="25FC376C">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（三）估值日</w:t>
      </w:r>
    </w:p>
    <w:p w14:paraId="2B6F036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本理财产品成立后的每个自然日均为估值日。</w:t>
      </w:r>
    </w:p>
    <w:p w14:paraId="6AA2EB30">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（四）估值方法</w:t>
      </w:r>
    </w:p>
    <w:p w14:paraId="39EB5641">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1.债券等固定收益类资产采用摊余成本法估值。</w:t>
      </w:r>
    </w:p>
    <w:p w14:paraId="04748296">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2.货币市场基金单位价值按1.0000计算，逐日计提收益。货币市场基金的待分配收益在估值日没有转为份额的，按估值日前一交易日基金管理公司披露的每万份收益计提。</w:t>
      </w:r>
    </w:p>
    <w:p w14:paraId="3ACDCC05">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3.各类资产管理计划以资产管理计划的管理人确认的净值或投资收益情况进行估值。</w:t>
      </w:r>
    </w:p>
    <w:p w14:paraId="29B3C379">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4.债券回购和拆借按本金列示，逐日计提利息。</w:t>
      </w:r>
    </w:p>
    <w:p w14:paraId="782246B2">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5.银行存款按本金列示，逐日计提利息。</w:t>
      </w:r>
    </w:p>
    <w:p w14:paraId="0A6ACF0E">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6.采用摊余成本法进行估值，即计价对象以买入成本列示，按票面利率、商定利率或实际利率并考虑其买入时的溢价与折价，在其剩余期限内进行摊销，每日计提收益。本理财产品不采用市场利率和上市交易的债券和票据的市价计算资产净值。</w:t>
      </w:r>
    </w:p>
    <w:p w14:paraId="18445374">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7.由于按“摊余成本法”计算的理财产品资产净值与按市场利率和交易市价计算的资产净值可能发生偏离，从而对本理财产品份额持有人的利益产生稀释和不公平的结果。为消除或减少因理财产品资产净值的偏离导致的上述结果，在实际操作中，产品管理人与托管机构将采用估值技术，对本理财产品持有的估值对象进行重新评估，即“影子定价”。当投资组合的摊余成本与其他可参考公允价值指标产生重大偏离，产品管理人将可能采用公允价值估值方法对持有投资组合的账面价值进行调整，使得本理财产品资产净值更能公允地反映本理财产品投资组合价值，确保以摊余成本法计算的本理财产品资产净值不会对本理财产品投资者造成实质性的损害。本理财产品因此可能面临净值波动的风险。</w:t>
      </w:r>
    </w:p>
    <w:p w14:paraId="0CE861CB">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8.为了避免采用“摊余成本法”计算的本理财产品资产净值与按市场利率和交易市价计算的资产净值发生重大偏离，从而对本理财产品份额持有人的利益产生稀释和不公平的结果，产品管理人于每一估值日，采用估值技术，对本理财产品持有的估值对象进行重新评估，即“影子定价”。当影子定价确定的本现金管理类产品资产净值与摊余成本法计算的资产净值正偏离度绝对值达到0.5%时,产品管理人应当暂停接受</w:t>
      </w:r>
      <w:r>
        <w:rPr>
          <w:rFonts w:hint="eastAsia" w:ascii="Times New Roman" w:hAnsi="Times New Roman" w:eastAsia="宋体" w:cs="Times New Roman"/>
          <w:color w:val="000000"/>
          <w:lang w:val="en-US" w:eastAsia="zh-CN"/>
        </w:rPr>
        <w:t>认（申）购</w:t>
      </w:r>
      <w:r>
        <w:rPr>
          <w:rFonts w:hint="eastAsia" w:ascii="宋体" w:hAnsi="宋体" w:eastAsia="宋体" w:cs="宋体"/>
          <w:color w:val="000000"/>
          <w:szCs w:val="21"/>
        </w:rPr>
        <w:t>并在5个交易日内将正偏离度绝对值调整到0.5%以内。当负偏离度绝对值达到0.25%时,产品管理人应当在5个交易日内将负偏离度绝对值调整到0.25%以内。当负偏离度绝对值达到0.5%时,产品管理人应当采取相应措施,将负偏离度绝对值控制在0.5%以内。当负偏离度绝对值连续两个交易日超过0.5%时,产品管理人应当采用公允价值估值方法对持有投资组合的账面价值进行调整,或者采取暂停接受所有赎回申请并终止本理财产品销售文件进行财产清算等措施。</w:t>
      </w:r>
    </w:p>
    <w:p w14:paraId="5FDD623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9.在任何情况下，如采用以上规定的方法对资产进行估值，均应被认为采用了适当的估值方法。但是，如果产品管理人或产品托管人认为按以上规定的方法对本理财产品的资产进行估值不能客观反映其公允价值的，可提出异议，协商一致后，变更公允价值的确定方式，并从经产品管理人与产品托管人协商一致日起执行，并及时通过本理财产品销售文件约定的信息披露渠道向投资者公告。</w:t>
      </w:r>
    </w:p>
    <w:p w14:paraId="40114912">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（五）估值差错处理</w:t>
      </w:r>
    </w:p>
    <w:p w14:paraId="26DEC93C">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如产品管理人或产品托管人发现资产估值违反本《理财产品说明书》订明的估值方法及相关法律法规的规定或者未能充分维护投资者利益时，应及时通知对方，共同查明原因，协商解决，如经相关各方在平等基础上充分讨论后，仍无法达成一致意见，以产品管理人的意见为准。</w:t>
      </w:r>
    </w:p>
    <w:p w14:paraId="238ADF6F">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当发现资产估值存在错误时，产品管理人和产品托管人应该及时更正。</w:t>
      </w:r>
    </w:p>
    <w:p w14:paraId="564F83A0">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（六）暂停估值</w:t>
      </w:r>
    </w:p>
    <w:p w14:paraId="6B3DB6D8">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当出现下列情形时，产品管理人有权选择暂停理财产品估值：</w:t>
      </w:r>
    </w:p>
    <w:p w14:paraId="2F7D699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1.本理财产品投资所涉及的证券交易所遇法定节假日或其他原因暂停营业时；</w:t>
      </w:r>
    </w:p>
    <w:p w14:paraId="315BBF6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2.因任何不可抗力及/或意外事件等致使产品管理人无法准确评估资产价值时；</w:t>
      </w:r>
    </w:p>
    <w:p w14:paraId="0B0FC01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3.本理财产品在前一估值日内，产品资产净值50%以上的资产不具备活跃交易市场或者在活跃市场中无报价，且不能采用估值技术可靠计量公允价值的，产品管理人应暂停本理财产品估值；</w:t>
      </w:r>
    </w:p>
    <w:p w14:paraId="6CDA695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4.法律法规规定或本理财产品销售文件约定的其他情形。</w:t>
      </w:r>
    </w:p>
    <w:p w14:paraId="1DD29B2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产品管理人选择暂停理财产品估值的，产品管理人将按照监管规定及本理财产品销售文件约定的方式在3个交易日内发布临时信息披露，告知本理财产品的投资者，并说明运用相关措施的原因及拟采取的应对安排等。待估值条件恢复时，产品管理人将按规定完成估值工作。</w:t>
      </w:r>
    </w:p>
    <w:p w14:paraId="5042D91F">
      <w:pPr>
        <w:widowControl w:val="0"/>
        <w:spacing w:after="0" w:line="360" w:lineRule="auto"/>
        <w:ind w:left="0" w:leftChars="0" w:firstLine="420" w:firstLineChars="200"/>
        <w:jc w:val="both"/>
        <w:outlineLvl w:val="1"/>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（七）特殊情况处理</w:t>
      </w:r>
    </w:p>
    <w:p w14:paraId="149CFCF2">
      <w:pPr>
        <w:spacing w:line="360" w:lineRule="auto"/>
        <w:ind w:left="0" w:leftChars="0" w:firstLineChars="200"/>
        <w:rPr>
          <w:rFonts w:ascii="宋体" w:hAnsi="宋体" w:eastAsia="宋体" w:cs="宋体"/>
          <w:color w:val="000000"/>
        </w:rPr>
      </w:pPr>
      <w:r>
        <w:rPr>
          <w:rFonts w:hint="eastAsia" w:ascii="宋体" w:hAnsi="宋体" w:eastAsia="宋体" w:cs="宋体"/>
          <w:color w:val="000000"/>
          <w:szCs w:val="21"/>
        </w:rPr>
        <w:t>1.产品管理人、产品托管人按照本</w:t>
      </w:r>
      <w:r>
        <w:rPr>
          <w:rFonts w:hint="eastAsia" w:ascii="宋体" w:hAnsi="宋体" w:eastAsia="宋体" w:cs="宋体"/>
          <w:color w:val="000000"/>
        </w:rPr>
        <w:t>《理财产品说明书》</w:t>
      </w:r>
      <w:r>
        <w:rPr>
          <w:rFonts w:hint="eastAsia" w:ascii="宋体" w:hAnsi="宋体" w:eastAsia="宋体" w:cs="宋体"/>
          <w:color w:val="000000"/>
          <w:szCs w:val="21"/>
        </w:rPr>
        <w:t>估值方法进行估值时，</w:t>
      </w:r>
      <w:r>
        <w:rPr>
          <w:rFonts w:hint="eastAsia" w:ascii="宋体" w:hAnsi="宋体" w:eastAsia="宋体" w:cs="宋体"/>
          <w:color w:val="000000"/>
        </w:rPr>
        <w:t>因估值精度、数据延迟等原因</w:t>
      </w:r>
      <w:r>
        <w:rPr>
          <w:rFonts w:hint="eastAsia" w:ascii="宋体" w:hAnsi="宋体" w:eastAsia="宋体" w:cs="宋体"/>
          <w:color w:val="000000"/>
          <w:szCs w:val="21"/>
        </w:rPr>
        <w:t>所造成的误差不作为估值差错处理。</w:t>
      </w:r>
    </w:p>
    <w:p w14:paraId="10CB28E1">
      <w:pPr>
        <w:widowControl w:val="0"/>
        <w:spacing w:after="0" w:line="360" w:lineRule="auto"/>
        <w:ind w:left="0" w:leftChars="0" w:firstLine="422" w:firstLineChars="200"/>
        <w:jc w:val="both"/>
        <w:rPr>
          <w:rFonts w:ascii="宋体" w:hAnsi="宋体" w:eastAsia="宋体" w:cs="宋体"/>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2.由于不可抗力及/或意外事件原因，或由于证券交易所、期货交易所、第三方估值机构或信托公司、保险公司、证券公司、基金公司等投资合作机构发送数据错误等非产品管理人和托管人原因，产品管理人和托管人虽然已经采取必要、适当、合理的措施进行检查，但未能发现错误，由此造成估值差错的，产品管理人对此不承担责任。但产品管理人应当积极采取必要的措施减轻或消除由此造成的影响。</w:t>
      </w:r>
    </w:p>
    <w:p w14:paraId="4E824FE3">
      <w:pPr>
        <w:widowControl w:val="0"/>
        <w:spacing w:after="0" w:line="360" w:lineRule="auto"/>
        <w:ind w:left="0" w:leftChars="0" w:firstLine="420" w:firstLineChars="200"/>
        <w:jc w:val="both"/>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前述内容如法律法规、监管机构另有规定的，或有关会计准则发生变化等，按照国家最新规定或产品管理人和产品托管人最新约定估值。如果行业另有通行做法，产品管理人和产品托管人本着平等和保护理财产品投资者利益的原则进行协商。</w:t>
      </w:r>
    </w:p>
    <w:p w14:paraId="74C54564">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（八）资产账册的建立</w:t>
      </w:r>
    </w:p>
    <w:p w14:paraId="717FD50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产品管理人和产品托管人在本理财产品销售文件生效后，应按照相关各方约定的同一记账方法和会计处理原则，分别独立的设置、登录和保管理财财产的全套账册，对相关各方各自的账册定期进行核对，互相监督。若双方对会计处理方法存在分歧，应以产品管理人的处理方法为准。</w:t>
      </w:r>
    </w:p>
    <w:p w14:paraId="66C12A3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经对账发现相关各方的账目存在不符的，产品管理人和产品托管人必须及时查明原因并纠正，保证相关各方平行登录的账册记录完全相符。</w:t>
      </w:r>
    </w:p>
    <w:p w14:paraId="798F6CEC">
      <w:pPr>
        <w:spacing w:line="360" w:lineRule="auto"/>
        <w:ind w:firstLine="422" w:firstLineChars="200"/>
        <w:outlineLvl w:val="0"/>
        <w:rPr>
          <w:rFonts w:ascii="宋体" w:hAnsi="宋体" w:eastAsia="宋体" w:cs="宋体"/>
          <w:b/>
          <w:color w:val="000000"/>
          <w:szCs w:val="21"/>
        </w:rPr>
      </w:pPr>
      <w:r>
        <w:rPr>
          <w:rFonts w:hint="eastAsia" w:ascii="宋体" w:hAnsi="宋体" w:eastAsia="宋体" w:cs="宋体"/>
          <w:b/>
          <w:color w:val="000000"/>
          <w:szCs w:val="21"/>
        </w:rPr>
        <w:t>十一、产品的信息披露</w:t>
      </w:r>
    </w:p>
    <w:p w14:paraId="3BC8A7F4">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（一）信息披露内容</w:t>
      </w:r>
    </w:p>
    <w:p w14:paraId="0FC4952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产品管理人将严格按照相关法律法规、规章、监管规定和本理财产品销售文件的约定履行信息披露义务，及时、准确、完整地向投资者披露本理财产品的募集信息、资金投向、杠杆水平、收益分配、托管安排、投资账户信息、主要投资风险、关联交易等事项。</w:t>
      </w:r>
    </w:p>
    <w:p w14:paraId="5C4A3AB8">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（二）信息披露</w:t>
      </w:r>
      <w:r>
        <w:rPr>
          <w:rFonts w:hint="eastAsia" w:ascii="宋体" w:hAnsi="宋体" w:eastAsia="宋体" w:cs="宋体"/>
          <w:color w:val="000000"/>
          <w:szCs w:val="21"/>
          <w:lang w:val="en-US" w:eastAsia="zh-CN"/>
        </w:rPr>
        <w:t>方式和</w:t>
      </w:r>
      <w:r>
        <w:rPr>
          <w:rFonts w:hint="eastAsia" w:ascii="宋体" w:hAnsi="宋体" w:eastAsia="宋体" w:cs="宋体"/>
          <w:color w:val="000000"/>
          <w:szCs w:val="21"/>
        </w:rPr>
        <w:t>频率</w:t>
      </w:r>
    </w:p>
    <w:p w14:paraId="14BDAF77">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1.发行公告</w:t>
      </w:r>
    </w:p>
    <w:p w14:paraId="45F556B7">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产品管理人将在本理财产品成立后5个工作日内披露发行公告。</w:t>
      </w:r>
    </w:p>
    <w:p w14:paraId="3BDBEF2B">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2.净值公告</w:t>
      </w:r>
    </w:p>
    <w:p w14:paraId="24FC83DF">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本理财产品成立后，产品管理人将在每个开放日结束后2个工作日内披露开放日的产品份额净值</w:t>
      </w:r>
      <w:r>
        <w:rPr>
          <w:rFonts w:hint="eastAsia" w:ascii="宋体" w:hAnsi="宋体" w:eastAsia="宋体" w:cs="宋体"/>
          <w:color w:val="000000"/>
          <w:szCs w:val="21"/>
          <w:lang w:eastAsia="zh-CN"/>
        </w:rPr>
        <w:t>、</w:t>
      </w:r>
      <w:r>
        <w:rPr>
          <w:rFonts w:hint="eastAsia" w:ascii="宋体" w:hAnsi="宋体" w:eastAsia="宋体" w:cs="宋体"/>
          <w:color w:val="000000"/>
          <w:szCs w:val="21"/>
        </w:rPr>
        <w:t>产品份额累计净值、</w:t>
      </w:r>
      <w:r>
        <w:rPr>
          <w:rFonts w:hint="eastAsia" w:ascii="宋体" w:hAnsi="宋体" w:eastAsia="宋体" w:cs="宋体"/>
          <w:color w:val="000000"/>
          <w:sz w:val="21"/>
          <w:szCs w:val="21"/>
          <w:highlight w:val="none"/>
          <w:lang w:val="en-US" w:eastAsia="zh-CN"/>
        </w:rPr>
        <w:t>产品资产净值、</w:t>
      </w:r>
      <w:r>
        <w:rPr>
          <w:rFonts w:hint="eastAsia" w:ascii="宋体" w:hAnsi="宋体" w:eastAsia="宋体" w:cs="宋体"/>
          <w:color w:val="000000"/>
          <w:szCs w:val="21"/>
          <w:highlight w:val="none"/>
        </w:rPr>
        <w:t>认（申）购</w:t>
      </w:r>
      <w:r>
        <w:rPr>
          <w:rFonts w:hint="eastAsia" w:ascii="宋体" w:hAnsi="宋体" w:eastAsia="宋体" w:cs="宋体"/>
          <w:color w:val="000000"/>
          <w:sz w:val="21"/>
          <w:szCs w:val="21"/>
          <w:highlight w:val="none"/>
        </w:rPr>
        <w:t>价格</w:t>
      </w:r>
      <w:r>
        <w:rPr>
          <w:rFonts w:hint="eastAsia" w:ascii="宋体" w:hAnsi="宋体" w:eastAsia="宋体" w:cs="宋体"/>
          <w:color w:val="000000"/>
          <w:szCs w:val="21"/>
        </w:rPr>
        <w:t>、赎回价格；在定期报告中披露本理财产品在季度、半年和年度最后一个市场交易日的产品份额净值、产品份额累计净值和产品资产净值。</w:t>
      </w:r>
    </w:p>
    <w:p w14:paraId="65AD13AD">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3.分红公告</w:t>
      </w:r>
    </w:p>
    <w:p w14:paraId="045226C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产品管理人将在本理财产品分红后2个工作日内披露产品分红公告（如有）。</w:t>
      </w:r>
    </w:p>
    <w:p w14:paraId="18E9366C">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4.重大事项公告</w:t>
      </w:r>
    </w:p>
    <w:p w14:paraId="135FDB2D">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产品管理人将在发生可能对本理财产品投资者</w:t>
      </w:r>
      <w:r>
        <w:rPr>
          <w:rFonts w:hint="eastAsia" w:ascii="宋体" w:hAnsi="宋体" w:eastAsia="宋体" w:cs="宋体"/>
          <w:color w:val="000000"/>
          <w:szCs w:val="21"/>
          <w:lang w:val="en-US" w:eastAsia="zh-CN"/>
        </w:rPr>
        <w:t>权益</w:t>
      </w:r>
      <w:r>
        <w:rPr>
          <w:rFonts w:hint="eastAsia" w:ascii="宋体" w:hAnsi="宋体" w:eastAsia="宋体" w:cs="宋体"/>
          <w:color w:val="000000"/>
          <w:szCs w:val="21"/>
        </w:rPr>
        <w:t>或者本理财产品</w:t>
      </w:r>
      <w:r>
        <w:rPr>
          <w:rFonts w:hint="eastAsia" w:ascii="宋体" w:hAnsi="宋体" w:eastAsia="宋体" w:cs="宋体"/>
          <w:color w:val="000000"/>
          <w:szCs w:val="21"/>
          <w:lang w:val="en-US" w:eastAsia="zh-CN"/>
        </w:rPr>
        <w:t>投资</w:t>
      </w:r>
      <w:r>
        <w:rPr>
          <w:rFonts w:hint="eastAsia" w:ascii="宋体" w:hAnsi="宋体" w:eastAsia="宋体" w:cs="宋体"/>
          <w:color w:val="000000"/>
          <w:szCs w:val="21"/>
        </w:rPr>
        <w:t>收益</w:t>
      </w:r>
      <w:r>
        <w:rPr>
          <w:rFonts w:hint="eastAsia" w:ascii="宋体" w:hAnsi="宋体" w:eastAsia="宋体" w:cs="宋体"/>
          <w:color w:val="000000"/>
          <w:szCs w:val="21"/>
          <w:lang w:val="en-US" w:eastAsia="zh-CN"/>
        </w:rPr>
        <w:t>等</w:t>
      </w:r>
      <w:r>
        <w:rPr>
          <w:rFonts w:hint="eastAsia" w:ascii="宋体" w:hAnsi="宋体" w:eastAsia="宋体" w:cs="宋体"/>
          <w:color w:val="000000"/>
          <w:szCs w:val="21"/>
        </w:rPr>
        <w:t>产生重大影响的事件后2个工作日内披露重大事项公告。</w:t>
      </w:r>
    </w:p>
    <w:p w14:paraId="0019A9D1">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5.定期报告</w:t>
      </w:r>
    </w:p>
    <w:p w14:paraId="1CB0A9C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产品管理人将在每个季度结束之日起15个工作日内、上半年结束之日起60个工作日内、每年结束之日起90个工作日内编制完成本理财产品的季度、半年和年度报告等定期报告，并向投资者披露。如果本理财产品成立不足90个工作日或者剩余存续期不超过90个工作日的，产品管理人可以不编制本理财产品当期的季度、半年和年度报告。</w:t>
      </w:r>
    </w:p>
    <w:p w14:paraId="1E0B037D">
      <w:pPr>
        <w:spacing w:line="360" w:lineRule="auto"/>
        <w:ind w:firstLine="420" w:firstLineChars="200"/>
        <w:rPr>
          <w:rFonts w:ascii="宋体" w:hAnsi="宋体" w:eastAsia="宋体" w:cs="宋体"/>
          <w:color w:val="000000"/>
          <w:szCs w:val="21"/>
        </w:rPr>
      </w:pPr>
      <w:r>
        <w:rPr>
          <w:rFonts w:hint="eastAsia" w:ascii="Times New Roman" w:hAnsi="Times New Roman" w:eastAsia="宋体" w:cs="Times New Roman"/>
          <w:color w:val="000000"/>
        </w:rPr>
        <w:t>同时，产品管理人将在本理财产品的半年和年度报告中，披露本理财产品前10名投资者的类别、持有份额及占总份额的比例等信息。在本理财产品存续期间，若出现单一投资者持有产品份额达到或者超过本理财产品总份额20%的情形，产品管理人将在定期报告中披露该投资者的类别、持有份额及占比、持有份额变化情况及产品风险等信息，国家金融监督管理总局认定的特殊情形除外。</w:t>
      </w:r>
    </w:p>
    <w:p w14:paraId="63DA0B44">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6.到期公告</w:t>
      </w:r>
    </w:p>
    <w:p w14:paraId="32AD570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产品管理人将在本理财产品终止日后5个工作日内披露产品到期公告。</w:t>
      </w:r>
    </w:p>
    <w:p w14:paraId="79B4594E">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7.临时公告</w:t>
      </w:r>
    </w:p>
    <w:p w14:paraId="160B9A6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本理财产品在运作管理过程中，发生可能对本理财产品份额持有人权益产生影响的事项、涉及本理财产品</w:t>
      </w:r>
      <w:r>
        <w:rPr>
          <w:rFonts w:hint="eastAsia" w:ascii="宋体" w:hAnsi="宋体" w:eastAsia="宋体" w:cs="宋体"/>
          <w:color w:val="000000"/>
          <w:szCs w:val="21"/>
          <w:highlight w:val="none"/>
        </w:rPr>
        <w:t>认（申）购</w:t>
      </w:r>
      <w:r>
        <w:rPr>
          <w:rFonts w:hint="eastAsia" w:ascii="宋体" w:hAnsi="宋体" w:eastAsia="宋体" w:cs="宋体"/>
          <w:color w:val="000000"/>
          <w:szCs w:val="21"/>
        </w:rPr>
        <w:t>、赎回事项调整或潜在影响投资者赎回等事项时，产品管理人将根据法律法规规定和本理财产品销售文件约定及时进行临时信息披露。</w:t>
      </w:r>
    </w:p>
    <w:p w14:paraId="7F7861B6">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★（三）信息披露渠道</w:t>
      </w:r>
    </w:p>
    <w:p w14:paraId="3320ACA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本理财产品的信息披露渠道为代销机构</w:t>
      </w:r>
      <w:r>
        <w:rPr>
          <w:rFonts w:hint="eastAsia" w:ascii="宋体" w:hAnsi="宋体" w:eastAsia="宋体" w:cs="宋体"/>
          <w:color w:val="000000"/>
          <w:szCs w:val="21"/>
          <w:lang w:val="en-US" w:eastAsia="zh-CN"/>
        </w:rPr>
        <w:t>电子渠道</w:t>
      </w:r>
      <w:r>
        <w:rPr>
          <w:rFonts w:hint="eastAsia" w:ascii="宋体" w:hAnsi="宋体" w:eastAsia="宋体" w:cs="宋体"/>
          <w:color w:val="000000"/>
          <w:szCs w:val="21"/>
        </w:rPr>
        <w:t>、北银理财有限责任公司官方网站、中国理财网或监管机构认可的其他公开渠道，投资者可通过上述渠道查询本理财产品相关信息</w:t>
      </w:r>
      <w:bookmarkStart w:id="2" w:name="_Hlk146059341"/>
      <w:r>
        <w:rPr>
          <w:rFonts w:hint="eastAsia" w:ascii="宋体" w:hAnsi="宋体" w:eastAsia="宋体" w:cs="宋体"/>
          <w:color w:val="000000"/>
          <w:szCs w:val="21"/>
        </w:rPr>
        <w:t>，在保障投资者知情权的前提下，产品管理人保留变更信息披露渠道的权利</w:t>
      </w:r>
      <w:bookmarkEnd w:id="2"/>
      <w:r>
        <w:rPr>
          <w:rFonts w:hint="eastAsia" w:ascii="宋体" w:hAnsi="宋体" w:eastAsia="宋体" w:cs="宋体"/>
          <w:color w:val="000000"/>
          <w:szCs w:val="21"/>
        </w:rPr>
        <w:t>。相关信息自公告之日即视为已送达投资者</w:t>
      </w:r>
      <w:bookmarkStart w:id="3" w:name="_Hlk146059345"/>
      <w:r>
        <w:rPr>
          <w:rFonts w:hint="eastAsia" w:ascii="宋体" w:hAnsi="宋体" w:eastAsia="宋体" w:cs="宋体"/>
          <w:color w:val="000000"/>
          <w:szCs w:val="21"/>
        </w:rPr>
        <w:t>且产品管理人已适当履行其信息披露义务</w:t>
      </w:r>
      <w:bookmarkEnd w:id="3"/>
      <w:r>
        <w:rPr>
          <w:rFonts w:hint="eastAsia" w:ascii="宋体" w:hAnsi="宋体" w:eastAsia="宋体" w:cs="宋体"/>
          <w:color w:val="000000"/>
          <w:szCs w:val="21"/>
        </w:rPr>
        <w:t>。</w:t>
      </w:r>
      <w:r>
        <w:rPr>
          <w:rFonts w:hint="eastAsia" w:ascii="宋体" w:hAnsi="宋体" w:eastAsia="宋体" w:cs="宋体"/>
          <w:b/>
          <w:bCs/>
          <w:color w:val="000000"/>
          <w:szCs w:val="21"/>
        </w:rPr>
        <w:t>如投资者未适时查询，或由于不可抗力及/或意外事件的影响使得投资者无法了解本理财产品信息，并由此影响投资者的投资决策，因此而产生责任和风险由投资者自行承担。</w:t>
      </w:r>
      <w:r>
        <w:rPr>
          <w:rFonts w:hint="eastAsia" w:ascii="宋体" w:hAnsi="宋体" w:eastAsia="宋体" w:cs="宋体"/>
          <w:color w:val="000000"/>
          <w:szCs w:val="21"/>
        </w:rPr>
        <w:t xml:space="preserve"> </w:t>
      </w:r>
    </w:p>
    <w:p w14:paraId="7C9ECE13">
      <w:pPr>
        <w:spacing w:line="360" w:lineRule="auto"/>
        <w:ind w:firstLine="420" w:firstLineChars="200"/>
        <w:rPr>
          <w:rFonts w:ascii="宋体" w:hAnsi="宋体" w:eastAsia="宋体" w:cs="宋体"/>
          <w:b/>
          <w:bCs/>
          <w:color w:val="000000"/>
        </w:rPr>
      </w:pPr>
      <w:r>
        <w:rPr>
          <w:rFonts w:hint="eastAsia" w:ascii="宋体" w:hAnsi="宋体" w:eastAsia="宋体" w:cs="宋体"/>
          <w:color w:val="000000"/>
          <w:szCs w:val="21"/>
        </w:rPr>
        <w:t>★（四）本理财产品存续期间，若法律法规、国家监管政策或市场情况发生变化，产品管理人可能对本《理财产品说明书》中</w:t>
      </w:r>
      <w:r>
        <w:rPr>
          <w:rFonts w:hint="eastAsia" w:ascii="宋体" w:hAnsi="宋体" w:eastAsia="宋体" w:cs="宋体"/>
          <w:color w:val="000000"/>
          <w:szCs w:val="21"/>
          <w:lang w:val="en-US" w:eastAsia="zh-CN"/>
        </w:rPr>
        <w:t>产品类型、</w:t>
      </w:r>
      <w:r>
        <w:rPr>
          <w:rFonts w:hint="eastAsia" w:ascii="宋体" w:hAnsi="宋体" w:eastAsia="宋体" w:cs="宋体"/>
          <w:color w:val="000000"/>
          <w:szCs w:val="21"/>
        </w:rPr>
        <w:t>投资范围、投资品种、投资比例</w:t>
      </w:r>
      <w:r>
        <w:rPr>
          <w:rFonts w:hint="eastAsia" w:ascii="宋体" w:hAnsi="宋体" w:eastAsia="宋体" w:cs="宋体"/>
          <w:color w:val="000000"/>
          <w:szCs w:val="21"/>
          <w:lang w:eastAsia="zh-CN"/>
        </w:rPr>
        <w:t>、</w:t>
      </w:r>
      <w:r>
        <w:rPr>
          <w:rFonts w:hint="eastAsia" w:ascii="Times New Roman" w:hAnsi="Times New Roman" w:eastAsia="宋体" w:cs="Times New Roman"/>
          <w:color w:val="000000"/>
          <w:lang w:val="en-US" w:eastAsia="zh-CN"/>
        </w:rPr>
        <w:t>产品风险评级</w:t>
      </w:r>
      <w:r>
        <w:rPr>
          <w:rFonts w:hint="eastAsia" w:ascii="宋体" w:hAnsi="宋体" w:eastAsia="宋体" w:cs="宋体"/>
          <w:color w:val="000000"/>
          <w:szCs w:val="21"/>
        </w:rPr>
        <w:t>及收益分配等内容进行调整，但应</w:t>
      </w:r>
      <w:r>
        <w:rPr>
          <w:rFonts w:hint="eastAsia" w:ascii="宋体" w:hAnsi="宋体" w:eastAsia="宋体" w:cs="宋体"/>
          <w:color w:val="000000"/>
          <w:szCs w:val="21"/>
          <w:lang w:val="en-US" w:eastAsia="zh-CN"/>
        </w:rPr>
        <w:t>至少</w:t>
      </w:r>
      <w:r>
        <w:rPr>
          <w:rFonts w:hint="eastAsia" w:ascii="宋体" w:hAnsi="宋体" w:eastAsia="宋体" w:cs="宋体"/>
          <w:color w:val="000000"/>
          <w:szCs w:val="21"/>
        </w:rPr>
        <w:t>提前</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个工作日在约定渠道向投资者进行信息披露。</w:t>
      </w:r>
      <w:r>
        <w:rPr>
          <w:rFonts w:hint="eastAsia" w:ascii="宋体" w:hAnsi="宋体" w:eastAsia="宋体" w:cs="宋体"/>
          <w:b/>
          <w:bCs/>
          <w:color w:val="000000"/>
          <w:szCs w:val="21"/>
        </w:rPr>
        <w:t>如投资者未按照公告进行赎回操作的，视为投资者同意接受该等调整并按其执行。</w:t>
      </w:r>
    </w:p>
    <w:p w14:paraId="5DA416E5">
      <w:pPr>
        <w:spacing w:line="360" w:lineRule="auto"/>
        <w:ind w:firstLine="420" w:firstLineChars="200"/>
        <w:rPr>
          <w:rFonts w:ascii="宋体" w:hAnsi="宋体" w:eastAsia="宋体" w:cs="宋体"/>
          <w:b/>
          <w:bCs/>
          <w:color w:val="000000"/>
          <w:szCs w:val="21"/>
        </w:rPr>
      </w:pPr>
      <w:r>
        <w:rPr>
          <w:rFonts w:hint="eastAsia" w:ascii="宋体" w:hAnsi="宋体" w:eastAsia="宋体" w:cs="宋体"/>
          <w:color w:val="000000"/>
          <w:szCs w:val="21"/>
        </w:rPr>
        <w:t>★（五）本理财产品存续期间，若因国家法律法规、监管规定发生变化，或出于维持本理财产品正常运营的需要，在不损害投资者利益的前提下，产品管理人有权单方面对本理财产品销售文件进行修订，并</w:t>
      </w:r>
      <w:r>
        <w:rPr>
          <w:rFonts w:hint="eastAsia" w:ascii="宋体" w:hAnsi="宋体" w:eastAsia="宋体" w:cs="宋体"/>
          <w:color w:val="000000"/>
          <w:szCs w:val="21"/>
          <w:lang w:val="en-US" w:eastAsia="zh-CN"/>
        </w:rPr>
        <w:t>至少</w:t>
      </w:r>
      <w:r>
        <w:rPr>
          <w:rFonts w:hint="eastAsia" w:ascii="宋体" w:hAnsi="宋体" w:eastAsia="宋体" w:cs="宋体"/>
          <w:color w:val="000000"/>
          <w:szCs w:val="21"/>
        </w:rPr>
        <w:t>提前1个工作日进行公告。</w:t>
      </w:r>
      <w:r>
        <w:rPr>
          <w:rFonts w:hint="eastAsia" w:ascii="宋体" w:hAnsi="宋体" w:eastAsia="宋体" w:cs="宋体"/>
          <w:b/>
          <w:bCs/>
          <w:color w:val="000000"/>
          <w:szCs w:val="21"/>
        </w:rPr>
        <w:t>投资者在此同意修订后的理财产品销售文件对投资者具有法律约束力。</w:t>
      </w:r>
    </w:p>
    <w:p w14:paraId="7B234F35">
      <w:pPr>
        <w:spacing w:line="360" w:lineRule="auto"/>
        <w:ind w:firstLine="422" w:firstLineChars="200"/>
        <w:outlineLvl w:val="0"/>
        <w:rPr>
          <w:rFonts w:ascii="宋体" w:hAnsi="宋体" w:eastAsia="宋体" w:cs="宋体"/>
          <w:b/>
          <w:color w:val="000000"/>
          <w:szCs w:val="21"/>
        </w:rPr>
      </w:pPr>
      <w:r>
        <w:rPr>
          <w:rFonts w:hint="eastAsia" w:ascii="宋体" w:hAnsi="宋体" w:eastAsia="宋体" w:cs="宋体"/>
          <w:b/>
          <w:color w:val="000000"/>
          <w:szCs w:val="21"/>
        </w:rPr>
        <w:t>十二、相关机构的概况</w:t>
      </w:r>
    </w:p>
    <w:p w14:paraId="15B4384F">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（一）产品托管机构的基本信息和主要职责</w:t>
      </w:r>
    </w:p>
    <w:p w14:paraId="6C24CA25">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1.产品托管</w:t>
      </w:r>
      <w:r>
        <w:rPr>
          <w:rFonts w:hint="eastAsia" w:ascii="宋体" w:hAnsi="宋体" w:eastAsia="宋体" w:cs="宋体"/>
          <w:color w:val="000000"/>
          <w:szCs w:val="21"/>
          <w:lang w:val="en-US" w:eastAsia="zh-CN"/>
        </w:rPr>
        <w:t>机构</w:t>
      </w:r>
      <w:r>
        <w:rPr>
          <w:rFonts w:hint="eastAsia" w:ascii="宋体" w:hAnsi="宋体" w:eastAsia="宋体" w:cs="宋体"/>
          <w:color w:val="000000"/>
          <w:szCs w:val="21"/>
        </w:rPr>
        <w:t>基本信息</w:t>
      </w:r>
    </w:p>
    <w:p w14:paraId="7225BF8D">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名称：北京银行股份有限公司</w:t>
      </w:r>
    </w:p>
    <w:p w14:paraId="0FC54ADF">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住所</w:t>
      </w:r>
      <w:r>
        <w:rPr>
          <w:rFonts w:hint="eastAsia" w:ascii="宋体" w:hAnsi="宋体" w:eastAsia="宋体" w:cs="宋体"/>
          <w:color w:val="000000"/>
          <w:szCs w:val="21"/>
        </w:rPr>
        <w:t>：北京市西城区金融大街甲17号首层</w:t>
      </w:r>
    </w:p>
    <w:p w14:paraId="41FDF7DA">
      <w:pPr>
        <w:spacing w:line="360" w:lineRule="auto"/>
        <w:ind w:firstLine="420" w:firstLineChars="200"/>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联系方式</w:t>
      </w:r>
      <w:r>
        <w:rPr>
          <w:rFonts w:hint="eastAsia" w:ascii="宋体" w:hAnsi="宋体" w:eastAsia="宋体" w:cs="宋体"/>
          <w:color w:val="000000"/>
          <w:szCs w:val="21"/>
        </w:rPr>
        <w:t>：</w:t>
      </w:r>
      <w:r>
        <w:rPr>
          <w:rFonts w:hint="eastAsia" w:ascii="宋体" w:hAnsi="宋体" w:eastAsia="宋体" w:cs="宋体"/>
          <w:color w:val="000000"/>
          <w:szCs w:val="21"/>
          <w:lang w:val="en-US" w:eastAsia="zh-CN"/>
        </w:rPr>
        <w:t>95526</w:t>
      </w:r>
    </w:p>
    <w:p w14:paraId="72AC8385">
      <w:pPr>
        <w:widowControl w:val="0"/>
        <w:spacing w:after="0" w:line="360" w:lineRule="auto"/>
        <w:ind w:left="0" w:leftChars="0" w:firstLine="420" w:firstLineChars="200"/>
        <w:jc w:val="both"/>
        <w:rPr>
          <w:rFonts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产品管理人在此特别披露：上述产品托管机构为产品管理人的关联方，产品管理人聘请其担任产品托管机构已履行了现行法律法规和监管规定所规定必须履行的程序,产品管理人、投资者同意并接受本理财产品由其托管。</w:t>
      </w:r>
    </w:p>
    <w:p w14:paraId="77A69494">
      <w:pPr>
        <w:spacing w:line="360" w:lineRule="auto"/>
        <w:ind w:firstLine="420" w:firstLineChars="200"/>
        <w:outlineLvl w:val="1"/>
        <w:rPr>
          <w:rFonts w:ascii="宋体" w:hAnsi="宋体" w:eastAsia="宋体" w:cs="宋体"/>
          <w:color w:val="000000"/>
          <w:szCs w:val="21"/>
        </w:rPr>
      </w:pPr>
      <w:r>
        <w:rPr>
          <w:rFonts w:hint="eastAsia" w:ascii="宋体" w:hAnsi="宋体" w:eastAsia="宋体" w:cs="宋体"/>
          <w:color w:val="000000"/>
          <w:szCs w:val="21"/>
        </w:rPr>
        <w:t>2.产品托管</w:t>
      </w:r>
      <w:r>
        <w:rPr>
          <w:rFonts w:hint="eastAsia" w:ascii="宋体" w:hAnsi="宋体" w:eastAsia="宋体" w:cs="宋体"/>
          <w:color w:val="000000"/>
          <w:szCs w:val="21"/>
          <w:lang w:val="en-US" w:eastAsia="zh-CN"/>
        </w:rPr>
        <w:t>机构</w:t>
      </w:r>
      <w:r>
        <w:rPr>
          <w:rFonts w:hint="eastAsia" w:ascii="宋体" w:hAnsi="宋体" w:eastAsia="宋体" w:cs="宋体"/>
          <w:color w:val="000000"/>
          <w:szCs w:val="21"/>
        </w:rPr>
        <w:t>主要职责</w:t>
      </w:r>
    </w:p>
    <w:p w14:paraId="021D556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（1）安全保管本理财产品财产；</w:t>
      </w:r>
    </w:p>
    <w:p w14:paraId="483446F8">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（2）为本理财产品开立银行托管账户、证券账户等；</w:t>
      </w:r>
    </w:p>
    <w:p w14:paraId="5F1AFBE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（3）确认与执行本理财产品资金划拨指令，办理本理财产品资金的收付，核对本理财产品资金划拨记录；</w:t>
      </w:r>
    </w:p>
    <w:p w14:paraId="04B01B44">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（4）建立与产品管理人的对账机制，复核本理财产品资产净值、</w:t>
      </w:r>
      <w:r>
        <w:rPr>
          <w:rFonts w:hint="eastAsia" w:ascii="宋体" w:hAnsi="宋体" w:eastAsia="宋体" w:cs="宋体"/>
          <w:color w:val="000000"/>
          <w:szCs w:val="21"/>
          <w:highlight w:val="none"/>
        </w:rPr>
        <w:t>认（申）购</w:t>
      </w:r>
      <w:r>
        <w:rPr>
          <w:rFonts w:hint="eastAsia" w:ascii="宋体" w:hAnsi="宋体" w:eastAsia="宋体" w:cs="宋体"/>
          <w:color w:val="000000"/>
          <w:szCs w:val="21"/>
          <w:lang w:val="en-US" w:eastAsia="zh-CN"/>
        </w:rPr>
        <w:t>和</w:t>
      </w:r>
      <w:r>
        <w:rPr>
          <w:rFonts w:hint="eastAsia" w:ascii="宋体" w:hAnsi="宋体" w:eastAsia="宋体" w:cs="宋体"/>
          <w:color w:val="000000"/>
          <w:szCs w:val="21"/>
        </w:rPr>
        <w:t>赎回价格</w:t>
      </w:r>
      <w:r>
        <w:rPr>
          <w:rFonts w:hint="eastAsia" w:ascii="宋体" w:hAnsi="宋体" w:eastAsia="宋体" w:cs="宋体"/>
          <w:color w:val="000000"/>
          <w:szCs w:val="21"/>
          <w:lang w:val="en-US" w:eastAsia="zh-CN"/>
        </w:rPr>
        <w:t>等数据</w:t>
      </w:r>
      <w:r>
        <w:rPr>
          <w:rFonts w:hint="eastAsia" w:ascii="宋体" w:hAnsi="宋体" w:eastAsia="宋体" w:cs="宋体"/>
          <w:color w:val="000000"/>
          <w:szCs w:val="21"/>
        </w:rPr>
        <w:t>，及时核查</w:t>
      </w:r>
      <w:r>
        <w:rPr>
          <w:rFonts w:hint="eastAsia" w:ascii="宋体" w:hAnsi="宋体" w:eastAsia="宋体" w:cs="宋体"/>
          <w:color w:val="000000"/>
          <w:szCs w:val="21"/>
          <w:highlight w:val="none"/>
        </w:rPr>
        <w:t>认（申）购</w:t>
      </w:r>
      <w:r>
        <w:rPr>
          <w:rFonts w:hint="eastAsia" w:ascii="宋体" w:hAnsi="宋体" w:eastAsia="宋体" w:cs="宋体"/>
          <w:color w:val="000000"/>
          <w:szCs w:val="21"/>
          <w:lang w:eastAsia="zh-CN"/>
        </w:rPr>
        <w:t>、</w:t>
      </w:r>
      <w:r>
        <w:rPr>
          <w:rFonts w:hint="eastAsia" w:ascii="宋体" w:hAnsi="宋体" w:eastAsia="宋体" w:cs="宋体"/>
          <w:color w:val="000000"/>
          <w:szCs w:val="21"/>
        </w:rPr>
        <w:t>赎回</w:t>
      </w:r>
      <w:r>
        <w:rPr>
          <w:rFonts w:hint="eastAsia" w:ascii="宋体" w:hAnsi="宋体" w:eastAsia="宋体" w:cs="宋体"/>
          <w:color w:val="000000"/>
          <w:szCs w:val="21"/>
          <w:lang w:val="en-US" w:eastAsia="zh-CN"/>
        </w:rPr>
        <w:t>以及</w:t>
      </w:r>
      <w:r>
        <w:rPr>
          <w:rFonts w:hint="eastAsia" w:ascii="宋体" w:hAnsi="宋体" w:eastAsia="宋体" w:cs="宋体"/>
          <w:color w:val="000000"/>
          <w:szCs w:val="21"/>
        </w:rPr>
        <w:t>投资资金的支付和到账情况；</w:t>
      </w:r>
    </w:p>
    <w:p w14:paraId="621A0F2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（5）监督本理财产品投资运作；</w:t>
      </w:r>
    </w:p>
    <w:p w14:paraId="5A0AA5D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（6）办理与本理财产品托管业务活动相关的信息披露事项</w:t>
      </w:r>
      <w:r>
        <w:rPr>
          <w:rFonts w:hint="eastAsia" w:ascii="宋体" w:hAnsi="宋体" w:eastAsia="宋体" w:cs="宋体"/>
          <w:color w:val="000000"/>
          <w:szCs w:val="21"/>
          <w:lang w:eastAsia="zh-CN"/>
        </w:rPr>
        <w:t>（</w:t>
      </w:r>
      <w:r>
        <w:rPr>
          <w:rFonts w:hint="eastAsia" w:ascii="宋体" w:hAnsi="宋体" w:eastAsia="宋体" w:cs="宋体"/>
          <w:color w:val="000000"/>
          <w:kern w:val="0"/>
          <w:sz w:val="21"/>
          <w:szCs w:val="21"/>
        </w:rPr>
        <w:t>包括</w:t>
      </w:r>
      <w:r>
        <w:rPr>
          <w:rFonts w:hint="eastAsia" w:ascii="宋体" w:hAnsi="宋体" w:eastAsia="宋体" w:cs="宋体"/>
          <w:color w:val="000000"/>
          <w:kern w:val="0"/>
          <w:sz w:val="21"/>
          <w:szCs w:val="21"/>
          <w:lang w:val="en-US" w:eastAsia="zh-CN"/>
        </w:rPr>
        <w:t>但不限于</w:t>
      </w:r>
      <w:r>
        <w:rPr>
          <w:rFonts w:hint="eastAsia" w:ascii="宋体" w:hAnsi="宋体" w:eastAsia="宋体" w:cs="宋体"/>
          <w:color w:val="000000"/>
          <w:kern w:val="0"/>
          <w:sz w:val="21"/>
          <w:szCs w:val="21"/>
        </w:rPr>
        <w:t>披露理财产品托管协议</w:t>
      </w:r>
      <w:r>
        <w:rPr>
          <w:rFonts w:hint="eastAsia" w:ascii="宋体" w:hAnsi="宋体" w:eastAsia="宋体" w:cs="宋体"/>
          <w:color w:val="000000"/>
          <w:kern w:val="0"/>
          <w:sz w:val="21"/>
          <w:szCs w:val="21"/>
          <w:lang w:val="en-US" w:eastAsia="zh-CN"/>
        </w:rPr>
        <w:t>等</w:t>
      </w:r>
      <w:r>
        <w:rPr>
          <w:rFonts w:hint="eastAsia" w:ascii="宋体" w:hAnsi="宋体" w:eastAsia="宋体" w:cs="宋体"/>
          <w:color w:val="000000"/>
          <w:szCs w:val="21"/>
          <w:lang w:eastAsia="zh-CN"/>
        </w:rPr>
        <w:t>）</w:t>
      </w:r>
      <w:r>
        <w:rPr>
          <w:rFonts w:hint="eastAsia" w:ascii="宋体" w:hAnsi="宋体" w:eastAsia="宋体" w:cs="宋体"/>
          <w:color w:val="000000"/>
          <w:szCs w:val="21"/>
        </w:rPr>
        <w:t>；</w:t>
      </w:r>
    </w:p>
    <w:p w14:paraId="581713B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（7）保存本理财产品托管业务活动的记录、账册、报表和其他相关材料；</w:t>
      </w:r>
    </w:p>
    <w:p w14:paraId="0E65F38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（8）对本理财产品投资信息和相关资料承担保密责任；</w:t>
      </w:r>
    </w:p>
    <w:p w14:paraId="153BB87A">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（9）法律法规规定、国务院银行业监督管理机构规定、产品管理人和托管机构另行签订的托管协议约定，以及本理财产品销售文件约定的其他职责。</w:t>
      </w:r>
    </w:p>
    <w:p w14:paraId="39B63A5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（二）产品销售机构的基本信息和主要职责</w:t>
      </w:r>
    </w:p>
    <w:p w14:paraId="154A8F2B">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产品</w:t>
      </w:r>
      <w:r>
        <w:rPr>
          <w:rFonts w:hint="eastAsia" w:ascii="宋体" w:hAnsi="宋体" w:eastAsia="宋体" w:cs="宋体"/>
          <w:color w:val="000000"/>
          <w:szCs w:val="21"/>
        </w:rPr>
        <w:t>销售机构基本信息</w:t>
      </w:r>
    </w:p>
    <w:p w14:paraId="14F555DC">
      <w:pPr>
        <w:spacing w:line="360" w:lineRule="auto"/>
        <w:ind w:firstLine="420" w:firstLineChars="200"/>
        <w:rPr>
          <w:rFonts w:ascii="宋体" w:hAnsi="宋体" w:eastAsia="宋体" w:cs="宋体"/>
          <w:bCs/>
          <w:color w:val="000000"/>
          <w:szCs w:val="21"/>
        </w:rPr>
      </w:pPr>
      <w:r>
        <w:rPr>
          <w:rFonts w:hint="eastAsia" w:ascii="宋体" w:hAnsi="宋体" w:eastAsia="宋体" w:cs="宋体"/>
          <w:bCs/>
          <w:color w:val="000000"/>
          <w:szCs w:val="21"/>
        </w:rPr>
        <w:t>B类份额：</w:t>
      </w:r>
    </w:p>
    <w:p w14:paraId="0052635B">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名称：温州银行股份有限公司（以下简称“温州银行”）</w:t>
      </w:r>
    </w:p>
    <w:p w14:paraId="3BA07739">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val="en-US" w:eastAsia="zh-CN"/>
        </w:rPr>
        <w:t>住所</w:t>
      </w:r>
      <w:r>
        <w:rPr>
          <w:rFonts w:hint="eastAsia" w:ascii="宋体" w:hAnsi="宋体" w:eastAsia="宋体" w:cs="宋体"/>
          <w:color w:val="000000"/>
          <w:szCs w:val="21"/>
        </w:rPr>
        <w:t>：温州市鹿城区会展路1316号温银大厦</w:t>
      </w:r>
    </w:p>
    <w:p w14:paraId="7C19AE10">
      <w:pPr>
        <w:widowControl w:val="0"/>
        <w:spacing w:after="0" w:line="360" w:lineRule="auto"/>
        <w:ind w:left="0" w:leftChars="0" w:firstLine="420"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联系方式：0577-96699</w:t>
      </w:r>
    </w:p>
    <w:p w14:paraId="43CC34EC">
      <w:pPr>
        <w:spacing w:line="360" w:lineRule="auto"/>
        <w:ind w:firstLine="420" w:firstLineChars="200"/>
        <w:outlineLvl w:val="2"/>
        <w:rPr>
          <w:rFonts w:ascii="宋体" w:hAnsi="宋体" w:eastAsia="宋体" w:cs="宋体"/>
          <w:color w:val="000000"/>
          <w:szCs w:val="21"/>
        </w:rPr>
      </w:pPr>
      <w:r>
        <w:rPr>
          <w:rFonts w:hint="eastAsia" w:ascii="宋体" w:hAnsi="宋体" w:eastAsia="宋体" w:cs="宋体"/>
          <w:color w:val="000000"/>
          <w:szCs w:val="21"/>
        </w:rPr>
        <w:t>2.</w:t>
      </w:r>
      <w:r>
        <w:rPr>
          <w:rFonts w:hint="eastAsia" w:ascii="宋体" w:hAnsi="宋体" w:eastAsia="宋体" w:cs="宋体"/>
          <w:color w:val="000000"/>
          <w:szCs w:val="21"/>
          <w:lang w:val="en-US" w:eastAsia="zh-CN"/>
        </w:rPr>
        <w:t>产品</w:t>
      </w:r>
      <w:r>
        <w:rPr>
          <w:rFonts w:hint="eastAsia" w:ascii="宋体" w:hAnsi="宋体" w:eastAsia="宋体" w:cs="宋体"/>
          <w:color w:val="000000"/>
          <w:szCs w:val="21"/>
        </w:rPr>
        <w:t>销售机构主要职责</w:t>
      </w:r>
    </w:p>
    <w:p w14:paraId="654B7FC0">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（1）宣传推介本理财产品；</w:t>
      </w:r>
    </w:p>
    <w:p w14:paraId="14548F75">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（2）为投资者办理产品认购、申购和赎回；</w:t>
      </w:r>
    </w:p>
    <w:p w14:paraId="7EA19DB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（3）在销售过程中对投资者进行身份识别和尽职调查；</w:t>
      </w:r>
    </w:p>
    <w:p w14:paraId="46443021">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（4）承担本理财产品的投资者适当性和销售适当性管理职责；</w:t>
      </w:r>
    </w:p>
    <w:p w14:paraId="499A5160">
      <w:pPr>
        <w:spacing w:line="360" w:lineRule="auto"/>
        <w:ind w:firstLine="420" w:firstLineChars="200"/>
        <w:rPr>
          <w:rFonts w:hint="eastAsia" w:ascii="宋体" w:hAnsi="宋体" w:eastAsia="宋体" w:cs="宋体"/>
          <w:color w:val="000000"/>
          <w:szCs w:val="21"/>
          <w:lang w:val="en-US" w:eastAsia="zh-CN"/>
        </w:rPr>
      </w:pPr>
      <w:r>
        <w:rPr>
          <w:rFonts w:hint="eastAsia" w:ascii="宋体" w:hAnsi="宋体" w:eastAsia="宋体" w:cs="宋体"/>
          <w:color w:val="000000"/>
          <w:szCs w:val="21"/>
        </w:rPr>
        <w:t>（5）办理与产品销售活动相关的信息披露事项</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并及时向投资者告知或提供本理财产品相关信息。</w:t>
      </w:r>
    </w:p>
    <w:p w14:paraId="01612D63">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6</w:t>
      </w:r>
      <w:r>
        <w:rPr>
          <w:rFonts w:hint="eastAsia" w:ascii="宋体" w:hAnsi="宋体" w:eastAsia="宋体" w:cs="宋体"/>
          <w:color w:val="000000"/>
          <w:szCs w:val="21"/>
          <w:lang w:eastAsia="zh-CN"/>
        </w:rPr>
        <w:t>）</w:t>
      </w:r>
      <w:r>
        <w:rPr>
          <w:rFonts w:hint="eastAsia" w:ascii="宋体" w:hAnsi="宋体" w:eastAsia="宋体" w:cs="宋体"/>
          <w:color w:val="000000"/>
          <w:szCs w:val="21"/>
        </w:rPr>
        <w:t>法律法规规定、国务院银行业监督管理机构规定、产品管理人和代销机构另行签订的代理销售合作协议约定（如涉及），以及本理财产品销售文件约定的其他职责。</w:t>
      </w:r>
    </w:p>
    <w:p w14:paraId="2F6A61EF">
      <w:pPr>
        <w:widowControl w:val="0"/>
        <w:spacing w:before="120" w:after="120"/>
        <w:jc w:val="left"/>
        <w:rPr>
          <w:rFonts w:hint="eastAsia" w:ascii="宋体" w:hAnsi="宋体" w:eastAsia="宋体" w:cs="宋体"/>
          <w:color w:val="000000"/>
          <w:kern w:val="2"/>
          <w:sz w:val="21"/>
          <w:szCs w:val="21"/>
          <w:lang w:val="en-US" w:eastAsia="zh-CN" w:bidi="ar-SA"/>
        </w:rPr>
      </w:pPr>
    </w:p>
    <w:p w14:paraId="57B19BDB">
      <w:pPr>
        <w:jc w:val="left"/>
        <w:rPr>
          <w:rFonts w:hint="eastAsia" w:ascii="宋体" w:hAnsi="宋体" w:eastAsia="宋体" w:cs="宋体"/>
          <w:color w:val="000000"/>
          <w:sz w:val="21"/>
          <w:szCs w:val="21"/>
        </w:rPr>
      </w:pPr>
    </w:p>
    <w:p w14:paraId="711DF6A9">
      <w:pPr>
        <w:jc w:val="left"/>
        <w:rPr>
          <w:rFonts w:hint="eastAsia" w:ascii="宋体" w:hAnsi="宋体" w:eastAsia="宋体" w:cs="宋体"/>
          <w:color w:val="000000"/>
          <w:sz w:val="21"/>
          <w:szCs w:val="21"/>
        </w:rPr>
      </w:pPr>
    </w:p>
    <w:p w14:paraId="281F3964">
      <w:pPr>
        <w:jc w:val="left"/>
        <w:rPr>
          <w:rFonts w:hint="eastAsia" w:ascii="宋体" w:hAnsi="宋体" w:eastAsia="宋体" w:cs="宋体"/>
          <w:color w:val="000000"/>
          <w:sz w:val="21"/>
          <w:szCs w:val="21"/>
        </w:rPr>
      </w:pPr>
    </w:p>
    <w:p w14:paraId="0DBA84F3">
      <w:pPr>
        <w:jc w:val="left"/>
        <w:rPr>
          <w:rFonts w:hint="eastAsia" w:ascii="宋体" w:hAnsi="宋体" w:eastAsia="宋体" w:cs="宋体"/>
          <w:color w:val="000000"/>
          <w:sz w:val="21"/>
          <w:szCs w:val="21"/>
        </w:rPr>
      </w:pPr>
    </w:p>
    <w:p w14:paraId="1CCC835E">
      <w:pPr>
        <w:jc w:val="left"/>
        <w:rPr>
          <w:rFonts w:hint="eastAsia" w:ascii="宋体" w:hAnsi="宋体" w:eastAsia="宋体" w:cs="宋体"/>
          <w:color w:val="000000"/>
          <w:sz w:val="21"/>
          <w:szCs w:val="21"/>
        </w:rPr>
      </w:pPr>
    </w:p>
    <w:p w14:paraId="48DB06AE">
      <w:pPr>
        <w:jc w:val="left"/>
        <w:rPr>
          <w:rFonts w:hint="eastAsia" w:ascii="宋体" w:hAnsi="宋体" w:eastAsia="宋体" w:cs="宋体"/>
          <w:color w:val="000000"/>
          <w:sz w:val="21"/>
          <w:szCs w:val="21"/>
        </w:rPr>
      </w:pPr>
    </w:p>
    <w:p w14:paraId="3DC2FFBE">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（以下无正文，为《</w:t>
      </w:r>
      <w:r>
        <w:rPr>
          <w:rFonts w:hint="eastAsia" w:ascii="宋体" w:hAnsi="宋体" w:eastAsia="宋体" w:cs="宋体"/>
          <w:color w:val="000000"/>
          <w:szCs w:val="21"/>
        </w:rPr>
        <w:t>理财产品</w:t>
      </w:r>
      <w:r>
        <w:rPr>
          <w:rFonts w:hint="eastAsia" w:ascii="宋体" w:hAnsi="宋体" w:eastAsia="宋体" w:cs="宋体"/>
          <w:color w:val="000000"/>
          <w:szCs w:val="21"/>
          <w:lang w:val="en-US" w:eastAsia="zh-CN"/>
        </w:rPr>
        <w:t>说明书</w:t>
      </w:r>
      <w:r>
        <w:rPr>
          <w:rFonts w:hint="eastAsia" w:ascii="宋体" w:hAnsi="宋体" w:eastAsia="宋体" w:cs="宋体"/>
          <w:color w:val="000000"/>
          <w:sz w:val="21"/>
          <w:szCs w:val="21"/>
        </w:rPr>
        <w:t>》签署</w:t>
      </w:r>
      <w:r>
        <w:rPr>
          <w:rFonts w:hint="eastAsia" w:ascii="宋体" w:hAnsi="宋体" w:eastAsia="宋体" w:cs="宋体"/>
          <w:color w:val="000000"/>
          <w:sz w:val="21"/>
          <w:szCs w:val="21"/>
          <w:lang w:val="en-US" w:eastAsia="zh-CN"/>
        </w:rPr>
        <w:t>栏</w:t>
      </w:r>
      <w:r>
        <w:rPr>
          <w:rFonts w:hint="eastAsia" w:ascii="宋体" w:hAnsi="宋体" w:eastAsia="宋体" w:cs="宋体"/>
          <w:color w:val="000000"/>
          <w:sz w:val="21"/>
          <w:szCs w:val="21"/>
        </w:rPr>
        <w:t>）</w:t>
      </w:r>
    </w:p>
    <w:p w14:paraId="3DE06448">
      <w:pPr>
        <w:spacing w:line="360" w:lineRule="auto"/>
        <w:ind w:firstLine="3990" w:firstLineChars="1900"/>
        <w:rPr>
          <w:rFonts w:ascii="宋体" w:hAnsi="宋体" w:eastAsia="宋体" w:cs="宋体"/>
          <w:color w:val="000000"/>
          <w:szCs w:val="21"/>
        </w:rPr>
      </w:pPr>
    </w:p>
    <w:p w14:paraId="69B0F3F0">
      <w:pPr>
        <w:widowControl w:val="0"/>
        <w:spacing w:after="0"/>
        <w:ind w:left="420" w:leftChars="200" w:firstLine="360"/>
        <w:jc w:val="both"/>
        <w:rPr>
          <w:rFonts w:ascii="Times New Roman" w:hAnsi="Times New Roman" w:eastAsia="宋体" w:cs="Times New Roman"/>
          <w:color w:val="000000"/>
          <w:kern w:val="2"/>
          <w:sz w:val="21"/>
          <w:szCs w:val="21"/>
          <w:lang w:val="en-US" w:eastAsia="zh-CN" w:bidi="ar-SA"/>
        </w:rPr>
      </w:pPr>
    </w:p>
    <w:p w14:paraId="70EC4707">
      <w:pPr>
        <w:spacing w:line="360" w:lineRule="auto"/>
        <w:ind w:firstLine="3990" w:firstLineChars="1900"/>
        <w:rPr>
          <w:rFonts w:ascii="宋体" w:hAnsi="宋体" w:eastAsia="宋体" w:cs="宋体"/>
          <w:color w:val="000000"/>
          <w:szCs w:val="21"/>
        </w:rPr>
      </w:pPr>
      <w:r>
        <w:rPr>
          <w:rFonts w:hint="eastAsia" w:ascii="宋体" w:hAnsi="宋体" w:eastAsia="宋体" w:cs="宋体"/>
          <w:color w:val="000000"/>
          <w:szCs w:val="21"/>
        </w:rPr>
        <w:t>个人投资者（签名）：</w:t>
      </w:r>
    </w:p>
    <w:p w14:paraId="23775AE9">
      <w:pPr>
        <w:spacing w:line="360" w:lineRule="auto"/>
        <w:ind w:firstLine="5460" w:firstLineChars="2600"/>
        <w:rPr>
          <w:rFonts w:ascii="宋体" w:hAnsi="宋体" w:eastAsia="宋体" w:cs="宋体"/>
          <w:color w:val="000000"/>
          <w:szCs w:val="21"/>
        </w:rPr>
      </w:pPr>
      <w:r>
        <w:rPr>
          <w:rFonts w:hint="eastAsia" w:ascii="宋体" w:hAnsi="宋体" w:eastAsia="宋体" w:cs="宋体"/>
          <w:color w:val="000000"/>
          <w:szCs w:val="21"/>
        </w:rPr>
        <w:t>日期：</w:t>
      </w:r>
    </w:p>
    <w:p w14:paraId="7BAFB8B1">
      <w:pPr>
        <w:widowControl w:val="0"/>
        <w:spacing w:after="0" w:line="360" w:lineRule="auto"/>
        <w:ind w:left="420" w:leftChars="200" w:firstLine="360"/>
        <w:jc w:val="both"/>
        <w:rPr>
          <w:rFonts w:ascii="Times New Roman" w:hAnsi="Times New Roman" w:eastAsia="宋体" w:cs="Times New Roman"/>
          <w:color w:val="000000"/>
          <w:kern w:val="2"/>
          <w:sz w:val="21"/>
          <w:szCs w:val="21"/>
          <w:lang w:val="en-US" w:eastAsia="zh-CN" w:bidi="ar-SA"/>
        </w:rPr>
      </w:pPr>
    </w:p>
    <w:p w14:paraId="741F2CF7">
      <w:pPr>
        <w:spacing w:line="360" w:lineRule="auto"/>
        <w:ind w:firstLine="3990" w:firstLineChars="1900"/>
        <w:rPr>
          <w:rFonts w:ascii="宋体" w:hAnsi="宋体" w:eastAsia="宋体" w:cs="宋体"/>
          <w:color w:val="000000"/>
          <w:szCs w:val="21"/>
        </w:rPr>
      </w:pPr>
      <w:r>
        <w:rPr>
          <w:rFonts w:hint="eastAsia" w:ascii="宋体" w:hAnsi="宋体" w:eastAsia="宋体" w:cs="宋体"/>
          <w:color w:val="000000"/>
          <w:szCs w:val="21"/>
        </w:rPr>
        <w:t>机构投资者（盖章）：</w:t>
      </w:r>
    </w:p>
    <w:p w14:paraId="6A6AD359">
      <w:pPr>
        <w:spacing w:line="360" w:lineRule="auto"/>
        <w:rPr>
          <w:rFonts w:ascii="宋体" w:hAnsi="宋体" w:eastAsia="宋体" w:cs="宋体"/>
          <w:color w:val="000000"/>
          <w:szCs w:val="21"/>
        </w:rPr>
      </w:pPr>
      <w:r>
        <w:rPr>
          <w:rFonts w:hint="eastAsia" w:ascii="宋体" w:hAnsi="宋体" w:eastAsia="宋体" w:cs="宋体"/>
          <w:color w:val="000000"/>
          <w:szCs w:val="21"/>
        </w:rPr>
        <w:t>机构投资者法定代表人（或负责人）或授权代表（签名或盖章）：</w:t>
      </w:r>
    </w:p>
    <w:p w14:paraId="1BFFE0EF">
      <w:pPr>
        <w:spacing w:line="360" w:lineRule="auto"/>
        <w:ind w:firstLine="5460" w:firstLineChars="2600"/>
        <w:jc w:val="left"/>
        <w:rPr>
          <w:rFonts w:ascii="宋体" w:hAnsi="宋体" w:eastAsia="宋体" w:cs="宋体"/>
          <w:b/>
          <w:bCs/>
          <w:color w:val="000000"/>
          <w:szCs w:val="21"/>
        </w:rPr>
      </w:pPr>
      <w:r>
        <w:rPr>
          <w:rFonts w:hint="eastAsia" w:ascii="宋体" w:hAnsi="宋体" w:eastAsia="宋体" w:cs="宋体"/>
          <w:color w:val="000000"/>
          <w:szCs w:val="21"/>
        </w:rPr>
        <w:t>日期：</w:t>
      </w:r>
    </w:p>
    <w:p w14:paraId="45DE8A45">
      <w:pPr>
        <w:spacing w:line="360" w:lineRule="auto"/>
        <w:rPr>
          <w:rFonts w:ascii="宋体" w:hAnsi="宋体" w:eastAsia="宋体" w:cs="宋体"/>
          <w:color w:val="000000"/>
          <w:szCs w:val="21"/>
        </w:rPr>
      </w:pPr>
    </w:p>
    <w:p w14:paraId="660FEDA8"/>
    <w:sectPr>
      <w:headerReference r:id="rId3" w:type="default"/>
      <w:footerReference r:id="rId4" w:type="default"/>
      <w:footerReference r:id="rId5"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eastAsia="宋体" w:cs="Times New Roman"/>
        <w:kern w:val="2"/>
        <w:sz w:val="21"/>
        <w:szCs w:val="24"/>
        <w:lang w:val="en-US" w:eastAsia="zh-CN" w:bidi="ar-SA"/>
      </w:rPr>
      <w:id w:val="4123877"/>
    </w:sdtPr>
    <w:sdtEndPr>
      <w:rPr>
        <w:rFonts w:ascii="Times New Roman" w:hAnsi="Times New Roman" w:eastAsia="宋体" w:cs="Times New Roman"/>
        <w:kern w:val="2"/>
        <w:sz w:val="18"/>
        <w:szCs w:val="18"/>
        <w:lang w:val="en-US" w:eastAsia="zh-CN" w:bidi="ar-SA"/>
      </w:rPr>
    </w:sdtEndPr>
    <w:sdtContent>
      <w:sdt>
        <w:sdtPr>
          <w:rPr>
            <w:rFonts w:ascii="Times New Roman" w:hAnsi="Times New Roman" w:eastAsia="宋体" w:cs="Times New Roman"/>
            <w:kern w:val="2"/>
            <w:sz w:val="21"/>
            <w:szCs w:val="24"/>
            <w:lang w:val="en-US" w:eastAsia="zh-CN" w:bidi="ar-SA"/>
          </w:rPr>
          <w:id w:val="171357217"/>
        </w:sdtPr>
        <w:sdtEndPr>
          <w:rPr>
            <w:rFonts w:ascii="Times New Roman" w:hAnsi="Times New Roman" w:eastAsia="宋体" w:cs="Times New Roman"/>
            <w:kern w:val="2"/>
            <w:sz w:val="18"/>
            <w:szCs w:val="18"/>
            <w:lang w:val="en-US" w:eastAsia="zh-CN" w:bidi="ar-SA"/>
          </w:rPr>
        </w:sdtEndPr>
        <w:sdtContent>
          <w:p w14:paraId="73D5B736">
            <w:pPr>
              <w:widowControl w:val="0"/>
              <w:tabs>
                <w:tab w:val="center" w:pos="4153"/>
                <w:tab w:val="right" w:pos="8306"/>
              </w:tabs>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zh-CN" w:eastAsia="zh-CN" w:bidi="ar-SA"/>
              </w:rPr>
              <w:t xml:space="preserve"> </w:t>
            </w:r>
            <w:r>
              <w:rPr>
                <w:rFonts w:ascii="Times New Roman" w:hAnsi="Times New Roman" w:eastAsia="宋体" w:cs="Times New Roman"/>
                <w:b/>
                <w:kern w:val="2"/>
                <w:sz w:val="24"/>
                <w:szCs w:val="24"/>
                <w:lang w:val="en-US" w:eastAsia="zh-CN" w:bidi="ar-SA"/>
              </w:rPr>
              <w:fldChar w:fldCharType="begin"/>
            </w:r>
            <w:r>
              <w:rPr>
                <w:rFonts w:ascii="Times New Roman" w:hAnsi="Times New Roman" w:eastAsia="宋体" w:cs="Times New Roman"/>
                <w:b/>
                <w:kern w:val="2"/>
                <w:sz w:val="18"/>
                <w:szCs w:val="18"/>
                <w:lang w:val="en-US" w:eastAsia="zh-CN" w:bidi="ar-SA"/>
              </w:rPr>
              <w:instrText xml:space="preserve">PAGE</w:instrText>
            </w:r>
            <w:r>
              <w:rPr>
                <w:rFonts w:ascii="Times New Roman" w:hAnsi="Times New Roman" w:eastAsia="宋体" w:cs="Times New Roman"/>
                <w:b/>
                <w:kern w:val="2"/>
                <w:sz w:val="24"/>
                <w:szCs w:val="24"/>
                <w:lang w:val="en-US" w:eastAsia="zh-CN" w:bidi="ar-SA"/>
              </w:rPr>
              <w:fldChar w:fldCharType="separate"/>
            </w:r>
            <w:r>
              <w:rPr>
                <w:rFonts w:ascii="Times New Roman" w:hAnsi="Times New Roman" w:eastAsia="宋体" w:cs="Times New Roman"/>
                <w:b/>
                <w:kern w:val="2"/>
                <w:sz w:val="18"/>
                <w:szCs w:val="18"/>
                <w:lang w:val="en-US" w:eastAsia="zh-CN" w:bidi="ar-SA"/>
              </w:rPr>
              <w:t>36</w:t>
            </w:r>
            <w:r>
              <w:rPr>
                <w:rFonts w:ascii="Times New Roman" w:hAnsi="Times New Roman" w:eastAsia="宋体" w:cs="Times New Roman"/>
                <w:b/>
                <w:kern w:val="2"/>
                <w:sz w:val="24"/>
                <w:szCs w:val="24"/>
                <w:lang w:val="en-US" w:eastAsia="zh-CN" w:bidi="ar-SA"/>
              </w:rPr>
              <w:fldChar w:fldCharType="end"/>
            </w:r>
            <w:r>
              <w:rPr>
                <w:rFonts w:ascii="Times New Roman" w:hAnsi="Times New Roman" w:eastAsia="宋体" w:cs="Times New Roman"/>
                <w:kern w:val="2"/>
                <w:sz w:val="18"/>
                <w:szCs w:val="18"/>
                <w:lang w:val="zh-CN" w:eastAsia="zh-CN" w:bidi="ar-SA"/>
              </w:rPr>
              <w:t xml:space="preserve"> / </w:t>
            </w:r>
            <w:r>
              <w:rPr>
                <w:rFonts w:ascii="Times New Roman" w:hAnsi="Times New Roman" w:eastAsia="宋体" w:cs="Times New Roman"/>
                <w:b/>
                <w:kern w:val="2"/>
                <w:sz w:val="24"/>
                <w:szCs w:val="24"/>
                <w:lang w:val="en-US" w:eastAsia="zh-CN" w:bidi="ar-SA"/>
              </w:rPr>
              <w:fldChar w:fldCharType="begin"/>
            </w:r>
            <w:r>
              <w:rPr>
                <w:rFonts w:ascii="Times New Roman" w:hAnsi="Times New Roman" w:eastAsia="宋体" w:cs="Times New Roman"/>
                <w:b/>
                <w:kern w:val="2"/>
                <w:sz w:val="18"/>
                <w:szCs w:val="18"/>
                <w:lang w:val="en-US" w:eastAsia="zh-CN" w:bidi="ar-SA"/>
              </w:rPr>
              <w:instrText xml:space="preserve">NUMPAGES</w:instrText>
            </w:r>
            <w:r>
              <w:rPr>
                <w:rFonts w:ascii="Times New Roman" w:hAnsi="Times New Roman" w:eastAsia="宋体" w:cs="Times New Roman"/>
                <w:b/>
                <w:kern w:val="2"/>
                <w:sz w:val="24"/>
                <w:szCs w:val="24"/>
                <w:lang w:val="en-US" w:eastAsia="zh-CN" w:bidi="ar-SA"/>
              </w:rPr>
              <w:fldChar w:fldCharType="separate"/>
            </w:r>
            <w:r>
              <w:rPr>
                <w:rFonts w:ascii="Times New Roman" w:hAnsi="Times New Roman" w:eastAsia="宋体" w:cs="Times New Roman"/>
                <w:b/>
                <w:kern w:val="2"/>
                <w:sz w:val="18"/>
                <w:szCs w:val="18"/>
                <w:lang w:val="en-US" w:eastAsia="zh-CN" w:bidi="ar-SA"/>
              </w:rPr>
              <w:t>44</w:t>
            </w:r>
            <w:r>
              <w:rPr>
                <w:rFonts w:ascii="Times New Roman" w:hAnsi="Times New Roman" w:eastAsia="宋体" w:cs="Times New Roman"/>
                <w:b/>
                <w:kern w:val="2"/>
                <w:sz w:val="24"/>
                <w:szCs w:val="24"/>
                <w:lang w:val="en-US" w:eastAsia="zh-CN" w:bidi="ar-SA"/>
              </w:rPr>
              <w:fldChar w:fldCharType="end"/>
            </w:r>
          </w:p>
        </w:sdtContent>
      </w:sdt>
    </w:sdtContent>
  </w:sdt>
  <w:p w14:paraId="67DB9063">
    <w:pPr>
      <w:widowControl w:val="0"/>
      <w:tabs>
        <w:tab w:val="center" w:pos="4153"/>
        <w:tab w:val="right" w:pos="8306"/>
      </w:tabs>
      <w:snapToGrid w:val="0"/>
      <w:jc w:val="center"/>
      <w:rPr>
        <w:rFonts w:ascii="Times New Roman" w:hAnsi="Times New Roman" w:eastAsia="宋体" w:cs="Times New Roman"/>
        <w:kern w:val="2"/>
        <w:sz w:val="21"/>
        <w:szCs w:val="21"/>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07555">
    <w:pPr>
      <w:framePr w:wrap="around" w:vAnchor="text" w:hAnchor="margin" w:xAlign="center" w:y="1"/>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end"/>
    </w:r>
  </w:p>
  <w:p w14:paraId="3213068E">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F7B8A">
    <w:pPr>
      <w:rPr>
        <w:rFonts w:ascii="Times New Roman" w:hAnsi="Times New Roman" w:eastAsia="宋体" w:cs="Times New Roman"/>
        <w:b/>
        <w:u w:val="single"/>
      </w:rPr>
    </w:pPr>
    <w:r>
      <w:rPr>
        <w:rFonts w:hint="eastAsia" w:ascii="黑体" w:hAnsi="黑体" w:eastAsia="黑体" w:cs="Times New Roman"/>
        <w:b/>
      </w:rPr>
      <w:t>北银理财·</w:t>
    </w:r>
    <w:r>
      <w:rPr>
        <w:rFonts w:hint="eastAsia" w:ascii="黑体" w:hAnsi="黑体" w:eastAsia="黑体" w:cs="Times New Roman"/>
        <w:b/>
        <w:color w:val="auto"/>
      </w:rPr>
      <w:t>春系列易淘金</w:t>
    </w:r>
    <w:r>
      <w:rPr>
        <w:rFonts w:hint="eastAsia" w:ascii="黑体" w:hAnsi="黑体" w:eastAsia="黑体" w:cs="Times New Roman"/>
        <w:b/>
        <w:color w:val="FF0000"/>
      </w:rPr>
      <w:t xml:space="preserve"> </w:t>
    </w:r>
    <w:r>
      <w:rPr>
        <w:rFonts w:hint="eastAsia" w:ascii="黑体" w:hAnsi="黑体" w:eastAsia="黑体" w:cs="Times New Roman"/>
        <w:b/>
      </w:rPr>
      <w:t xml:space="preserve">     </w:t>
    </w:r>
    <w:r>
      <w:rPr>
        <w:rFonts w:hint="eastAsia" w:ascii="黑体" w:hAnsi="黑体" w:eastAsia="黑体" w:cs="Times New Roman"/>
        <w:b/>
        <w:sz w:val="24"/>
        <w:szCs w:val="32"/>
      </w:rPr>
      <w:t>理财非存款，产品有风险，投资须谨慎！</w:t>
    </w:r>
    <w:r>
      <w:rPr>
        <w:rFonts w:ascii="Times New Roman" w:hAnsi="Times New Roman" w:eastAsia="宋体" w:cs="Times New Roman"/>
        <w:b/>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lZmE2YTQ5MzUyMTdmNzc3MjYyMjQ4YTNmNWFlZWYifQ=="/>
  </w:docVars>
  <w:rsids>
    <w:rsidRoot w:val="00000000"/>
    <w:rsid w:val="1A2731AC"/>
    <w:rsid w:val="1EBA70F8"/>
    <w:rsid w:val="249E397E"/>
    <w:rsid w:val="2E497DF1"/>
    <w:rsid w:val="2F335B8C"/>
    <w:rsid w:val="36ED04AD"/>
    <w:rsid w:val="398C67A3"/>
    <w:rsid w:val="45D24FEE"/>
    <w:rsid w:val="4DE72DDF"/>
    <w:rsid w:val="56BC4ADC"/>
    <w:rsid w:val="61D77361"/>
    <w:rsid w:val="6D975883"/>
    <w:rsid w:val="775A1C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uiPriority w:val="0"/>
    <w:pPr>
      <w:keepNext w:val="0"/>
      <w:keepLines w:val="0"/>
      <w:widowControl w:val="0"/>
      <w:suppressLineNumbers w:val="0"/>
      <w:spacing w:before="120" w:beforeAutospacing="0" w:after="120" w:afterAutospacing="0"/>
      <w:jc w:val="both"/>
    </w:pPr>
    <w:rPr>
      <w:rFonts w:hint="default" w:ascii="Times New Roman" w:hAnsi="Times New Roman" w:eastAsia="宋体" w:cs="Times New Roman"/>
      <w:kern w:val="2"/>
      <w:sz w:val="21"/>
      <w:szCs w:val="21"/>
      <w:lang w:val="en-US" w:eastAsia="zh-CN" w:bidi="ar"/>
    </w:rPr>
  </w:style>
  <w:style w:type="paragraph" w:styleId="3">
    <w:name w:val="Body Text First Indent 2"/>
    <w:next w:val="2"/>
    <w:uiPriority w:val="0"/>
    <w:pPr>
      <w:keepNext w:val="0"/>
      <w:keepLines w:val="0"/>
      <w:widowControl w:val="0"/>
      <w:suppressLineNumbers w:val="0"/>
      <w:spacing w:after="0" w:afterAutospacing="0"/>
      <w:ind w:left="360" w:leftChars="200" w:firstLine="360"/>
      <w:jc w:val="both"/>
    </w:pPr>
    <w:rPr>
      <w:rFonts w:hint="default" w:ascii="Times New Roman" w:hAnsi="Times New Roman" w:eastAsia="宋体" w:cs="Times New Roman"/>
      <w:kern w:val="2"/>
      <w:sz w:val="21"/>
      <w:szCs w:val="21"/>
      <w:lang w:val="en-US" w:eastAsia="zh-CN" w:bidi="ar"/>
    </w:rPr>
  </w:style>
  <w:style w:type="character" w:styleId="6">
    <w:name w:val="Hyperlink"/>
    <w:basedOn w:val="5"/>
    <w:qFormat/>
    <w:uiPriority w:val="0"/>
    <w:rPr>
      <w:color w:val="0000FF"/>
      <w:u w:val="single"/>
    </w:rPr>
  </w:style>
  <w:style w:type="character" w:customStyle="1" w:styleId="7">
    <w:name w:val="15"/>
    <w:basedOn w:val="5"/>
    <w:uiPriority w:val="0"/>
    <w:rPr>
      <w:rFonts w:hint="default" w:ascii="Calibri" w:hAnsi="Calibri" w:cs="Calibri"/>
      <w:color w:val="0000FF"/>
      <w:u w:val="single"/>
    </w:rPr>
  </w:style>
  <w:style w:type="paragraph" w:customStyle="1" w:styleId="8">
    <w:name w:val="Default"/>
    <w:basedOn w:val="1"/>
    <w:qFormat/>
    <w:uiPriority w:val="0"/>
    <w:pPr>
      <w:keepNext w:val="0"/>
      <w:keepLines w:val="0"/>
      <w:widowControl w:val="0"/>
      <w:suppressLineNumbers w:val="0"/>
      <w:autoSpaceDE w:val="0"/>
      <w:autoSpaceDN w:val="0"/>
      <w:adjustRightInd w:val="0"/>
      <w:spacing w:before="0" w:beforeAutospacing="0" w:after="0" w:afterAutospacing="0"/>
      <w:ind w:left="0" w:right="0"/>
      <w:jc w:val="left"/>
    </w:pPr>
    <w:rPr>
      <w:rFonts w:hint="default" w:ascii="仿宋_GB2312" w:hAnsi="Calibri" w:eastAsia="仿宋_GB2312" w:cs="仿宋_GB2312"/>
      <w:color w:val="000000"/>
      <w:kern w:val="0"/>
      <w:sz w:val="24"/>
      <w:szCs w:val="24"/>
      <w:lang w:val="en-US" w:eastAsia="zh-CN" w:bidi="ar"/>
    </w:rPr>
  </w:style>
  <w:style w:type="character" w:customStyle="1" w:styleId="9">
    <w:name w:val="10"/>
    <w:basedOn w:val="5"/>
    <w:qFormat/>
    <w:uiPriority w:val="0"/>
    <w:rPr>
      <w:rFonts w:hint="default" w:ascii="Calibri" w:hAnsi="Calibri" w:cs="Calibri"/>
    </w:rPr>
  </w:style>
  <w:style w:type="character" w:customStyle="1" w:styleId="10">
    <w:name w:val="16"/>
    <w:basedOn w:val="5"/>
    <w:uiPriority w:val="0"/>
    <w:rPr>
      <w:rFonts w:hint="default" w:ascii="Calibri" w:hAnsi="Calibri" w:cs="Calibri"/>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0</Words>
  <Characters>0</Characters>
  <Lines>1</Lines>
  <Paragraphs>1</Paragraphs>
  <TotalTime>4</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2026-05-08T06:35:00Z</dcterms:created>
  <dc:creator>Administrator</dc:creator>
  <cp:lastModifiedBy>00031</cp:lastModifiedBy>
  <dcterms:modified xsi:type="dcterms:W3CDTF">2026-05-08T10:15:51Z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2954212DED9B44E198FD7FFF325BD6DA</vt:lpwstr>
  </property>
</Properties>
</file>