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A8F173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right="0" w:rightChars="0"/>
        <w:jc w:val="center"/>
        <w:textAlignment w:val="auto"/>
        <w:outlineLvl w:val="9"/>
        <w:rPr>
          <w:rFonts w:hint="eastAsia" w:ascii="宋体" w:hAnsi="宋体"/>
          <w:b/>
          <w:sz w:val="28"/>
          <w:szCs w:val="28"/>
          <w:lang w:val="en-US" w:eastAsia="zh-CN"/>
        </w:rPr>
      </w:pPr>
      <w:bookmarkStart w:id="0" w:name="_GoBack"/>
      <w:bookmarkEnd w:id="0"/>
      <w:r>
        <w:rPr>
          <w:rFonts w:hint="eastAsia" w:ascii="宋体" w:hAnsi="宋体"/>
          <w:b/>
          <w:sz w:val="28"/>
          <w:szCs w:val="28"/>
        </w:rPr>
        <w:t>关于</w:t>
      </w:r>
      <w:r>
        <w:rPr>
          <w:rFonts w:hint="eastAsia" w:ascii="宋体" w:hAnsi="宋体"/>
          <w:b/>
          <w:sz w:val="28"/>
          <w:szCs w:val="28"/>
          <w:lang w:val="en-US" w:eastAsia="zh-CN"/>
        </w:rPr>
        <w:t>北银理财京华远见春系列易淘金2号现金管理类理财产品</w:t>
      </w:r>
    </w:p>
    <w:p w14:paraId="212422B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right="0" w:rightChars="0"/>
        <w:jc w:val="center"/>
        <w:textAlignment w:val="auto"/>
        <w:outlineLvl w:val="9"/>
        <w:rPr>
          <w:rFonts w:hint="eastAsia" w:ascii="宋体" w:hAnsi="宋体" w:eastAsia="宋体" w:cs="Times New Roman"/>
          <w:b/>
          <w:sz w:val="28"/>
          <w:szCs w:val="28"/>
          <w:lang w:val="en-US" w:eastAsia="zh-CN"/>
        </w:rPr>
      </w:pPr>
      <w:r>
        <w:rPr>
          <w:rFonts w:hint="eastAsia" w:ascii="宋体" w:hAnsi="宋体" w:eastAsia="宋体" w:cs="Times New Roman"/>
          <w:b/>
          <w:sz w:val="28"/>
          <w:szCs w:val="28"/>
          <w:lang w:val="en-US" w:eastAsia="zh-CN"/>
        </w:rPr>
        <w:t>费率优惠活动的公告</w:t>
      </w:r>
    </w:p>
    <w:p w14:paraId="5527109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right="0" w:rightChars="0"/>
        <w:textAlignment w:val="auto"/>
        <w:outlineLvl w:val="9"/>
        <w:rPr>
          <w:rFonts w:hint="eastAsia"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尊敬的投资者：</w:t>
      </w:r>
    </w:p>
    <w:p w14:paraId="05DEC1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0"/>
        <w:textAlignment w:val="auto"/>
        <w:rPr>
          <w:rFonts w:hint="eastAsia" w:ascii="宋体" w:hAnsi="宋体" w:eastAsia="宋体" w:cs="Times New Roman"/>
          <w:sz w:val="24"/>
          <w:szCs w:val="24"/>
          <w:lang w:val="en-US" w:eastAsia="zh-CN"/>
        </w:rPr>
      </w:pPr>
      <w:r>
        <w:rPr>
          <w:rFonts w:hint="eastAsia" w:ascii="宋体" w:hAnsi="宋体"/>
          <w:b w:val="0"/>
          <w:bCs w:val="0"/>
          <w:sz w:val="24"/>
          <w:szCs w:val="24"/>
          <w:highlight w:val="none"/>
          <w:lang w:val="en-US" w:eastAsia="zh-CN"/>
        </w:rPr>
        <w:t>北银理财京华远见春系列易淘金2号现金管理类理财产品（</w:t>
      </w:r>
      <w:r>
        <w:rPr>
          <w:rFonts w:hint="eastAsia" w:ascii="宋体" w:hAnsi="宋体" w:eastAsia="宋体" w:cs="Times New Roman"/>
          <w:sz w:val="24"/>
          <w:szCs w:val="24"/>
          <w:highlight w:val="none"/>
          <w:lang w:val="en-US" w:eastAsia="zh-CN"/>
        </w:rPr>
        <w:t>产品代码：</w:t>
      </w:r>
      <w:r>
        <w:rPr>
          <w:rFonts w:hint="eastAsia" w:ascii="宋体" w:hAnsi="宋体" w:cs="宋体"/>
          <w:sz w:val="24"/>
          <w:szCs w:val="24"/>
          <w:lang w:eastAsia="zh-CN"/>
        </w:rPr>
        <w:t>TG01231016</w:t>
      </w:r>
      <w:r>
        <w:rPr>
          <w:rFonts w:hint="eastAsia" w:ascii="宋体" w:hAnsi="宋体" w:eastAsia="宋体" w:cs="Times New Roman"/>
          <w:sz w:val="24"/>
          <w:szCs w:val="24"/>
          <w:highlight w:val="none"/>
          <w:lang w:val="en-US" w:eastAsia="zh-CN"/>
        </w:rPr>
        <w:t>、产品登记编码：</w:t>
      </w:r>
      <w:r>
        <w:rPr>
          <w:rFonts w:hint="eastAsia" w:ascii="宋体" w:hAnsi="宋体" w:cs="宋体"/>
          <w:color w:val="auto"/>
          <w:sz w:val="24"/>
          <w:lang w:eastAsia="zh-CN"/>
        </w:rPr>
        <w:t>Z7008923000177</w:t>
      </w:r>
      <w:r>
        <w:rPr>
          <w:rFonts w:hint="eastAsia" w:ascii="仿宋" w:hAnsi="仿宋" w:eastAsia="仿宋" w:cs="Times New Roman"/>
          <w:color w:val="000000"/>
          <w:sz w:val="28"/>
          <w:szCs w:val="28"/>
          <w:lang w:val="en-US" w:eastAsia="zh-CN"/>
        </w:rPr>
        <w:t>）</w:t>
      </w:r>
      <w:r>
        <w:rPr>
          <w:rFonts w:hint="eastAsia" w:ascii="宋体" w:hAnsi="宋体"/>
          <w:b w:val="0"/>
          <w:bCs w:val="0"/>
          <w:sz w:val="24"/>
          <w:szCs w:val="24"/>
          <w:highlight w:val="none"/>
          <w:lang w:val="en-US" w:eastAsia="zh-CN"/>
        </w:rPr>
        <w:t>于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202</w:t>
      </w:r>
      <w:r>
        <w:rPr>
          <w:rFonts w:hint="eastAsia" w:ascii="宋体" w:hAnsi="宋体" w:cs="宋体"/>
          <w:sz w:val="24"/>
          <w:szCs w:val="24"/>
          <w:lang w:val="en-US" w:eastAsia="zh-CN"/>
        </w:rPr>
        <w:t>4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年</w:t>
      </w:r>
      <w:r>
        <w:rPr>
          <w:rFonts w:hint="eastAsia" w:ascii="宋体" w:hAnsi="宋体" w:cs="宋体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月</w:t>
      </w:r>
      <w:r>
        <w:rPr>
          <w:rFonts w:hint="eastAsia" w:ascii="宋体" w:hAnsi="宋体" w:cs="宋体"/>
          <w:sz w:val="24"/>
          <w:szCs w:val="24"/>
          <w:lang w:val="en-US" w:eastAsia="zh-CN"/>
        </w:rPr>
        <w:t>24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日</w:t>
      </w:r>
      <w:r>
        <w:rPr>
          <w:rFonts w:hint="eastAsia" w:ascii="宋体" w:hAnsi="宋体"/>
          <w:b w:val="0"/>
          <w:bCs w:val="0"/>
          <w:sz w:val="24"/>
          <w:szCs w:val="24"/>
          <w:highlight w:val="none"/>
          <w:lang w:val="en-US" w:eastAsia="zh-CN"/>
        </w:rPr>
        <w:t>成立，</w:t>
      </w:r>
      <w:r>
        <w:rPr>
          <w:rFonts w:hint="eastAsia" w:ascii="宋体" w:hAnsi="宋体" w:eastAsia="宋体" w:cs="Times New Roman"/>
          <w:sz w:val="24"/>
          <w:szCs w:val="24"/>
          <w:lang w:val="en-US" w:eastAsia="zh-CN"/>
        </w:rPr>
        <w:t>为了更好的服务投资者，根据</w:t>
      </w:r>
      <w:r>
        <w:rPr>
          <w:rFonts w:hint="eastAsia" w:ascii="宋体" w:hAnsi="宋体"/>
          <w:b w:val="0"/>
          <w:bCs w:val="0"/>
          <w:sz w:val="24"/>
          <w:szCs w:val="24"/>
          <w:highlight w:val="none"/>
          <w:lang w:val="en-US" w:eastAsia="zh-CN"/>
        </w:rPr>
        <w:t>北银理财京华远见春系列易淘金2号现金管理类理财产品</w:t>
      </w:r>
      <w:r>
        <w:rPr>
          <w:rFonts w:hint="eastAsia" w:ascii="宋体" w:hAnsi="宋体" w:eastAsia="宋体" w:cs="Times New Roman"/>
          <w:sz w:val="24"/>
          <w:szCs w:val="24"/>
          <w:lang w:val="en-US" w:eastAsia="zh-CN"/>
        </w:rPr>
        <w:t>说明书的相关约定，北银理财有限责任公司决定自202</w:t>
      </w:r>
      <w:r>
        <w:rPr>
          <w:rFonts w:hint="eastAsia" w:ascii="宋体" w:hAnsi="宋体" w:cs="Times New Roman"/>
          <w:sz w:val="24"/>
          <w:szCs w:val="24"/>
          <w:lang w:val="en-US" w:eastAsia="zh-CN"/>
        </w:rPr>
        <w:t>6</w:t>
      </w:r>
      <w:r>
        <w:rPr>
          <w:rFonts w:hint="eastAsia" w:ascii="宋体" w:hAnsi="宋体" w:eastAsia="宋体" w:cs="Times New Roman"/>
          <w:sz w:val="24"/>
          <w:szCs w:val="24"/>
          <w:lang w:val="en-US" w:eastAsia="zh-CN"/>
        </w:rPr>
        <w:t>年</w:t>
      </w:r>
      <w:r>
        <w:rPr>
          <w:rFonts w:hint="eastAsia" w:ascii="宋体" w:hAnsi="宋体" w:cs="Times New Roman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Times New Roman"/>
          <w:sz w:val="24"/>
          <w:szCs w:val="24"/>
          <w:lang w:val="en-US" w:eastAsia="zh-CN"/>
        </w:rPr>
        <w:t>月</w:t>
      </w:r>
      <w:r>
        <w:rPr>
          <w:rFonts w:hint="eastAsia" w:ascii="宋体" w:hAnsi="宋体" w:cs="Times New Roman"/>
          <w:sz w:val="24"/>
          <w:szCs w:val="24"/>
          <w:lang w:val="en-US" w:eastAsia="zh-CN"/>
        </w:rPr>
        <w:t>12</w:t>
      </w:r>
      <w:r>
        <w:rPr>
          <w:rFonts w:hint="eastAsia" w:ascii="宋体" w:hAnsi="宋体" w:eastAsia="宋体" w:cs="Times New Roman"/>
          <w:sz w:val="24"/>
          <w:szCs w:val="24"/>
          <w:lang w:val="en-US" w:eastAsia="zh-CN"/>
        </w:rPr>
        <w:t>日（含）起，开展</w:t>
      </w:r>
      <w:r>
        <w:rPr>
          <w:rFonts w:hint="eastAsia" w:ascii="宋体" w:hAnsi="宋体"/>
          <w:b w:val="0"/>
          <w:bCs w:val="0"/>
          <w:sz w:val="24"/>
          <w:szCs w:val="24"/>
          <w:highlight w:val="none"/>
          <w:lang w:val="en-US" w:eastAsia="zh-CN"/>
        </w:rPr>
        <w:t>北银理财京华远见春系列易淘金2号现金管理类理财产品</w:t>
      </w:r>
      <w:r>
        <w:rPr>
          <w:rFonts w:hint="eastAsia" w:ascii="宋体" w:hAnsi="宋体" w:eastAsia="宋体" w:cs="Times New Roman"/>
          <w:sz w:val="24"/>
          <w:szCs w:val="24"/>
          <w:lang w:val="en-US" w:eastAsia="zh-CN"/>
        </w:rPr>
        <w:t>的费率优惠活动，具体优惠方案如下：</w:t>
      </w:r>
    </w:p>
    <w:tbl>
      <w:tblPr>
        <w:tblStyle w:val="5"/>
        <w:tblW w:w="826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381"/>
        <w:gridCol w:w="1441"/>
        <w:gridCol w:w="1182"/>
        <w:gridCol w:w="1187"/>
        <w:gridCol w:w="1514"/>
        <w:gridCol w:w="1558"/>
      </w:tblGrid>
      <w:tr w14:paraId="277A58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381" w:type="dxa"/>
            <w:vAlign w:val="center"/>
          </w:tcPr>
          <w:p w14:paraId="5B5DEB9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hint="eastAsia" w:ascii="宋体" w:hAnsi="宋体"/>
                <w:b/>
                <w:bCs/>
                <w:sz w:val="22"/>
                <w:szCs w:val="24"/>
              </w:rPr>
            </w:pPr>
            <w:r>
              <w:rPr>
                <w:rFonts w:hint="eastAsia" w:ascii="宋体" w:hAnsi="宋体"/>
                <w:b/>
                <w:bCs/>
                <w:sz w:val="22"/>
                <w:szCs w:val="24"/>
              </w:rPr>
              <w:t>费用类别</w:t>
            </w:r>
          </w:p>
        </w:tc>
        <w:tc>
          <w:tcPr>
            <w:tcW w:w="1441" w:type="dxa"/>
            <w:vAlign w:val="center"/>
          </w:tcPr>
          <w:p w14:paraId="4C99527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hint="eastAsia" w:ascii="宋体" w:hAnsi="宋体"/>
                <w:b/>
                <w:bCs/>
                <w:sz w:val="22"/>
                <w:szCs w:val="24"/>
              </w:rPr>
            </w:pPr>
            <w:r>
              <w:rPr>
                <w:rFonts w:hint="eastAsia" w:ascii="宋体" w:hAnsi="宋体"/>
                <w:b/>
                <w:bCs/>
                <w:sz w:val="22"/>
                <w:szCs w:val="24"/>
                <w:lang w:val="en-US" w:eastAsia="zh-CN"/>
              </w:rPr>
              <w:t>产品</w:t>
            </w:r>
            <w:r>
              <w:rPr>
                <w:rFonts w:hint="eastAsia" w:ascii="宋体" w:hAnsi="宋体"/>
                <w:b/>
                <w:bCs/>
                <w:sz w:val="22"/>
                <w:szCs w:val="24"/>
              </w:rPr>
              <w:t>代码</w:t>
            </w:r>
          </w:p>
        </w:tc>
        <w:tc>
          <w:tcPr>
            <w:tcW w:w="1182" w:type="dxa"/>
            <w:vAlign w:val="center"/>
          </w:tcPr>
          <w:p w14:paraId="0210A6E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hint="eastAsia" w:ascii="宋体" w:hAnsi="宋体"/>
                <w:b/>
                <w:bCs/>
                <w:sz w:val="22"/>
                <w:szCs w:val="24"/>
              </w:rPr>
            </w:pPr>
            <w:r>
              <w:rPr>
                <w:rFonts w:hint="eastAsia" w:ascii="宋体" w:hAnsi="宋体"/>
                <w:b/>
                <w:bCs/>
                <w:sz w:val="22"/>
                <w:szCs w:val="24"/>
              </w:rPr>
              <w:t>销售文件</w:t>
            </w:r>
            <w:r>
              <w:rPr>
                <w:rFonts w:ascii="宋体" w:hAnsi="宋体"/>
                <w:b/>
                <w:bCs/>
                <w:sz w:val="22"/>
                <w:szCs w:val="24"/>
              </w:rPr>
              <w:t>约定</w:t>
            </w:r>
            <w:r>
              <w:rPr>
                <w:rFonts w:hint="eastAsia" w:ascii="宋体" w:hAnsi="宋体"/>
                <w:b/>
                <w:bCs/>
                <w:sz w:val="22"/>
                <w:szCs w:val="24"/>
              </w:rPr>
              <w:t>费率</w:t>
            </w:r>
          </w:p>
          <w:p w14:paraId="6B45765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hint="eastAsia" w:ascii="宋体" w:hAnsi="宋体"/>
                <w:b/>
                <w:bCs/>
                <w:sz w:val="22"/>
                <w:szCs w:val="24"/>
              </w:rPr>
            </w:pPr>
            <w:r>
              <w:rPr>
                <w:rFonts w:hint="eastAsia" w:ascii="宋体" w:hAnsi="宋体"/>
                <w:b/>
                <w:bCs/>
                <w:sz w:val="22"/>
                <w:szCs w:val="24"/>
              </w:rPr>
              <w:t>（年化）</w:t>
            </w:r>
          </w:p>
        </w:tc>
        <w:tc>
          <w:tcPr>
            <w:tcW w:w="1187" w:type="dxa"/>
            <w:vAlign w:val="center"/>
          </w:tcPr>
          <w:p w14:paraId="7FD98D4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hint="eastAsia" w:ascii="宋体" w:hAnsi="宋体"/>
                <w:b/>
                <w:bCs/>
                <w:sz w:val="22"/>
                <w:szCs w:val="24"/>
              </w:rPr>
            </w:pPr>
            <w:r>
              <w:rPr>
                <w:rFonts w:hint="eastAsia" w:ascii="宋体" w:hAnsi="宋体"/>
                <w:b/>
                <w:bCs/>
                <w:sz w:val="22"/>
                <w:szCs w:val="24"/>
              </w:rPr>
              <w:t>优惠后费率</w:t>
            </w:r>
          </w:p>
          <w:p w14:paraId="48C6AC1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hint="eastAsia" w:ascii="宋体" w:hAnsi="宋体"/>
                <w:b/>
                <w:bCs/>
                <w:sz w:val="22"/>
                <w:szCs w:val="24"/>
              </w:rPr>
            </w:pPr>
            <w:r>
              <w:rPr>
                <w:rFonts w:hint="eastAsia" w:ascii="宋体" w:hAnsi="宋体"/>
                <w:b/>
                <w:bCs/>
                <w:sz w:val="22"/>
                <w:szCs w:val="24"/>
              </w:rPr>
              <w:t>（年化）</w:t>
            </w:r>
          </w:p>
        </w:tc>
        <w:tc>
          <w:tcPr>
            <w:tcW w:w="1514" w:type="dxa"/>
            <w:vAlign w:val="center"/>
          </w:tcPr>
          <w:p w14:paraId="57766CD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hint="eastAsia" w:ascii="宋体" w:hAnsi="宋体"/>
                <w:b/>
                <w:bCs/>
                <w:sz w:val="22"/>
                <w:szCs w:val="24"/>
              </w:rPr>
            </w:pPr>
            <w:r>
              <w:rPr>
                <w:rFonts w:hint="eastAsia" w:ascii="宋体" w:hAnsi="宋体"/>
                <w:b/>
                <w:bCs/>
                <w:sz w:val="22"/>
                <w:szCs w:val="24"/>
              </w:rPr>
              <w:t>优惠起始日期</w:t>
            </w:r>
          </w:p>
          <w:p w14:paraId="4F7CE6A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hint="eastAsia" w:ascii="宋体" w:hAnsi="宋体"/>
                <w:b/>
                <w:bCs/>
                <w:sz w:val="22"/>
                <w:szCs w:val="24"/>
              </w:rPr>
            </w:pPr>
            <w:r>
              <w:rPr>
                <w:rFonts w:hint="eastAsia" w:ascii="宋体" w:hAnsi="宋体"/>
                <w:b/>
                <w:bCs/>
                <w:sz w:val="22"/>
                <w:szCs w:val="24"/>
              </w:rPr>
              <w:t>（含）</w:t>
            </w:r>
          </w:p>
        </w:tc>
        <w:tc>
          <w:tcPr>
            <w:tcW w:w="1558" w:type="dxa"/>
            <w:vAlign w:val="center"/>
          </w:tcPr>
          <w:p w14:paraId="44E19B61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hint="eastAsia" w:ascii="宋体" w:hAnsi="宋体"/>
                <w:b/>
                <w:bCs/>
                <w:sz w:val="22"/>
                <w:szCs w:val="24"/>
              </w:rPr>
            </w:pPr>
            <w:r>
              <w:rPr>
                <w:rFonts w:hint="eastAsia" w:ascii="宋体" w:hAnsi="宋体"/>
                <w:b/>
                <w:bCs/>
                <w:sz w:val="22"/>
                <w:szCs w:val="24"/>
              </w:rPr>
              <w:t>优惠截止日期（含）</w:t>
            </w:r>
          </w:p>
        </w:tc>
      </w:tr>
      <w:tr w14:paraId="5BC963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381" w:type="dxa"/>
            <w:vAlign w:val="center"/>
          </w:tcPr>
          <w:p w14:paraId="785A0B82">
            <w:pPr>
              <w:spacing w:line="480" w:lineRule="auto"/>
              <w:jc w:val="center"/>
              <w:rPr>
                <w:rFonts w:hint="default" w:ascii="宋体" w:hAnsi="宋体" w:eastAsia="宋体" w:cs="Times New Roman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highlight w:val="none"/>
                <w:lang w:val="en-US" w:eastAsia="zh-CN"/>
              </w:rPr>
              <w:t>销售手续</w:t>
            </w:r>
            <w:r>
              <w:rPr>
                <w:rFonts w:hint="eastAsia" w:ascii="宋体" w:hAnsi="宋体"/>
                <w:sz w:val="24"/>
                <w:highlight w:val="none"/>
              </w:rPr>
              <w:t>费</w:t>
            </w:r>
          </w:p>
        </w:tc>
        <w:tc>
          <w:tcPr>
            <w:tcW w:w="1441" w:type="dxa"/>
            <w:vAlign w:val="center"/>
          </w:tcPr>
          <w:p w14:paraId="481A2D1E">
            <w:pPr>
              <w:spacing w:line="480" w:lineRule="auto"/>
              <w:jc w:val="center"/>
              <w:rPr>
                <w:rFonts w:hint="default" w:ascii="宋体" w:hAnsi="宋体" w:eastAsia="宋体" w:cs="Times New Roman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eastAsia="zh-CN"/>
              </w:rPr>
              <w:t>TG01231016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A</w:t>
            </w:r>
          </w:p>
        </w:tc>
        <w:tc>
          <w:tcPr>
            <w:tcW w:w="1182" w:type="dxa"/>
            <w:vAlign w:val="center"/>
          </w:tcPr>
          <w:p w14:paraId="32BD7EBC">
            <w:pPr>
              <w:spacing w:line="480" w:lineRule="auto"/>
              <w:ind w:firstLine="240" w:firstLineChars="100"/>
              <w:jc w:val="both"/>
              <w:rPr>
                <w:rFonts w:hint="eastAsia" w:ascii="宋体" w:hAnsi="宋体" w:eastAsia="宋体" w:cs="Times New Roman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Times New Roman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  <w:t>0.20%</w:t>
            </w:r>
          </w:p>
        </w:tc>
        <w:tc>
          <w:tcPr>
            <w:tcW w:w="1187" w:type="dxa"/>
            <w:vAlign w:val="center"/>
          </w:tcPr>
          <w:p w14:paraId="3E8DB787">
            <w:pPr>
              <w:spacing w:line="480" w:lineRule="auto"/>
              <w:ind w:firstLine="240" w:firstLineChars="100"/>
              <w:jc w:val="both"/>
              <w:rPr>
                <w:rFonts w:hint="eastAsia" w:ascii="宋体" w:hAnsi="宋体" w:eastAsia="宋体" w:cs="Times New Roman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  <w:t>0.</w:t>
            </w:r>
            <w:r>
              <w:rPr>
                <w:rFonts w:hint="eastAsia" w:ascii="宋体" w:hAnsi="宋体" w:cs="Times New Roman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  <w:t>01</w:t>
            </w:r>
            <w:r>
              <w:rPr>
                <w:rFonts w:hint="eastAsia" w:ascii="宋体" w:hAnsi="宋体" w:eastAsia="宋体" w:cs="Times New Roman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  <w:t>%</w:t>
            </w:r>
          </w:p>
        </w:tc>
        <w:tc>
          <w:tcPr>
            <w:tcW w:w="1514" w:type="dxa"/>
            <w:vAlign w:val="center"/>
          </w:tcPr>
          <w:p w14:paraId="36CA0523">
            <w:pPr>
              <w:spacing w:line="480" w:lineRule="auto"/>
              <w:ind w:firstLine="240" w:firstLineChars="100"/>
              <w:jc w:val="both"/>
              <w:rPr>
                <w:rFonts w:hint="default" w:ascii="宋体" w:hAnsi="宋体" w:eastAsia="宋体" w:cs="Times New Roman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Times New Roman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  <w:t>2026.5.12</w:t>
            </w:r>
          </w:p>
        </w:tc>
        <w:tc>
          <w:tcPr>
            <w:tcW w:w="1558" w:type="dxa"/>
            <w:vAlign w:val="center"/>
          </w:tcPr>
          <w:p w14:paraId="14FC3FDA">
            <w:pPr>
              <w:spacing w:line="480" w:lineRule="auto"/>
              <w:ind w:firstLine="240" w:firstLineChars="100"/>
              <w:jc w:val="both"/>
              <w:rPr>
                <w:rFonts w:hint="default" w:ascii="宋体" w:hAnsi="宋体" w:eastAsia="宋体" w:cs="Times New Roman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另行通知</w:t>
            </w:r>
          </w:p>
        </w:tc>
      </w:tr>
      <w:tr w14:paraId="46552E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381" w:type="dxa"/>
            <w:vAlign w:val="center"/>
          </w:tcPr>
          <w:p w14:paraId="4BC11EEE">
            <w:pPr>
              <w:spacing w:line="480" w:lineRule="auto"/>
              <w:jc w:val="center"/>
              <w:rPr>
                <w:rFonts w:hint="default" w:ascii="宋体" w:hAnsi="宋体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highlight w:val="none"/>
                <w:lang w:val="en-US" w:eastAsia="zh-CN"/>
              </w:rPr>
              <w:t>固定管理费</w:t>
            </w:r>
          </w:p>
        </w:tc>
        <w:tc>
          <w:tcPr>
            <w:tcW w:w="1441" w:type="dxa"/>
            <w:vAlign w:val="center"/>
          </w:tcPr>
          <w:p w14:paraId="41ADB40F">
            <w:pPr>
              <w:tabs>
                <w:tab w:val="left" w:pos="483"/>
              </w:tabs>
              <w:spacing w:line="480" w:lineRule="auto"/>
              <w:jc w:val="center"/>
              <w:rPr>
                <w:rFonts w:hint="eastAsia" w:ascii="宋体" w:hAnsi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eastAsia="zh-CN"/>
              </w:rPr>
              <w:t>TG01231016</w:t>
            </w:r>
          </w:p>
        </w:tc>
        <w:tc>
          <w:tcPr>
            <w:tcW w:w="1182" w:type="dxa"/>
            <w:vAlign w:val="center"/>
          </w:tcPr>
          <w:p w14:paraId="62FFF92E">
            <w:pPr>
              <w:spacing w:line="480" w:lineRule="auto"/>
              <w:ind w:firstLine="240" w:firstLineChars="100"/>
              <w:jc w:val="both"/>
              <w:rPr>
                <w:rFonts w:hint="default" w:ascii="宋体" w:hAnsi="宋体" w:eastAsia="宋体" w:cs="Times New Roman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Times New Roman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  <w:t>0.10%</w:t>
            </w:r>
          </w:p>
        </w:tc>
        <w:tc>
          <w:tcPr>
            <w:tcW w:w="1187" w:type="dxa"/>
            <w:vAlign w:val="center"/>
          </w:tcPr>
          <w:p w14:paraId="5DF89BAC">
            <w:pPr>
              <w:spacing w:line="480" w:lineRule="auto"/>
              <w:ind w:firstLine="240" w:firstLineChars="100"/>
              <w:jc w:val="both"/>
              <w:rPr>
                <w:rFonts w:hint="default" w:ascii="宋体" w:hAnsi="宋体" w:eastAsia="宋体" w:cs="Times New Roman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Times New Roman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  <w:t>0.01%</w:t>
            </w:r>
          </w:p>
        </w:tc>
        <w:tc>
          <w:tcPr>
            <w:tcW w:w="1514" w:type="dxa"/>
            <w:vAlign w:val="center"/>
          </w:tcPr>
          <w:p w14:paraId="13D1F2A3">
            <w:pPr>
              <w:spacing w:line="480" w:lineRule="auto"/>
              <w:ind w:firstLine="240" w:firstLineChars="100"/>
              <w:jc w:val="both"/>
              <w:rPr>
                <w:rFonts w:hint="default" w:ascii="宋体" w:hAnsi="宋体" w:cs="Times New Roman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Times New Roman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  <w:t>2026.5.12</w:t>
            </w:r>
          </w:p>
        </w:tc>
        <w:tc>
          <w:tcPr>
            <w:tcW w:w="1558" w:type="dxa"/>
            <w:vAlign w:val="center"/>
          </w:tcPr>
          <w:p w14:paraId="2A21427E">
            <w:pPr>
              <w:spacing w:line="480" w:lineRule="auto"/>
              <w:ind w:firstLine="240" w:firstLineChars="100"/>
              <w:jc w:val="both"/>
              <w:rPr>
                <w:rFonts w:hint="eastAsia"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另行通知</w:t>
            </w:r>
          </w:p>
        </w:tc>
      </w:tr>
      <w:tr w14:paraId="544E74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381" w:type="dxa"/>
            <w:vAlign w:val="center"/>
          </w:tcPr>
          <w:p w14:paraId="6D13E9F7">
            <w:pPr>
              <w:spacing w:line="480" w:lineRule="auto"/>
              <w:jc w:val="center"/>
              <w:rPr>
                <w:rFonts w:hint="default" w:ascii="宋体" w:hAnsi="宋体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highlight w:val="none"/>
                <w:lang w:val="en-US" w:eastAsia="zh-CN"/>
              </w:rPr>
              <w:t>托管费</w:t>
            </w:r>
          </w:p>
        </w:tc>
        <w:tc>
          <w:tcPr>
            <w:tcW w:w="1441" w:type="dxa"/>
            <w:vAlign w:val="center"/>
          </w:tcPr>
          <w:p w14:paraId="5FFBA767">
            <w:pPr>
              <w:spacing w:line="480" w:lineRule="auto"/>
              <w:jc w:val="center"/>
              <w:rPr>
                <w:rFonts w:hint="eastAsia" w:ascii="宋体" w:hAnsi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eastAsia="zh-CN"/>
              </w:rPr>
              <w:t>TG01231016</w:t>
            </w:r>
          </w:p>
        </w:tc>
        <w:tc>
          <w:tcPr>
            <w:tcW w:w="1182" w:type="dxa"/>
            <w:vAlign w:val="center"/>
          </w:tcPr>
          <w:p w14:paraId="1BF6E62F">
            <w:pPr>
              <w:spacing w:line="480" w:lineRule="auto"/>
              <w:ind w:firstLine="240" w:firstLineChars="100"/>
              <w:jc w:val="both"/>
              <w:rPr>
                <w:rFonts w:hint="default" w:ascii="宋体" w:hAnsi="宋体" w:eastAsia="宋体" w:cs="Times New Roman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Times New Roman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  <w:t>0.03%</w:t>
            </w:r>
          </w:p>
        </w:tc>
        <w:tc>
          <w:tcPr>
            <w:tcW w:w="1187" w:type="dxa"/>
            <w:vAlign w:val="center"/>
          </w:tcPr>
          <w:p w14:paraId="5EA2C099">
            <w:pPr>
              <w:spacing w:line="480" w:lineRule="auto"/>
              <w:ind w:firstLine="240" w:firstLineChars="100"/>
              <w:jc w:val="both"/>
              <w:rPr>
                <w:rFonts w:hint="default" w:ascii="宋体" w:hAnsi="宋体" w:eastAsia="宋体" w:cs="Times New Roman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Times New Roman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  <w:t>0.01%</w:t>
            </w:r>
          </w:p>
        </w:tc>
        <w:tc>
          <w:tcPr>
            <w:tcW w:w="1514" w:type="dxa"/>
            <w:vAlign w:val="center"/>
          </w:tcPr>
          <w:p w14:paraId="490EA219">
            <w:pPr>
              <w:spacing w:line="480" w:lineRule="auto"/>
              <w:ind w:firstLine="240" w:firstLineChars="100"/>
              <w:jc w:val="both"/>
              <w:rPr>
                <w:rFonts w:hint="eastAsia" w:ascii="宋体" w:hAnsi="宋体" w:cs="Times New Roman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Times New Roman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  <w:t>2026.5.12</w:t>
            </w:r>
          </w:p>
        </w:tc>
        <w:tc>
          <w:tcPr>
            <w:tcW w:w="1558" w:type="dxa"/>
            <w:vAlign w:val="center"/>
          </w:tcPr>
          <w:p w14:paraId="6A3FB038">
            <w:pPr>
              <w:spacing w:line="480" w:lineRule="auto"/>
              <w:ind w:firstLine="240" w:firstLineChars="100"/>
              <w:jc w:val="both"/>
              <w:rPr>
                <w:rFonts w:hint="eastAsia"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另行通知</w:t>
            </w:r>
          </w:p>
        </w:tc>
      </w:tr>
    </w:tbl>
    <w:p w14:paraId="49917681">
      <w:pPr>
        <w:autoSpaceDE w:val="0"/>
        <w:autoSpaceDN w:val="0"/>
        <w:adjustRightInd w:val="0"/>
        <w:spacing w:line="360" w:lineRule="auto"/>
        <w:ind w:firstLine="480" w:firstLineChars="200"/>
        <w:rPr>
          <w:rFonts w:ascii="宋体" w:hAnsi="宋体" w:cs="宋体"/>
          <w:color w:val="000000"/>
          <w:kern w:val="0"/>
          <w:sz w:val="24"/>
          <w:szCs w:val="24"/>
        </w:rPr>
      </w:pPr>
    </w:p>
    <w:p w14:paraId="0D0CE888">
      <w:pPr>
        <w:autoSpaceDE w:val="0"/>
        <w:autoSpaceDN w:val="0"/>
        <w:adjustRightInd w:val="0"/>
        <w:spacing w:line="360" w:lineRule="auto"/>
        <w:ind w:firstLine="480" w:firstLineChars="200"/>
        <w:rPr>
          <w:rFonts w:hint="eastAsia" w:ascii="宋体" w:hAnsi="宋体" w:cs="宋体"/>
          <w:color w:val="000000"/>
          <w:kern w:val="0"/>
          <w:sz w:val="24"/>
          <w:szCs w:val="24"/>
        </w:rPr>
      </w:pPr>
      <w:r>
        <w:rPr>
          <w:rFonts w:ascii="宋体" w:hAnsi="宋体" w:cs="宋体"/>
          <w:color w:val="000000"/>
          <w:kern w:val="0"/>
          <w:sz w:val="24"/>
          <w:szCs w:val="24"/>
        </w:rPr>
        <w:t>本</w:t>
      </w:r>
      <w:r>
        <w:rPr>
          <w:rFonts w:hint="eastAsia" w:ascii="宋体" w:hAnsi="宋体" w:cs="宋体"/>
          <w:color w:val="000000"/>
          <w:kern w:val="0"/>
          <w:sz w:val="24"/>
          <w:szCs w:val="24"/>
          <w:lang w:val="en-US" w:eastAsia="zh-CN"/>
        </w:rPr>
        <w:t>理财</w:t>
      </w:r>
      <w:r>
        <w:rPr>
          <w:rFonts w:ascii="宋体" w:hAnsi="宋体" w:cs="宋体"/>
          <w:color w:val="000000"/>
          <w:kern w:val="0"/>
          <w:sz w:val="24"/>
          <w:szCs w:val="24"/>
        </w:rPr>
        <w:t>产品其他信息仍以销售文件约定为准</w:t>
      </w:r>
      <w:r>
        <w:rPr>
          <w:rFonts w:hint="eastAsia" w:ascii="宋体" w:hAnsi="宋体" w:cs="宋体"/>
          <w:color w:val="000000"/>
          <w:kern w:val="0"/>
          <w:sz w:val="24"/>
          <w:szCs w:val="24"/>
        </w:rPr>
        <w:t>，您可通过</w:t>
      </w:r>
      <w:r>
        <w:rPr>
          <w:rFonts w:hint="eastAsia" w:ascii="宋体" w:hAnsi="宋体" w:cs="宋体"/>
          <w:color w:val="000000"/>
          <w:kern w:val="0"/>
          <w:sz w:val="24"/>
        </w:rPr>
        <w:t>销售文件</w:t>
      </w:r>
      <w:r>
        <w:rPr>
          <w:rFonts w:hint="eastAsia" w:ascii="宋体" w:hAnsi="宋体" w:cs="宋体"/>
          <w:color w:val="000000"/>
          <w:kern w:val="0"/>
          <w:sz w:val="24"/>
          <w:szCs w:val="24"/>
        </w:rPr>
        <w:t>约定的信息披露渠道</w:t>
      </w:r>
      <w:r>
        <w:rPr>
          <w:rFonts w:hint="eastAsia" w:ascii="宋体" w:hAnsi="宋体" w:cs="宋体"/>
          <w:color w:val="000000"/>
          <w:kern w:val="0"/>
          <w:sz w:val="24"/>
          <w:szCs w:val="24"/>
          <w:lang w:val="en-US" w:eastAsia="zh-CN"/>
        </w:rPr>
        <w:t>进行</w:t>
      </w:r>
      <w:r>
        <w:rPr>
          <w:rFonts w:hint="eastAsia" w:ascii="宋体" w:hAnsi="宋体" w:cs="宋体"/>
          <w:color w:val="000000"/>
          <w:kern w:val="0"/>
          <w:sz w:val="24"/>
          <w:szCs w:val="24"/>
        </w:rPr>
        <w:t>查询。</w:t>
      </w:r>
    </w:p>
    <w:p w14:paraId="431042C0">
      <w:pPr>
        <w:autoSpaceDE w:val="0"/>
        <w:autoSpaceDN w:val="0"/>
        <w:adjustRightInd w:val="0"/>
        <w:spacing w:line="360" w:lineRule="auto"/>
        <w:ind w:firstLine="480" w:firstLineChars="200"/>
        <w:rPr>
          <w:rFonts w:hint="eastAsia" w:ascii="宋体" w:hAnsi="宋体" w:cs="宋体"/>
          <w:color w:val="000000"/>
          <w:kern w:val="0"/>
          <w:sz w:val="24"/>
        </w:rPr>
      </w:pPr>
      <w:r>
        <w:rPr>
          <w:rFonts w:hint="eastAsia" w:ascii="宋体" w:hAnsi="宋体" w:cs="宋体"/>
          <w:color w:val="000000"/>
          <w:kern w:val="0"/>
          <w:sz w:val="24"/>
        </w:rPr>
        <w:t>若本</w:t>
      </w:r>
      <w:r>
        <w:rPr>
          <w:rFonts w:hint="eastAsia" w:ascii="宋体" w:hAnsi="宋体" w:cs="宋体"/>
          <w:color w:val="000000"/>
          <w:kern w:val="0"/>
          <w:sz w:val="24"/>
          <w:lang w:val="en-US" w:eastAsia="zh-CN"/>
        </w:rPr>
        <w:t>理财</w:t>
      </w:r>
      <w:r>
        <w:rPr>
          <w:rFonts w:hint="eastAsia" w:ascii="宋体" w:hAnsi="宋体" w:cs="宋体"/>
          <w:color w:val="000000"/>
          <w:kern w:val="0"/>
          <w:sz w:val="24"/>
        </w:rPr>
        <w:t>产品的投资者继续持有本</w:t>
      </w:r>
      <w:r>
        <w:rPr>
          <w:rFonts w:hint="eastAsia" w:ascii="宋体" w:hAnsi="宋体" w:cs="宋体"/>
          <w:color w:val="000000"/>
          <w:kern w:val="0"/>
          <w:sz w:val="24"/>
          <w:lang w:val="en-US" w:eastAsia="zh-CN"/>
        </w:rPr>
        <w:t>理财</w:t>
      </w:r>
      <w:r>
        <w:rPr>
          <w:rFonts w:hint="eastAsia" w:ascii="宋体" w:hAnsi="宋体" w:cs="宋体"/>
          <w:color w:val="000000"/>
          <w:kern w:val="0"/>
          <w:sz w:val="24"/>
        </w:rPr>
        <w:t>产品，将视为投资者同意接受本次调整的全部内容并按其执行。</w:t>
      </w:r>
    </w:p>
    <w:p w14:paraId="1FC9FEFF">
      <w:pPr>
        <w:autoSpaceDE w:val="0"/>
        <w:autoSpaceDN w:val="0"/>
        <w:adjustRightInd w:val="0"/>
        <w:spacing w:line="360" w:lineRule="auto"/>
        <w:ind w:firstLine="480" w:firstLineChars="200"/>
        <w:rPr>
          <w:rFonts w:hint="eastAsia" w:ascii="宋体" w:hAnsi="宋体" w:cs="宋体"/>
          <w:color w:val="000000"/>
          <w:kern w:val="0"/>
          <w:sz w:val="24"/>
          <w:szCs w:val="24"/>
          <w:u w:val="none"/>
        </w:rPr>
      </w:pPr>
      <w:r>
        <w:rPr>
          <w:rFonts w:hint="eastAsia" w:ascii="宋体" w:hAnsi="宋体" w:cs="宋体"/>
          <w:color w:val="000000"/>
          <w:kern w:val="0"/>
          <w:sz w:val="24"/>
          <w:szCs w:val="24"/>
          <w:u w:val="none"/>
        </w:rPr>
        <w:t>感谢您一直以来对</w:t>
      </w:r>
      <w:r>
        <w:rPr>
          <w:rFonts w:hint="eastAsia" w:ascii="宋体" w:hAnsi="宋体" w:cs="宋体"/>
          <w:color w:val="000000"/>
          <w:kern w:val="0"/>
          <w:sz w:val="24"/>
          <w:szCs w:val="24"/>
          <w:u w:val="none"/>
          <w:lang w:val="en-US" w:eastAsia="zh-CN"/>
        </w:rPr>
        <w:t>北银理财</w:t>
      </w:r>
      <w:r>
        <w:rPr>
          <w:rFonts w:hint="eastAsia" w:ascii="宋体" w:hAnsi="宋体" w:cs="宋体"/>
          <w:color w:val="000000"/>
          <w:kern w:val="0"/>
          <w:sz w:val="24"/>
          <w:szCs w:val="24"/>
          <w:u w:val="none"/>
        </w:rPr>
        <w:t>的</w:t>
      </w:r>
      <w:r>
        <w:rPr>
          <w:rFonts w:hint="eastAsia" w:ascii="宋体" w:hAnsi="宋体" w:cs="宋体"/>
          <w:color w:val="000000"/>
          <w:kern w:val="0"/>
          <w:sz w:val="24"/>
          <w:szCs w:val="24"/>
          <w:u w:val="none"/>
          <w:lang w:val="en-US" w:eastAsia="zh-CN"/>
        </w:rPr>
        <w:t>信赖与</w:t>
      </w:r>
      <w:r>
        <w:rPr>
          <w:rFonts w:hint="eastAsia" w:ascii="宋体" w:hAnsi="宋体" w:cs="宋体"/>
          <w:color w:val="000000"/>
          <w:kern w:val="0"/>
          <w:sz w:val="24"/>
          <w:szCs w:val="24"/>
          <w:u w:val="none"/>
        </w:rPr>
        <w:t>支持！</w:t>
      </w:r>
      <w:r>
        <w:rPr>
          <w:rFonts w:hint="eastAsia" w:ascii="宋体" w:hAnsi="宋体" w:cs="宋体"/>
          <w:color w:val="000000"/>
          <w:kern w:val="0"/>
          <w:sz w:val="24"/>
          <w:u w:val="none"/>
        </w:rPr>
        <w:t>我司将继续为您提供更优质的理财服务</w:t>
      </w:r>
      <w:r>
        <w:rPr>
          <w:rFonts w:hint="eastAsia" w:ascii="宋体" w:hAnsi="宋体" w:cs="宋体"/>
          <w:color w:val="000000"/>
          <w:kern w:val="0"/>
          <w:sz w:val="24"/>
          <w:u w:val="none"/>
          <w:lang w:eastAsia="zh-CN"/>
        </w:rPr>
        <w:t>，</w:t>
      </w:r>
      <w:r>
        <w:rPr>
          <w:rFonts w:hint="eastAsia" w:ascii="宋体" w:hAnsi="宋体" w:cs="宋体"/>
          <w:color w:val="000000"/>
          <w:kern w:val="0"/>
          <w:sz w:val="24"/>
          <w:szCs w:val="24"/>
          <w:u w:val="none"/>
        </w:rPr>
        <w:t>敬请继续关注</w:t>
      </w:r>
      <w:r>
        <w:rPr>
          <w:rFonts w:hint="eastAsia" w:ascii="宋体" w:hAnsi="宋体" w:cs="宋体"/>
          <w:color w:val="000000"/>
          <w:kern w:val="0"/>
          <w:sz w:val="24"/>
          <w:szCs w:val="24"/>
          <w:u w:val="none"/>
          <w:lang w:val="en-US" w:eastAsia="zh-CN"/>
        </w:rPr>
        <w:t>北银理财</w:t>
      </w:r>
      <w:r>
        <w:rPr>
          <w:rFonts w:hint="eastAsia" w:ascii="宋体" w:hAnsi="宋体" w:cs="宋体"/>
          <w:color w:val="000000"/>
          <w:kern w:val="0"/>
          <w:sz w:val="24"/>
          <w:szCs w:val="24"/>
          <w:u w:val="none"/>
        </w:rPr>
        <w:t>发行的理财产品。</w:t>
      </w:r>
    </w:p>
    <w:p w14:paraId="5BB34D2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宋体" w:hAnsi="宋体" w:eastAsia="宋体" w:cs="Times New Roman"/>
          <w:sz w:val="24"/>
          <w:szCs w:val="24"/>
        </w:rPr>
      </w:pPr>
      <w:r>
        <w:rPr>
          <w:rFonts w:hint="eastAsia" w:ascii="宋体" w:hAnsi="宋体" w:eastAsia="宋体" w:cs="Times New Roman"/>
          <w:sz w:val="24"/>
          <w:szCs w:val="24"/>
        </w:rPr>
        <w:t>特此公告。</w:t>
      </w:r>
    </w:p>
    <w:p w14:paraId="4B6A8CB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宋体" w:hAnsi="宋体" w:eastAsia="宋体" w:cs="Times New Roman"/>
          <w:sz w:val="24"/>
          <w:szCs w:val="24"/>
        </w:rPr>
      </w:pPr>
      <w:r>
        <w:rPr>
          <w:rFonts w:hint="eastAsia" w:ascii="宋体" w:hAnsi="宋体" w:eastAsia="宋体" w:cs="Times New Roman"/>
          <w:sz w:val="24"/>
          <w:szCs w:val="24"/>
          <w:lang w:val="en-US" w:eastAsia="zh-CN"/>
        </w:rPr>
        <w:t xml:space="preserve">                                            </w:t>
      </w:r>
      <w:r>
        <w:rPr>
          <w:rFonts w:hint="eastAsia" w:ascii="宋体" w:hAnsi="宋体" w:eastAsia="宋体" w:cs="Times New Roman"/>
          <w:sz w:val="24"/>
          <w:szCs w:val="24"/>
        </w:rPr>
        <w:t>北银</w:t>
      </w:r>
      <w:r>
        <w:rPr>
          <w:rFonts w:hint="eastAsia" w:ascii="宋体" w:hAnsi="宋体" w:eastAsia="宋体" w:cs="Times New Roman"/>
          <w:sz w:val="24"/>
          <w:szCs w:val="24"/>
          <w:lang w:val="en-US" w:eastAsia="zh-CN"/>
        </w:rPr>
        <w:t>理财</w:t>
      </w:r>
      <w:r>
        <w:rPr>
          <w:rFonts w:hint="eastAsia" w:ascii="宋体" w:hAnsi="宋体" w:eastAsia="宋体" w:cs="Times New Roman"/>
          <w:sz w:val="24"/>
          <w:szCs w:val="24"/>
        </w:rPr>
        <w:t>有限</w:t>
      </w:r>
      <w:r>
        <w:rPr>
          <w:rFonts w:hint="eastAsia" w:ascii="宋体" w:hAnsi="宋体" w:eastAsia="宋体" w:cs="Times New Roman"/>
          <w:sz w:val="24"/>
          <w:szCs w:val="24"/>
          <w:lang w:val="en-US" w:eastAsia="zh-CN"/>
        </w:rPr>
        <w:t>责任</w:t>
      </w:r>
      <w:r>
        <w:rPr>
          <w:rFonts w:hint="eastAsia" w:ascii="宋体" w:hAnsi="宋体" w:eastAsia="宋体" w:cs="Times New Roman"/>
          <w:sz w:val="24"/>
          <w:szCs w:val="24"/>
        </w:rPr>
        <w:t>公司</w:t>
      </w:r>
    </w:p>
    <w:p w14:paraId="36C37BFE">
      <w:pPr>
        <w:spacing w:line="480" w:lineRule="auto"/>
        <w:ind w:firstLine="480" w:firstLineChars="200"/>
        <w:rPr>
          <w:rFonts w:hint="eastAsia" w:ascii="宋体" w:hAnsi="宋体"/>
          <w:sz w:val="24"/>
        </w:rPr>
      </w:pPr>
      <w:r>
        <w:rPr>
          <w:rFonts w:hint="eastAsia" w:ascii="宋体" w:hAnsi="宋体" w:eastAsia="宋体" w:cs="Times New Roman"/>
          <w:sz w:val="24"/>
          <w:szCs w:val="24"/>
          <w:lang w:val="en-US" w:eastAsia="zh-CN"/>
        </w:rPr>
        <w:t xml:space="preserve">                                               </w:t>
      </w:r>
      <w:r>
        <w:rPr>
          <w:rFonts w:hint="eastAsia" w:ascii="宋体" w:hAnsi="宋体" w:cs="Times New Roman"/>
          <w:sz w:val="24"/>
          <w:szCs w:val="24"/>
          <w:lang w:val="en-US" w:eastAsia="zh-CN"/>
        </w:rPr>
        <w:t>2026</w:t>
      </w:r>
      <w:r>
        <w:rPr>
          <w:rFonts w:hint="eastAsia" w:ascii="宋体" w:hAnsi="宋体" w:eastAsia="宋体" w:cs="Times New Roman"/>
          <w:sz w:val="24"/>
          <w:szCs w:val="24"/>
        </w:rPr>
        <w:t>年</w:t>
      </w:r>
      <w:r>
        <w:rPr>
          <w:rFonts w:hint="eastAsia" w:ascii="宋体" w:hAnsi="宋体" w:cs="Times New Roman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Times New Roman"/>
          <w:sz w:val="24"/>
          <w:szCs w:val="24"/>
        </w:rPr>
        <w:t>月</w:t>
      </w:r>
      <w:r>
        <w:rPr>
          <w:rFonts w:hint="eastAsia" w:ascii="宋体" w:hAnsi="宋体" w:cs="Times New Roman"/>
          <w:sz w:val="24"/>
          <w:szCs w:val="24"/>
          <w:lang w:val="en-US" w:eastAsia="zh-CN"/>
        </w:rPr>
        <w:t>11</w:t>
      </w:r>
      <w:r>
        <w:rPr>
          <w:rFonts w:hint="eastAsia" w:ascii="宋体" w:hAnsi="宋体" w:eastAsia="宋体" w:cs="Times New Roman"/>
          <w:sz w:val="24"/>
          <w:szCs w:val="24"/>
        </w:rPr>
        <w:t>日</w:t>
      </w:r>
    </w:p>
    <w:p w14:paraId="5B09CC0A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trackRevisions w:val="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A1NmZiMWE0YWZjYjYyMGEyNTM2NWY1ODVjOWFiMTQifQ=="/>
  </w:docVars>
  <w:rsids>
    <w:rsidRoot w:val="420C6027"/>
    <w:rsid w:val="011D149F"/>
    <w:rsid w:val="09005F61"/>
    <w:rsid w:val="1230056D"/>
    <w:rsid w:val="134709AF"/>
    <w:rsid w:val="1E064ABC"/>
    <w:rsid w:val="1FF43BD3"/>
    <w:rsid w:val="22D76996"/>
    <w:rsid w:val="293F717E"/>
    <w:rsid w:val="32C62318"/>
    <w:rsid w:val="41077383"/>
    <w:rsid w:val="420C6027"/>
    <w:rsid w:val="4400099F"/>
    <w:rsid w:val="44D33151"/>
    <w:rsid w:val="5CD01CAF"/>
    <w:rsid w:val="5F003818"/>
    <w:rsid w:val="5FCF10DB"/>
    <w:rsid w:val="65BD2074"/>
    <w:rsid w:val="6D3060C8"/>
    <w:rsid w:val="709B1C21"/>
    <w:rsid w:val="77C113FC"/>
    <w:rsid w:val="7A8B617A"/>
    <w:rsid w:val="7D211A8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4"/>
    <w:unhideWhenUsed/>
    <w:qFormat/>
    <w:uiPriority w:val="99"/>
    <w:pPr>
      <w:ind w:firstLine="420" w:firstLineChars="200"/>
    </w:pPr>
    <w:rPr>
      <w:rFonts w:ascii="Calibri" w:hAnsi="Calibri"/>
    </w:rPr>
  </w:style>
  <w:style w:type="paragraph" w:styleId="3">
    <w:name w:val="Body Text Indent"/>
    <w:basedOn w:val="1"/>
    <w:qFormat/>
    <w:uiPriority w:val="0"/>
    <w:pPr>
      <w:spacing w:after="120"/>
      <w:ind w:left="420" w:leftChars="200"/>
    </w:pPr>
  </w:style>
  <w:style w:type="paragraph" w:styleId="4">
    <w:name w:val="Body Text"/>
    <w:basedOn w:val="1"/>
    <w:unhideWhenUsed/>
    <w:qFormat/>
    <w:uiPriority w:val="99"/>
    <w:pPr>
      <w:spacing w:before="120" w:after="12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433</Words>
  <Characters>500</Characters>
  <Lines>0</Lines>
  <Paragraphs>0</Paragraphs>
  <TotalTime>10</TotalTime>
  <ScaleCrop>false</ScaleCrop>
  <LinksUpToDate>false</LinksUpToDate>
  <CharactersWithSpaces>591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2025-06-16T07:41:00Z</dcterms:created>
  <dc:creator>刘芳勤_产品管理部</dc:creator>
  <cp:lastModifiedBy>00031</cp:lastModifiedBy>
  <dcterms:modified xsi:type="dcterms:W3CDTF">2026-05-11T07:42:12Z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77BAE244390C4F8CA0C4BF02F32C093B</vt:lpwstr>
  </property>
</Properties>
</file>