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bookmarkStart w:id="0" w:name="_GoBack"/>
      <w:bookmarkEnd w:id="0"/>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财计划仅向依据中华人民共和国有关法律法规及本产品说明书规定可以购买本理财计划的投资者发售。</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p w:rsidR="000A2C5B" w:rsidRPr="000A2C5B" w:rsidRDefault="000A2C5B" w:rsidP="000A2C5B">
            <w:pPr>
              <w:rPr>
                <w:rFonts w:ascii="宋体" w:hAnsi="宋体"/>
                <w:sz w:val="22"/>
                <w:szCs w:val="22"/>
              </w:rPr>
            </w:pPr>
            <w:r>
              <w:rPr>
                <w:rFonts w:ascii="宋体" w:hAnsi="宋体"/>
                <w:sz w:val="22"/>
                <w:szCs w:val="22"/>
              </w:rPr>
              <w:t>G</w:t>
            </w:r>
            <w:r>
              <w:rPr>
                <w:rFonts w:ascii="宋体" w:hAnsi="宋体" w:hint="eastAsia"/>
                <w:sz w:val="22"/>
                <w:szCs w:val="22"/>
              </w:rPr>
              <w:t>份额（销售代码【8109</w:t>
            </w:r>
            <w:r>
              <w:rPr>
                <w:rFonts w:ascii="宋体" w:hAnsi="宋体"/>
                <w:sz w:val="22"/>
                <w:szCs w:val="22"/>
              </w:rPr>
              <w:t>G</w:t>
            </w:r>
            <w:r>
              <w:rPr>
                <w:rFonts w:ascii="宋体" w:hAnsi="宋体" w:hint="eastAsia"/>
                <w:sz w:val="22"/>
                <w:szCs w:val="22"/>
              </w:rPr>
              <w:t>】</w:t>
            </w:r>
            <w:r>
              <w:rPr>
                <w:rFonts w:ascii="宋体" w:hAnsi="宋体" w:cs="宋体"/>
                <w:sz w:val="22"/>
              </w:rPr>
              <w:t>，销售简称【</w:t>
            </w:r>
            <w:r w:rsidRPr="0052697B">
              <w:rPr>
                <w:rFonts w:ascii="宋体" w:hAnsi="宋体" w:cs="宋体" w:hint="eastAsia"/>
                <w:sz w:val="22"/>
              </w:rPr>
              <w:t>招银理财日日金</w:t>
            </w:r>
            <w:r>
              <w:rPr>
                <w:rFonts w:ascii="宋体" w:hAnsi="宋体" w:cs="宋体" w:hint="eastAsia"/>
                <w:sz w:val="22"/>
              </w:rPr>
              <w:t>109</w:t>
            </w:r>
            <w:r w:rsidRPr="0052697B">
              <w:rPr>
                <w:rFonts w:ascii="宋体" w:hAnsi="宋体" w:cs="宋体" w:hint="eastAsia"/>
                <w:sz w:val="22"/>
              </w:rPr>
              <w:t>号</w:t>
            </w:r>
            <w:r>
              <w:rPr>
                <w:rFonts w:ascii="宋体" w:hAnsi="宋体" w:cs="宋体"/>
                <w:sz w:val="22"/>
              </w:rPr>
              <w:t>G】</w:t>
            </w:r>
            <w:r>
              <w:rPr>
                <w:rFonts w:ascii="宋体" w:hAnsi="宋体" w:hint="eastAsia"/>
                <w:sz w:val="22"/>
                <w:szCs w:val="22"/>
              </w:rPr>
              <w:t>）：招商银行机构投资者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lastRenderedPageBreak/>
              <w:t>TZ</w:t>
            </w:r>
            <w:r>
              <w:rPr>
                <w:rFonts w:ascii="宋体" w:hAnsi="宋体" w:hint="eastAsia"/>
                <w:sz w:val="22"/>
                <w:szCs w:val="22"/>
              </w:rPr>
              <w:t>份额：发行规模上限100亿元。</w:t>
            </w:r>
          </w:p>
          <w:p w:rsid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22317D" w:rsidRPr="00C01366" w:rsidRDefault="0022317D">
            <w:pPr>
              <w:rPr>
                <w:rFonts w:ascii="宋体" w:hAnsi="宋体"/>
                <w:sz w:val="22"/>
                <w:szCs w:val="22"/>
              </w:rPr>
            </w:pPr>
            <w:r>
              <w:rPr>
                <w:rFonts w:ascii="宋体" w:hAnsi="宋体"/>
                <w:sz w:val="22"/>
                <w:szCs w:val="22"/>
              </w:rPr>
              <w:t>G</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2317D" w:rsidRPr="0022317D" w:rsidRDefault="0022317D">
            <w:pPr>
              <w:rPr>
                <w:rFonts w:ascii="宋体" w:hAnsi="宋体"/>
                <w:sz w:val="22"/>
                <w:szCs w:val="22"/>
              </w:rPr>
            </w:pPr>
            <w:r>
              <w:rPr>
                <w:rFonts w:ascii="宋体" w:hAnsi="宋体"/>
                <w:sz w:val="22"/>
                <w:szCs w:val="22"/>
              </w:rPr>
              <w:t>G</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p w:rsidR="0022317D" w:rsidRPr="0022317D" w:rsidRDefault="0022317D" w:rsidP="0022317D">
            <w:pPr>
              <w:rPr>
                <w:rFonts w:asciiTheme="minorEastAsia" w:eastAsiaTheme="minorEastAsia" w:hAnsiTheme="minorEastAsia"/>
                <w:sz w:val="22"/>
                <w:szCs w:val="22"/>
              </w:rPr>
            </w:pPr>
            <w:r>
              <w:rPr>
                <w:rFonts w:asciiTheme="minorEastAsia" w:eastAsiaTheme="minorEastAsia" w:hAnsiTheme="minorEastAsia"/>
                <w:sz w:val="22"/>
                <w:szCs w:val="22"/>
              </w:rPr>
              <w:t>G</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G</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22317D" w:rsidRPr="00402F4F">
              <w:rPr>
                <w:rFonts w:asciiTheme="minorEastAsia" w:eastAsiaTheme="minorEastAsia" w:hAnsiTheme="minorEastAsia" w:hint="eastAsia"/>
                <w:b/>
                <w:sz w:val="22"/>
                <w:szCs w:val="22"/>
              </w:rPr>
              <w:t>，</w:t>
            </w:r>
            <w:r w:rsidR="0022317D">
              <w:rPr>
                <w:rFonts w:asciiTheme="minorEastAsia" w:eastAsiaTheme="minorEastAsia" w:hAnsiTheme="minorEastAsia"/>
                <w:b/>
                <w:sz w:val="22"/>
                <w:szCs w:val="22"/>
              </w:rPr>
              <w:t>G</w:t>
            </w:r>
            <w:r w:rsidR="0022317D" w:rsidRPr="00402F4F">
              <w:rPr>
                <w:rFonts w:asciiTheme="minorEastAsia" w:eastAsiaTheme="minorEastAsia" w:hAnsiTheme="minorEastAsia" w:hint="eastAsia"/>
                <w:b/>
                <w:sz w:val="22"/>
                <w:szCs w:val="22"/>
              </w:rPr>
              <w:t>份额销售服务费率</w:t>
            </w:r>
            <w:r w:rsidR="0022317D"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w:t>
            </w:r>
            <w:r w:rsidRPr="00E11F6F">
              <w:rPr>
                <w:rFonts w:ascii="宋体" w:hAnsi="宋体" w:hint="eastAsia"/>
                <w:b/>
                <w:sz w:val="22"/>
              </w:rPr>
              <w:lastRenderedPageBreak/>
              <w:t>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lastRenderedPageBreak/>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lastRenderedPageBreak/>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lastRenderedPageBreak/>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lastRenderedPageBreak/>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w:t>
      </w:r>
      <w:r>
        <w:rPr>
          <w:rFonts w:asciiTheme="majorEastAsia" w:eastAsiaTheme="majorEastAsia" w:hAnsiTheme="majorEastAsia" w:cs="Arial" w:hint="eastAsia"/>
          <w:bCs/>
          <w:color w:val="000000"/>
          <w:kern w:val="0"/>
          <w:sz w:val="22"/>
        </w:rPr>
        <w:lastRenderedPageBreak/>
        <w:t>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w:t>
      </w:r>
      <w:r>
        <w:rPr>
          <w:rFonts w:asciiTheme="minorEastAsia" w:eastAsiaTheme="minorEastAsia" w:hAnsiTheme="minorEastAsia" w:cs="Arial"/>
          <w:sz w:val="22"/>
          <w:szCs w:val="22"/>
        </w:rPr>
        <w:lastRenderedPageBreak/>
        <w:t>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sidR="00137F69">
        <w:rPr>
          <w:rFonts w:asciiTheme="minorEastAsia" w:eastAsiaTheme="minorEastAsia" w:hAnsiTheme="minorEastAsia" w:cs="Arial" w:hint="eastAsia"/>
          <w:sz w:val="22"/>
          <w:szCs w:val="22"/>
        </w:rPr>
        <w:t>、张家口银行</w:t>
      </w:r>
      <w:r w:rsidR="00B16BC3">
        <w:rPr>
          <w:rFonts w:asciiTheme="minorEastAsia" w:eastAsiaTheme="minorEastAsia" w:hAnsiTheme="minorEastAsia" w:cs="Arial" w:hint="eastAsia"/>
          <w:sz w:val="22"/>
          <w:szCs w:val="22"/>
        </w:rPr>
        <w:t>、江苏银行</w:t>
      </w:r>
      <w:r w:rsidR="00A6641E">
        <w:rPr>
          <w:rFonts w:asciiTheme="minorEastAsia" w:eastAsiaTheme="minorEastAsia" w:hAnsiTheme="minorEastAsia" w:cs="Arial" w:hint="eastAsia"/>
          <w:sz w:val="22"/>
          <w:szCs w:val="22"/>
        </w:rPr>
        <w:t>、重庆农商行、赣州银行</w:t>
      </w:r>
      <w:r w:rsidR="004C7E70">
        <w:rPr>
          <w:rFonts w:asciiTheme="minorEastAsia" w:eastAsiaTheme="minorEastAsia" w:hAnsiTheme="minorEastAsia" w:cs="Arial" w:hint="eastAsia"/>
          <w:sz w:val="22"/>
          <w:szCs w:val="22"/>
        </w:rPr>
        <w:t>、鄞州农商行</w:t>
      </w:r>
      <w:r w:rsidR="009F55D4">
        <w:rPr>
          <w:rFonts w:asciiTheme="minorEastAsia" w:eastAsiaTheme="minorEastAsia" w:hAnsiTheme="minorEastAsia" w:cs="Arial" w:hint="eastAsia"/>
          <w:sz w:val="22"/>
          <w:szCs w:val="22"/>
        </w:rPr>
        <w:t>、郑州银行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lastRenderedPageBreak/>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4909A3">
        <w:trPr>
          <w:jc w:val="center"/>
        </w:trPr>
        <w:tc>
          <w:tcPr>
            <w:tcW w:w="2509" w:type="dxa"/>
            <w:vMerge/>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r w:rsidR="00137F69" w:rsidTr="00272021">
        <w:trPr>
          <w:jc w:val="center"/>
        </w:trPr>
        <w:tc>
          <w:tcPr>
            <w:tcW w:w="2509" w:type="dxa"/>
            <w:vMerge w:val="restart"/>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r w:rsidRPr="00D02B40">
              <w:rPr>
                <w:rFonts w:ascii="宋体" w:hAnsi="宋体" w:cs="宋体"/>
                <w:sz w:val="22"/>
              </w:rPr>
              <w:t>张家口银行股份有限公司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河北省张家口市桥东区胜利北路51号</w:t>
            </w:r>
          </w:p>
        </w:tc>
      </w:tr>
      <w:tr w:rsidR="00137F69" w:rsidTr="00570E07">
        <w:trPr>
          <w:jc w:val="center"/>
        </w:trPr>
        <w:tc>
          <w:tcPr>
            <w:tcW w:w="2509" w:type="dxa"/>
            <w:vMerge/>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4006896368</w:t>
            </w:r>
          </w:p>
        </w:tc>
      </w:tr>
      <w:tr w:rsidR="00B16BC3" w:rsidTr="003B64AF">
        <w:trPr>
          <w:jc w:val="center"/>
        </w:trPr>
        <w:tc>
          <w:tcPr>
            <w:tcW w:w="2509" w:type="dxa"/>
            <w:vMerge w:val="restart"/>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r>
              <w:rPr>
                <w:rFonts w:ascii="宋体" w:hAnsi="宋体" w:cs="Arial" w:hint="eastAsia"/>
                <w:sz w:val="22"/>
              </w:rPr>
              <w:t>江苏银行股份有限公司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南京市中华路26号</w:t>
            </w:r>
          </w:p>
        </w:tc>
      </w:tr>
      <w:tr w:rsidR="00B16BC3" w:rsidTr="00E307D8">
        <w:trPr>
          <w:jc w:val="center"/>
        </w:trPr>
        <w:tc>
          <w:tcPr>
            <w:tcW w:w="2509" w:type="dxa"/>
            <w:vMerge/>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95319</w:t>
            </w:r>
          </w:p>
        </w:tc>
      </w:tr>
      <w:tr w:rsidR="00A6641E" w:rsidTr="00100EA2">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A641F4">
              <w:rPr>
                <w:rFonts w:ascii="宋体" w:hAnsi="宋体" w:cs="宋体"/>
                <w:sz w:val="22"/>
                <w:szCs w:val="22"/>
              </w:rPr>
              <w:t>重庆农村商业银行股份有限公司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重庆市江北区金沙门路36号</w:t>
            </w:r>
          </w:p>
        </w:tc>
      </w:tr>
      <w:tr w:rsidR="00A6641E" w:rsidTr="00100EA2">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95389</w:t>
            </w:r>
          </w:p>
        </w:tc>
      </w:tr>
      <w:tr w:rsidR="00A6641E" w:rsidTr="008116FA">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422F18">
              <w:rPr>
                <w:rFonts w:ascii="宋体" w:hAnsi="宋体" w:cs="Arial"/>
                <w:sz w:val="22"/>
              </w:rPr>
              <w:t>赣州银行股份有限公司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江西省赣州市赣江源大道26号</w:t>
            </w:r>
          </w:p>
        </w:tc>
      </w:tr>
      <w:tr w:rsidR="00A6641E" w:rsidTr="005208E5">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0797-96296</w:t>
            </w:r>
          </w:p>
        </w:tc>
      </w:tr>
      <w:tr w:rsidR="004C7E70" w:rsidTr="00906237">
        <w:trPr>
          <w:jc w:val="center"/>
        </w:trPr>
        <w:tc>
          <w:tcPr>
            <w:tcW w:w="2509" w:type="dxa"/>
            <w:vMerge w:val="restart"/>
            <w:tcBorders>
              <w:left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r w:rsidRPr="00761426">
              <w:rPr>
                <w:rFonts w:ascii="宋体" w:hAnsi="宋体" w:cs="宋体"/>
                <w:sz w:val="22"/>
              </w:rPr>
              <w:t>宁波鄞州农村商业银行股份有限公司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浙江省宁波市鄞州区民惠西路88号</w:t>
            </w:r>
          </w:p>
        </w:tc>
      </w:tr>
      <w:tr w:rsidR="004C7E70" w:rsidTr="009510FD">
        <w:trPr>
          <w:jc w:val="center"/>
        </w:trPr>
        <w:tc>
          <w:tcPr>
            <w:tcW w:w="2509" w:type="dxa"/>
            <w:vMerge/>
            <w:tcBorders>
              <w:left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956058</w:t>
            </w:r>
          </w:p>
        </w:tc>
      </w:tr>
      <w:tr w:rsidR="009F55D4" w:rsidTr="002B4301">
        <w:trPr>
          <w:jc w:val="center"/>
        </w:trPr>
        <w:tc>
          <w:tcPr>
            <w:tcW w:w="2509" w:type="dxa"/>
            <w:vMerge w:val="restart"/>
            <w:tcBorders>
              <w:left w:val="single" w:sz="4" w:space="0" w:color="000000"/>
              <w:right w:val="single" w:sz="4" w:space="0" w:color="000000"/>
            </w:tcBorders>
            <w:vAlign w:val="center"/>
          </w:tcPr>
          <w:p w:rsidR="009F55D4" w:rsidRDefault="009F55D4" w:rsidP="009F55D4">
            <w:pPr>
              <w:widowControl/>
              <w:jc w:val="left"/>
              <w:rPr>
                <w:rFonts w:ascii="宋体" w:hAnsi="宋体" w:cs="Arial"/>
                <w:sz w:val="22"/>
                <w:szCs w:val="22"/>
              </w:rPr>
            </w:pPr>
            <w:r w:rsidRPr="00FC329E">
              <w:rPr>
                <w:rFonts w:ascii="宋体" w:hAnsi="宋体" w:cs="宋体"/>
                <w:sz w:val="22"/>
                <w:szCs w:val="22"/>
              </w:rPr>
              <w:t>郑州银行股份有限公司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F55D4" w:rsidRPr="00B94916" w:rsidRDefault="009F55D4" w:rsidP="009F55D4">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F55D4" w:rsidRPr="00761426" w:rsidRDefault="009F55D4" w:rsidP="009F55D4">
            <w:pPr>
              <w:adjustRightInd w:val="0"/>
              <w:snapToGrid w:val="0"/>
              <w:spacing w:line="300" w:lineRule="auto"/>
              <w:rPr>
                <w:rFonts w:ascii="宋体" w:hAnsi="宋体" w:cs="宋体"/>
                <w:sz w:val="22"/>
              </w:rPr>
            </w:pPr>
            <w:r w:rsidRPr="00FC329E">
              <w:rPr>
                <w:rFonts w:ascii="宋体" w:hAnsi="宋体" w:cs="宋体"/>
                <w:sz w:val="22"/>
                <w:szCs w:val="22"/>
              </w:rPr>
              <w:t>河南省郑州市郑东新区商务外环路22号</w:t>
            </w:r>
          </w:p>
        </w:tc>
      </w:tr>
      <w:tr w:rsidR="009F55D4" w:rsidTr="00E22615">
        <w:trPr>
          <w:jc w:val="center"/>
        </w:trPr>
        <w:tc>
          <w:tcPr>
            <w:tcW w:w="2509" w:type="dxa"/>
            <w:vMerge/>
            <w:tcBorders>
              <w:left w:val="single" w:sz="4" w:space="0" w:color="000000"/>
              <w:bottom w:val="single" w:sz="4" w:space="0" w:color="000000"/>
              <w:right w:val="single" w:sz="4" w:space="0" w:color="000000"/>
            </w:tcBorders>
            <w:vAlign w:val="center"/>
          </w:tcPr>
          <w:p w:rsidR="009F55D4" w:rsidRDefault="009F55D4" w:rsidP="009F55D4">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F55D4" w:rsidRPr="00B94916" w:rsidRDefault="009F55D4" w:rsidP="009F55D4">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F55D4" w:rsidRPr="00761426" w:rsidRDefault="009F55D4" w:rsidP="009F55D4">
            <w:pPr>
              <w:adjustRightInd w:val="0"/>
              <w:snapToGrid w:val="0"/>
              <w:spacing w:line="300" w:lineRule="auto"/>
              <w:rPr>
                <w:rFonts w:ascii="宋体" w:hAnsi="宋体" w:cs="宋体"/>
                <w:sz w:val="22"/>
              </w:rPr>
            </w:pPr>
            <w:r w:rsidRPr="00FC329E">
              <w:rPr>
                <w:rFonts w:ascii="宋体" w:hAnsi="宋体" w:cs="宋体"/>
                <w:sz w:val="22"/>
                <w:szCs w:val="22"/>
              </w:rPr>
              <w:t>95097</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sidR="0022317D">
        <w:rPr>
          <w:rFonts w:ascii="宋体" w:hAnsi="宋体"/>
          <w:sz w:val="22"/>
          <w:szCs w:val="22"/>
        </w:rPr>
        <w:t>，G</w:t>
      </w:r>
      <w:r w:rsidR="0022317D">
        <w:rPr>
          <w:rFonts w:ascii="宋体" w:hAnsi="宋体" w:hint="eastAsia"/>
          <w:sz w:val="22"/>
          <w:szCs w:val="22"/>
        </w:rPr>
        <w:t>份额发行规模上限</w:t>
      </w:r>
      <w:r w:rsidR="0022317D">
        <w:rPr>
          <w:rFonts w:ascii="宋体" w:hAnsi="宋体"/>
          <w:sz w:val="22"/>
          <w:szCs w:val="22"/>
        </w:rPr>
        <w:t>2</w:t>
      </w:r>
      <w:r w:rsidR="0022317D">
        <w:rPr>
          <w:rFonts w:ascii="宋体" w:hAnsi="宋体" w:hint="eastAsia"/>
          <w:sz w:val="22"/>
          <w:szCs w:val="22"/>
        </w:rPr>
        <w:t>00亿元</w:t>
      </w:r>
      <w:r>
        <w:rPr>
          <w:rFonts w:ascii="宋体" w:hAnsi="宋体" w:hint="eastAsia"/>
          <w:sz w:val="22"/>
          <w:szCs w:val="22"/>
        </w:rPr>
        <w:t>。认购</w:t>
      </w:r>
      <w:r>
        <w:rPr>
          <w:rFonts w:ascii="宋体" w:hAnsi="宋体" w:hint="eastAsia"/>
          <w:sz w:val="22"/>
          <w:szCs w:val="22"/>
        </w:rPr>
        <w:lastRenderedPageBreak/>
        <w:t>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2317D">
        <w:rPr>
          <w:rFonts w:ascii="宋体" w:hAnsi="宋体"/>
          <w:sz w:val="22"/>
          <w:szCs w:val="22"/>
        </w:rPr>
        <w:t>G</w:t>
      </w:r>
      <w:r w:rsidR="0022317D">
        <w:rPr>
          <w:rFonts w:ascii="宋体" w:hAnsi="宋体" w:hint="eastAsia"/>
          <w:sz w:val="22"/>
          <w:szCs w:val="22"/>
        </w:rPr>
        <w:t>份额</w:t>
      </w:r>
      <w:r w:rsidR="0022317D">
        <w:rPr>
          <w:rFonts w:ascii="宋体" w:hAnsi="宋体"/>
          <w:sz w:val="22"/>
          <w:szCs w:val="22"/>
        </w:rPr>
        <w:t>投资者首次认购单笔最低限额为</w:t>
      </w:r>
      <w:r w:rsidR="0022317D">
        <w:rPr>
          <w:rFonts w:ascii="宋体" w:hAnsi="宋体" w:hint="eastAsia"/>
          <w:sz w:val="22"/>
          <w:szCs w:val="22"/>
        </w:rPr>
        <w:t>0.01元</w:t>
      </w:r>
      <w:r w:rsidR="0022317D">
        <w:rPr>
          <w:rFonts w:ascii="宋体" w:hAnsi="宋体"/>
          <w:sz w:val="22"/>
          <w:szCs w:val="22"/>
        </w:rPr>
        <w:t>，高于认购单笔最低限额的份额须为</w:t>
      </w:r>
      <w:r w:rsidR="0022317D">
        <w:rPr>
          <w:rFonts w:ascii="宋体" w:hAnsi="宋体" w:hint="eastAsia"/>
          <w:sz w:val="22"/>
          <w:szCs w:val="22"/>
        </w:rPr>
        <w:t>0.0</w:t>
      </w:r>
      <w:r w:rsidR="0022317D">
        <w:rPr>
          <w:rFonts w:ascii="宋体" w:hAnsi="宋体"/>
          <w:sz w:val="22"/>
          <w:szCs w:val="22"/>
        </w:rPr>
        <w:t>1</w:t>
      </w:r>
      <w:r w:rsidR="0022317D">
        <w:rPr>
          <w:rFonts w:ascii="宋体" w:hAnsi="宋体" w:hint="eastAsia"/>
          <w:sz w:val="22"/>
          <w:szCs w:val="22"/>
        </w:rPr>
        <w:t>元</w:t>
      </w:r>
      <w:r w:rsidR="0022317D">
        <w:rPr>
          <w:rFonts w:ascii="宋体" w:hAnsi="宋体"/>
          <w:sz w:val="22"/>
          <w:szCs w:val="22"/>
        </w:rPr>
        <w:t>的整数倍</w:t>
      </w:r>
      <w:r w:rsidR="0022317D">
        <w:rPr>
          <w:rFonts w:ascii="宋体" w:hAnsi="宋体" w:hint="eastAsia"/>
          <w:sz w:val="22"/>
          <w:szCs w:val="22"/>
        </w:rPr>
        <w:t>。</w:t>
      </w:r>
      <w:r w:rsidR="00287771" w:rsidRPr="0070716E">
        <w:rPr>
          <w:rFonts w:ascii="宋体" w:hAnsi="宋体" w:cs="宋体"/>
          <w:b/>
          <w:bCs/>
          <w:sz w:val="22"/>
        </w:rPr>
        <w:t>销售服务机构的实际认购起点可能与说明书不一致，具体以销售服务机构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sidR="0022317D">
        <w:rPr>
          <w:rFonts w:asciiTheme="minorEastAsia" w:eastAsiaTheme="minorEastAsia" w:hAnsiTheme="minorEastAsia"/>
          <w:b/>
          <w:sz w:val="22"/>
          <w:szCs w:val="22"/>
        </w:rPr>
        <w:t>G</w:t>
      </w:r>
      <w:r w:rsidR="0022317D">
        <w:rPr>
          <w:rFonts w:asciiTheme="minorEastAsia" w:eastAsiaTheme="minorEastAsia" w:hAnsiTheme="minorEastAsia" w:hint="eastAsia"/>
          <w:b/>
          <w:sz w:val="22"/>
          <w:szCs w:val="22"/>
        </w:rPr>
        <w:t>份额投资者单笔认购上限为</w:t>
      </w:r>
      <w:r w:rsidR="0022317D">
        <w:rPr>
          <w:rFonts w:asciiTheme="minorEastAsia" w:eastAsiaTheme="minorEastAsia" w:hAnsiTheme="minorEastAsia"/>
          <w:b/>
          <w:sz w:val="22"/>
          <w:szCs w:val="22"/>
        </w:rPr>
        <w:t>1</w:t>
      </w:r>
      <w:r w:rsidR="0022317D">
        <w:rPr>
          <w:rFonts w:asciiTheme="minorEastAsia" w:eastAsiaTheme="minorEastAsia" w:hAnsiTheme="minorEastAsia" w:hint="eastAsia"/>
          <w:b/>
          <w:sz w:val="22"/>
          <w:szCs w:val="22"/>
        </w:rPr>
        <w:t>亿元和本理财计划</w:t>
      </w:r>
      <w:r w:rsidR="0022317D">
        <w:rPr>
          <w:rFonts w:asciiTheme="minorEastAsia" w:eastAsiaTheme="minorEastAsia" w:hAnsiTheme="minorEastAsia"/>
          <w:b/>
          <w:sz w:val="22"/>
          <w:szCs w:val="22"/>
        </w:rPr>
        <w:t>G</w:t>
      </w:r>
      <w:r w:rsidR="0022317D">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E747EA">
        <w:rPr>
          <w:rFonts w:asciiTheme="minorEastAsia" w:eastAsiaTheme="minorEastAsia" w:hAnsiTheme="minorEastAsia" w:hint="eastAsia"/>
          <w:b/>
          <w:sz w:val="22"/>
          <w:szCs w:val="22"/>
        </w:rPr>
        <w:t>1亿</w:t>
      </w:r>
      <w:r w:rsidR="00DE0A7C">
        <w:rPr>
          <w:rFonts w:asciiTheme="minorEastAsia" w:eastAsiaTheme="minorEastAsia" w:hAnsiTheme="minorEastAsia" w:hint="eastAsia"/>
          <w:b/>
          <w:sz w:val="22"/>
          <w:szCs w:val="22"/>
        </w:rPr>
        <w:t>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sidR="0022317D">
        <w:rPr>
          <w:rFonts w:asciiTheme="minorEastAsia" w:eastAsiaTheme="minorEastAsia" w:hAnsiTheme="minorEastAsia"/>
          <w:b/>
          <w:sz w:val="22"/>
          <w:szCs w:val="22"/>
        </w:rPr>
        <w:t>G</w:t>
      </w:r>
      <w:r w:rsidR="0022317D">
        <w:rPr>
          <w:rFonts w:asciiTheme="minorEastAsia" w:eastAsiaTheme="minorEastAsia" w:hAnsiTheme="minorEastAsia" w:hint="eastAsia"/>
          <w:b/>
          <w:sz w:val="22"/>
          <w:szCs w:val="22"/>
        </w:rPr>
        <w:t>份额投资者持仓上限为</w:t>
      </w:r>
      <w:r w:rsidR="0022317D">
        <w:rPr>
          <w:rFonts w:asciiTheme="minorEastAsia" w:eastAsiaTheme="minorEastAsia" w:hAnsiTheme="minorEastAsia"/>
          <w:b/>
          <w:sz w:val="22"/>
          <w:szCs w:val="22"/>
        </w:rPr>
        <w:t>1</w:t>
      </w:r>
      <w:r w:rsidR="0022317D">
        <w:rPr>
          <w:rFonts w:asciiTheme="minorEastAsia" w:eastAsiaTheme="minorEastAsia" w:hAnsiTheme="minorEastAsia" w:hint="eastAsia"/>
          <w:b/>
          <w:sz w:val="22"/>
          <w:szCs w:val="22"/>
        </w:rPr>
        <w:t>亿元和本理财计划</w:t>
      </w:r>
      <w:r w:rsidR="0022317D">
        <w:rPr>
          <w:rFonts w:asciiTheme="minorEastAsia" w:eastAsiaTheme="minorEastAsia" w:hAnsiTheme="minorEastAsia"/>
          <w:b/>
          <w:sz w:val="22"/>
          <w:szCs w:val="22"/>
        </w:rPr>
        <w:t>G</w:t>
      </w:r>
      <w:r w:rsidR="0022317D">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w:t>
      </w:r>
      <w:r>
        <w:rPr>
          <w:rFonts w:ascii="宋体" w:hAnsi="宋体" w:hint="eastAsia"/>
          <w:sz w:val="22"/>
          <w:szCs w:val="22"/>
        </w:rPr>
        <w:lastRenderedPageBreak/>
        <w:t>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购申请，除非投资者在认购期内多次认购，否则投资者只能选择全部撤单。如投资者在认购期内多次认购，则投资者有权撤销其初次认购申请或任一追加认购申请，但必须就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sidR="0022317D">
        <w:rPr>
          <w:rFonts w:asciiTheme="minorEastAsia" w:eastAsiaTheme="minorEastAsia" w:hAnsiTheme="minorEastAsia" w:cs="Arial"/>
          <w:sz w:val="22"/>
          <w:szCs w:val="22"/>
        </w:rPr>
        <w:t>G</w:t>
      </w:r>
      <w:r w:rsidR="0022317D">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w:t>
      </w:r>
      <w:r w:rsidR="00E747EA">
        <w:rPr>
          <w:rFonts w:asciiTheme="minorEastAsia" w:eastAsiaTheme="minorEastAsia" w:hAnsiTheme="minorEastAsia" w:hint="eastAsia"/>
          <w:sz w:val="22"/>
          <w:szCs w:val="22"/>
        </w:rPr>
        <w:t>1亿</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sidR="0022317D">
        <w:rPr>
          <w:rFonts w:asciiTheme="minorEastAsia" w:eastAsiaTheme="minorEastAsia" w:hAnsiTheme="minorEastAsia"/>
          <w:b/>
          <w:bCs/>
          <w:sz w:val="22"/>
          <w:szCs w:val="22"/>
        </w:rPr>
        <w:t>G</w:t>
      </w:r>
      <w:r w:rsidR="0022317D">
        <w:rPr>
          <w:rFonts w:asciiTheme="minorEastAsia" w:eastAsiaTheme="minorEastAsia" w:hAnsiTheme="minorEastAsia" w:hint="eastAsia"/>
          <w:b/>
          <w:bCs/>
          <w:sz w:val="22"/>
          <w:szCs w:val="22"/>
        </w:rPr>
        <w:t>份额</w:t>
      </w:r>
      <w:r w:rsidR="0022317D">
        <w:rPr>
          <w:rFonts w:asciiTheme="minorEastAsia" w:eastAsiaTheme="minorEastAsia" w:hAnsiTheme="minorEastAsia" w:hint="eastAsia"/>
          <w:sz w:val="22"/>
          <w:szCs w:val="22"/>
        </w:rPr>
        <w:t>投资者单笔申购上限为1亿</w:t>
      </w:r>
      <w:r w:rsidR="0022317D">
        <w:rPr>
          <w:rFonts w:asciiTheme="minorEastAsia" w:eastAsiaTheme="minorEastAsia" w:hAnsiTheme="minorEastAsia"/>
          <w:sz w:val="22"/>
          <w:szCs w:val="22"/>
        </w:rPr>
        <w:t>元和本理财计划G</w:t>
      </w:r>
      <w:r w:rsidR="0022317D">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lastRenderedPageBreak/>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2317D">
        <w:tc>
          <w:tcPr>
            <w:tcW w:w="1134" w:type="dxa"/>
            <w:vAlign w:val="center"/>
          </w:tcPr>
          <w:p w:rsidR="0022317D" w:rsidRDefault="0022317D" w:rsidP="0022317D">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G</w:t>
            </w:r>
          </w:p>
        </w:tc>
        <w:tc>
          <w:tcPr>
            <w:tcW w:w="1134" w:type="dxa"/>
            <w:vAlign w:val="center"/>
          </w:tcPr>
          <w:p w:rsidR="0022317D" w:rsidRDefault="0022317D" w:rsidP="0022317D">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2317D" w:rsidRDefault="0022317D" w:rsidP="0022317D">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2317D" w:rsidRDefault="0022317D" w:rsidP="0022317D">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2317D" w:rsidRDefault="0022317D" w:rsidP="0022317D">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w:t>
      </w:r>
      <w:r>
        <w:rPr>
          <w:rFonts w:hint="eastAsia"/>
          <w:sz w:val="22"/>
          <w:szCs w:val="22"/>
        </w:rPr>
        <w:lastRenderedPageBreak/>
        <w:t>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sidR="0022317D">
        <w:rPr>
          <w:rFonts w:ascii="宋体" w:hAnsi="宋体" w:hint="eastAsia"/>
          <w:b/>
          <w:bCs/>
          <w:sz w:val="22"/>
          <w:szCs w:val="22"/>
        </w:rPr>
        <w:t>、G份额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w:t>
            </w:r>
            <w:r>
              <w:rPr>
                <w:rFonts w:ascii="宋体" w:hAnsi="宋体" w:hint="eastAsia"/>
                <w:sz w:val="22"/>
                <w:szCs w:val="22"/>
              </w:rPr>
              <w:lastRenderedPageBreak/>
              <w:t>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sidR="0022317D">
        <w:rPr>
          <w:rFonts w:ascii="宋体" w:hAnsi="宋体" w:hint="eastAsia"/>
          <w:b/>
          <w:bCs/>
          <w:sz w:val="22"/>
          <w:szCs w:val="22"/>
        </w:rPr>
        <w:t>、G份额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w:t>
            </w:r>
            <w:r>
              <w:rPr>
                <w:rFonts w:asciiTheme="minorEastAsia" w:eastAsiaTheme="minorEastAsia" w:hAnsiTheme="minorEastAsia" w:hint="eastAsia"/>
                <w:sz w:val="22"/>
                <w:szCs w:val="22"/>
              </w:rPr>
              <w:lastRenderedPageBreak/>
              <w:t>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w:t>
      </w:r>
      <w:r>
        <w:rPr>
          <w:rFonts w:hint="eastAsia"/>
          <w:sz w:val="22"/>
          <w:szCs w:val="22"/>
        </w:rPr>
        <w:lastRenderedPageBreak/>
        <w:t>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lastRenderedPageBreak/>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每万份收益和七日年化收益率随投资收益变化，理财计划存续期内，管理人于每个理财计划自然日计算理财计划每万份收益和七日年化收益率，并于该自然日后第1个工作日内通过“信息披露”约定的渠道发布理财计划每万份收益和七日年化收益率，理财计划每万份收益精确到小数点后4位，小数点4位以后舍位，七日年化收益率精确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w:t>
      </w:r>
      <w:r>
        <w:rPr>
          <w:rFonts w:asciiTheme="minorEastAsia" w:eastAsiaTheme="minorEastAsia" w:hAnsiTheme="minorEastAsia" w:hint="eastAsia"/>
          <w:sz w:val="22"/>
          <w:szCs w:val="22"/>
        </w:rPr>
        <w:lastRenderedPageBreak/>
        <w:t>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出现上述情形时，管理人将依据法律法规规定履行信息披露程序。影子定价与摊余成本法确定的现金管理类产品资产净值的偏离度＝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w:t>
      </w:r>
      <w:r>
        <w:rPr>
          <w:rFonts w:asciiTheme="minorEastAsia" w:eastAsiaTheme="minorEastAsia" w:hAnsiTheme="minorEastAsia"/>
          <w:sz w:val="22"/>
          <w:szCs w:val="22"/>
        </w:rPr>
        <w:lastRenderedPageBreak/>
        <w:t>×10000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w:t>
      </w:r>
      <w:r>
        <w:rPr>
          <w:rFonts w:asciiTheme="minorEastAsia" w:eastAsiaTheme="minorEastAsia" w:hAnsiTheme="minorEastAsia" w:cs="Arial" w:hint="eastAsia"/>
          <w:sz w:val="22"/>
          <w:szCs w:val="22"/>
        </w:rPr>
        <w:lastRenderedPageBreak/>
        <w:t>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lastRenderedPageBreak/>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t>4.理财计划终止后，理财产品管理人将根据届时适用法律规定和监管机构的指引、要求及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（包括但不限于处置资产过程中产生的转让费、评估费、中介撮合费、律师费、鉴定费、保险费、结算手续费等其他费用）、</w:t>
      </w:r>
      <w:r>
        <w:rPr>
          <w:rFonts w:ascii="宋体" w:hAnsi="宋体" w:cs="宋体" w:hint="eastAsia"/>
          <w:b/>
          <w:sz w:val="22"/>
        </w:rPr>
        <w:t>银行手续费（包括开销户费、资金划转费、凭证购置费、账户维护费等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lastRenderedPageBreak/>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22317D">
        <w:rPr>
          <w:rFonts w:asciiTheme="minorEastAsia" w:eastAsiaTheme="minorEastAsia" w:hAnsiTheme="minorEastAsia"/>
          <w:b/>
          <w:sz w:val="22"/>
          <w:szCs w:val="22"/>
        </w:rPr>
        <w:t>G</w:t>
      </w:r>
      <w:r w:rsidR="0022317D" w:rsidRPr="00402F4F">
        <w:rPr>
          <w:rFonts w:asciiTheme="minorEastAsia" w:eastAsiaTheme="minorEastAsia" w:hAnsiTheme="minorEastAsia" w:hint="eastAsia"/>
          <w:b/>
          <w:sz w:val="22"/>
          <w:szCs w:val="22"/>
        </w:rPr>
        <w:t>份额</w:t>
      </w:r>
      <w:r w:rsidR="0022317D" w:rsidRPr="00402F4F">
        <w:rPr>
          <w:rFonts w:asciiTheme="minorEastAsia" w:eastAsiaTheme="minorEastAsia" w:hAnsiTheme="minorEastAsia"/>
          <w:b/>
          <w:sz w:val="22"/>
          <w:szCs w:val="22"/>
        </w:rPr>
        <w:t>销</w:t>
      </w:r>
      <w:r w:rsidR="0022317D" w:rsidRPr="00402F4F">
        <w:rPr>
          <w:rFonts w:asciiTheme="minorEastAsia" w:eastAsiaTheme="minorEastAsia" w:hAnsiTheme="minorEastAsia" w:hint="eastAsia"/>
          <w:b/>
          <w:sz w:val="22"/>
          <w:szCs w:val="22"/>
        </w:rPr>
        <w:t>售</w:t>
      </w:r>
      <w:r w:rsidR="0022317D" w:rsidRPr="00402F4F">
        <w:rPr>
          <w:rFonts w:asciiTheme="minorEastAsia" w:eastAsiaTheme="minorEastAsia" w:hAnsiTheme="minorEastAsia"/>
          <w:b/>
          <w:sz w:val="22"/>
          <w:szCs w:val="22"/>
        </w:rPr>
        <w:t>服务费率为0.20%/</w:t>
      </w:r>
      <w:r w:rsidR="0022317D"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22317D" w:rsidRPr="0022317D" w:rsidRDefault="0022317D" w:rsidP="0022317D">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G</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G</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w:t>
      </w:r>
      <w:r>
        <w:rPr>
          <w:rFonts w:asciiTheme="minorEastAsia" w:eastAsiaTheme="minorEastAsia" w:hAnsiTheme="minorEastAsia" w:cs="Arial"/>
          <w:sz w:val="22"/>
          <w:szCs w:val="22"/>
        </w:rPr>
        <w:lastRenderedPageBreak/>
        <w:t>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lastRenderedPageBreak/>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072" w:rsidRDefault="00A24072">
      <w:r>
        <w:separator/>
      </w:r>
    </w:p>
  </w:endnote>
  <w:endnote w:type="continuationSeparator" w:id="0">
    <w:p w:rsidR="00A24072" w:rsidRDefault="00A24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Microsoft JhengHei"/>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C9433B">
      <w:rPr>
        <w:rStyle w:val="af2"/>
        <w:noProof/>
      </w:rPr>
      <w:t>1</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072" w:rsidRDefault="00A24072">
      <w:r>
        <w:separator/>
      </w:r>
    </w:p>
  </w:footnote>
  <w:footnote w:type="continuationSeparator" w:id="0">
    <w:p w:rsidR="00A24072" w:rsidRDefault="00A240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2C5B"/>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845"/>
    <w:rsid w:val="00131E3C"/>
    <w:rsid w:val="00132202"/>
    <w:rsid w:val="001323CA"/>
    <w:rsid w:val="00132654"/>
    <w:rsid w:val="00133152"/>
    <w:rsid w:val="0013479B"/>
    <w:rsid w:val="0013526B"/>
    <w:rsid w:val="001371EC"/>
    <w:rsid w:val="00137699"/>
    <w:rsid w:val="00137F6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17D"/>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939AA"/>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27CC6"/>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681"/>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39D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09A3"/>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C7E70"/>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08E5"/>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0E0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54D3"/>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718"/>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10FD"/>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5D4"/>
    <w:rsid w:val="009F5F26"/>
    <w:rsid w:val="009F75F2"/>
    <w:rsid w:val="009F7DA9"/>
    <w:rsid w:val="00A01AD5"/>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4072"/>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41E"/>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6653"/>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48E2"/>
    <w:rsid w:val="00B156C4"/>
    <w:rsid w:val="00B157BF"/>
    <w:rsid w:val="00B157EE"/>
    <w:rsid w:val="00B167EE"/>
    <w:rsid w:val="00B16BC3"/>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433B"/>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E76A5"/>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07D8"/>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0267"/>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47EA"/>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4BFB"/>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35</Pages>
  <Words>5570</Words>
  <Characters>31749</Characters>
  <Application>Microsoft Office Word</Application>
  <DocSecurity>0</DocSecurity>
  <Lines>264</Lines>
  <Paragraphs>74</Paragraphs>
  <ScaleCrop>false</ScaleCrop>
  <Company>a</Company>
  <LinksUpToDate>false</LinksUpToDate>
  <CharactersWithSpaces>37245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178</cp:revision>
  <cp:lastPrinted>2012-07-20T01:29:00Z</cp:lastPrinted>
  <dcterms:created xsi:type="dcterms:W3CDTF">2023-05-26T07:58:00Z</dcterms:created>
  <dcterms:modified xsi:type="dcterms:W3CDTF">2026-06-12T07:20:00Z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