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b/>
          <w:bCs/>
          <w:sz w:val="20"/>
          <w:szCs w:val="21"/>
          <w:highlight w:val="none"/>
        </w:rPr>
      </w:pPr>
      <w:bookmarkStart w:id="3" w:name="_GoBack"/>
      <w:bookmarkEnd w:id="3"/>
      <w:r>
        <w:rPr>
          <w:rFonts w:hint="eastAsia" w:ascii="华文仿宋" w:hAnsi="华文仿宋" w:eastAsia="华文仿宋" w:cs="华文仿宋"/>
          <w:b/>
          <w:bCs/>
          <w:sz w:val="32"/>
          <w:szCs w:val="32"/>
          <w:highlight w:val="none"/>
          <w:lang w:val="en-US" w:eastAsia="zh-CN"/>
        </w:rPr>
        <w:t>渤银理财财收有略系列固定收益类一年封闭式理财产品2026年158号</w:t>
      </w:r>
      <w:r>
        <w:rPr>
          <w:rFonts w:ascii="华文仿宋" w:hAnsi="华文仿宋" w:eastAsia="华文仿宋" w:cs="华文仿宋"/>
          <w:b/>
          <w:bCs/>
          <w:sz w:val="32"/>
          <w:szCs w:val="32"/>
          <w:highlight w:val="none"/>
        </w:rPr>
        <w:t>产品说明书</w:t>
      </w: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一、重要须知</w:t>
      </w:r>
    </w:p>
    <w:p>
      <w:pPr>
        <w:pStyle w:val="7"/>
        <w:numPr>
          <w:ilvl w:val="0"/>
          <w:numId w:val="1"/>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本</w:t>
      </w:r>
      <w:r>
        <w:rPr>
          <w:rFonts w:hint="eastAsia" w:ascii="宋体" w:hAnsi="宋体" w:eastAsia="宋体"/>
          <w:sz w:val="24"/>
          <w:szCs w:val="24"/>
          <w:highlight w:val="none"/>
        </w:rPr>
        <w:t>理财</w:t>
      </w:r>
      <w:r>
        <w:rPr>
          <w:rFonts w:ascii="宋体" w:hAnsi="宋体" w:eastAsia="宋体"/>
          <w:sz w:val="24"/>
          <w:szCs w:val="24"/>
          <w:highlight w:val="none"/>
        </w:rPr>
        <w:t>产品说明书与《投资协议书》《风险揭示书》《理财产品（代理）销售协</w:t>
      </w:r>
      <w:r>
        <w:rPr>
          <w:rFonts w:hint="eastAsia" w:ascii="宋体" w:hAnsi="宋体" w:eastAsia="宋体"/>
          <w:sz w:val="24"/>
          <w:szCs w:val="24"/>
          <w:highlight w:val="none"/>
        </w:rPr>
        <w:t>议书》《投资者权益须知》（销售文件具体名称以销售服务机构为准，下同）共同构成本理财产品销售文件不可分割之组成部分。</w:t>
      </w:r>
    </w:p>
    <w:p>
      <w:pPr>
        <w:pStyle w:val="7"/>
        <w:numPr>
          <w:ilvl w:val="0"/>
          <w:numId w:val="1"/>
        </w:numPr>
        <w:spacing w:line="300" w:lineRule="auto"/>
        <w:ind w:firstLineChars="0"/>
        <w:rPr>
          <w:rFonts w:hint="eastAsia" w:ascii="宋体" w:hAnsi="宋体" w:eastAsia="宋体"/>
          <w:b/>
          <w:bCs/>
          <w:sz w:val="24"/>
          <w:szCs w:val="24"/>
          <w:highlight w:val="none"/>
        </w:rPr>
      </w:pPr>
      <w:r>
        <w:rPr>
          <w:rFonts w:hint="eastAsia" w:ascii="宋体" w:hAnsi="宋体" w:eastAsia="宋体"/>
          <w:b/>
          <w:bCs/>
          <w:sz w:val="24"/>
          <w:szCs w:val="24"/>
          <w:highlight w:val="none"/>
        </w:rPr>
        <w:t>理财非存款，产品有风险，投资须谨慎。</w:t>
      </w:r>
      <w:r>
        <w:rPr>
          <w:rFonts w:ascii="宋体" w:hAnsi="宋体" w:eastAsia="宋体"/>
          <w:b/>
          <w:bCs/>
          <w:sz w:val="24"/>
          <w:szCs w:val="24"/>
          <w:highlight w:val="none"/>
        </w:rPr>
        <w:t>本理财产品不等同于银行存款，管理人不保证本理财产品一定盈利，也不保</w:t>
      </w:r>
      <w:r>
        <w:rPr>
          <w:rFonts w:hint="eastAsia" w:ascii="宋体" w:hAnsi="宋体" w:eastAsia="宋体"/>
          <w:b/>
          <w:bCs/>
          <w:sz w:val="24"/>
          <w:szCs w:val="24"/>
          <w:highlight w:val="none"/>
        </w:rPr>
        <w:t>证本金安全和最低收益。理财产品过往业绩不代表其未来表现，不等于理财产品实际收益，投资须谨慎。</w:t>
      </w:r>
    </w:p>
    <w:p>
      <w:pPr>
        <w:pStyle w:val="7"/>
        <w:numPr>
          <w:ilvl w:val="0"/>
          <w:numId w:val="2"/>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本理财产品仅向依据中华人民共和国有关法律法规</w:t>
      </w:r>
      <w:r>
        <w:rPr>
          <w:rFonts w:hint="eastAsia" w:ascii="宋体" w:hAnsi="宋体" w:eastAsia="宋体"/>
          <w:sz w:val="24"/>
          <w:szCs w:val="24"/>
          <w:highlight w:val="none"/>
        </w:rPr>
        <w:t>（仅为本理财</w:t>
      </w:r>
      <w:r>
        <w:rPr>
          <w:rFonts w:ascii="宋体" w:hAnsi="宋体" w:eastAsia="宋体"/>
          <w:sz w:val="24"/>
          <w:szCs w:val="24"/>
          <w:highlight w:val="none"/>
        </w:rPr>
        <w:t>产品</w:t>
      </w:r>
      <w:r>
        <w:rPr>
          <w:rFonts w:hint="eastAsia" w:ascii="宋体" w:hAnsi="宋体" w:eastAsia="宋体"/>
          <w:sz w:val="24"/>
          <w:szCs w:val="24"/>
          <w:highlight w:val="none"/>
        </w:rPr>
        <w:t>销售文件之目的，不包括香港特别行政区、澳门特别行政区及台湾地区法律法规）</w:t>
      </w:r>
      <w:r>
        <w:rPr>
          <w:rFonts w:ascii="宋体" w:hAnsi="宋体" w:eastAsia="宋体"/>
          <w:sz w:val="24"/>
          <w:szCs w:val="24"/>
          <w:highlight w:val="none"/>
        </w:rPr>
        <w:t>及本产品说明书规定可</w:t>
      </w:r>
      <w:r>
        <w:rPr>
          <w:rFonts w:hint="eastAsia" w:ascii="宋体" w:hAnsi="宋体" w:eastAsia="宋体"/>
          <w:sz w:val="24"/>
          <w:szCs w:val="24"/>
          <w:highlight w:val="none"/>
        </w:rPr>
        <w:t>以购买本理财产品的投资者发售。</w:t>
      </w:r>
    </w:p>
    <w:p>
      <w:pPr>
        <w:pStyle w:val="7"/>
        <w:numPr>
          <w:ilvl w:val="0"/>
          <w:numId w:val="2"/>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投资者承诺其用于投资</w:t>
      </w:r>
      <w:r>
        <w:rPr>
          <w:rFonts w:hint="eastAsia" w:ascii="宋体" w:hAnsi="宋体" w:eastAsia="宋体"/>
          <w:sz w:val="24"/>
          <w:szCs w:val="24"/>
          <w:highlight w:val="none"/>
        </w:rPr>
        <w:t>本</w:t>
      </w:r>
      <w:r>
        <w:rPr>
          <w:rFonts w:ascii="宋体" w:hAnsi="宋体" w:eastAsia="宋体"/>
          <w:sz w:val="24"/>
          <w:szCs w:val="24"/>
          <w:highlight w:val="none"/>
        </w:rPr>
        <w:t>理财产品的资金来源合法合规，不存在使用贷款、发</w:t>
      </w:r>
      <w:r>
        <w:rPr>
          <w:rFonts w:hint="eastAsia" w:ascii="宋体" w:hAnsi="宋体" w:eastAsia="宋体"/>
          <w:sz w:val="24"/>
          <w:szCs w:val="24"/>
          <w:highlight w:val="none"/>
        </w:rPr>
        <w:t>行债券等筹集的非自有资金投资本理财产品的情形。</w:t>
      </w:r>
    </w:p>
    <w:p>
      <w:pPr>
        <w:pStyle w:val="7"/>
        <w:numPr>
          <w:ilvl w:val="0"/>
          <w:numId w:val="2"/>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投资者承诺投资本理财产品使用的资金为投资者合法持有，不存在代他人持</w:t>
      </w:r>
      <w:r>
        <w:rPr>
          <w:rFonts w:hint="eastAsia" w:ascii="宋体" w:hAnsi="宋体" w:eastAsia="宋体"/>
          <w:sz w:val="24"/>
          <w:szCs w:val="24"/>
          <w:highlight w:val="none"/>
        </w:rPr>
        <w:t>有或投资理财产品的情形，保证投资本理财产品不存在违反监管要求的产品嵌套，以及以投资本理财产品规避投资范围、杠杆约束等监管要求等违规行为；资金来源合法合规，不属于依据联合国、中国政府及其他可适用政府或国际组织制裁（名单）范围；仅为合法目的投资本理财产品，而非为洗钱等违法违规之目的；投资者保证遵守国家反洗钱法律、法规及相关政策要求，不从事涉及洗钱、恐怖融资、逃税、逃废债务、套取现金等违法违规活动，积极配合销售服务机构及管理人为反洗钱、反恐怖融资、制裁合规、反电信网络诈骗等合规管理以及非居民金融账户涉税等开展的尽职调查等措施，包括但不限于管理人或销售服务机构为前述目的所进行的客户身份识别、风险评估与管理、大额交易与可疑交易报告、尽职调查等，及时、真实、准确、完整提供身份信息、资金来源以及前述措施所需要的各项信息。</w:t>
      </w:r>
    </w:p>
    <w:p>
      <w:pPr>
        <w:pStyle w:val="7"/>
        <w:numPr>
          <w:ilvl w:val="0"/>
          <w:numId w:val="2"/>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投资者</w:t>
      </w:r>
      <w:r>
        <w:rPr>
          <w:rFonts w:hint="eastAsia" w:ascii="宋体" w:hAnsi="宋体" w:eastAsia="宋体"/>
          <w:sz w:val="24"/>
          <w:szCs w:val="24"/>
          <w:highlight w:val="none"/>
        </w:rPr>
        <w:t>知晓并确认，管理人或销售服务机构有权根据法律法规、监管政策的变化而不时更新反洗钱、反恐怖融资、制裁合规、反电信网络诈骗等合规管理相关措施以及非居民金融账户涉税尽职调查要求，</w:t>
      </w:r>
      <w:r>
        <w:rPr>
          <w:rFonts w:ascii="宋体" w:hAnsi="宋体" w:eastAsia="宋体"/>
          <w:sz w:val="24"/>
          <w:szCs w:val="24"/>
          <w:highlight w:val="none"/>
        </w:rPr>
        <w:t>投资者</w:t>
      </w:r>
      <w:r>
        <w:rPr>
          <w:rFonts w:hint="eastAsia" w:ascii="宋体" w:hAnsi="宋体" w:eastAsia="宋体"/>
          <w:sz w:val="24"/>
          <w:szCs w:val="24"/>
          <w:highlight w:val="none"/>
        </w:rPr>
        <w:t>将持续配合管理人或销售服务机构不时更新的措施和要求。</w:t>
      </w:r>
      <w:r>
        <w:rPr>
          <w:rFonts w:hint="eastAsia" w:ascii="宋体" w:hAnsi="宋体" w:eastAsia="宋体"/>
          <w:b/>
          <w:bCs/>
          <w:sz w:val="24"/>
          <w:szCs w:val="24"/>
          <w:highlight w:val="none"/>
        </w:rPr>
        <w:t>若</w:t>
      </w:r>
      <w:r>
        <w:rPr>
          <w:rFonts w:ascii="宋体" w:hAnsi="宋体" w:eastAsia="宋体"/>
          <w:b/>
          <w:bCs/>
          <w:sz w:val="24"/>
          <w:szCs w:val="24"/>
          <w:highlight w:val="none"/>
        </w:rPr>
        <w:t>投资者</w:t>
      </w:r>
      <w:r>
        <w:rPr>
          <w:rFonts w:hint="eastAsia" w:ascii="宋体" w:hAnsi="宋体" w:eastAsia="宋体"/>
          <w:b/>
          <w:bCs/>
          <w:sz w:val="24"/>
          <w:szCs w:val="24"/>
          <w:highlight w:val="none"/>
        </w:rPr>
        <w:t>未遵守前述各项承诺，或触发根据前述法律法规或监管政策要求认定的风险事项，管理人有权依据法律法规或监管政策要求采取相应措施，并有权提前终止理财产品销售文件、单方面赎回</w:t>
      </w:r>
      <w:r>
        <w:rPr>
          <w:rFonts w:ascii="宋体" w:hAnsi="宋体" w:eastAsia="宋体"/>
          <w:b/>
          <w:bCs/>
          <w:sz w:val="24"/>
          <w:szCs w:val="24"/>
          <w:highlight w:val="none"/>
        </w:rPr>
        <w:t>投资者</w:t>
      </w:r>
      <w:r>
        <w:rPr>
          <w:rFonts w:hint="eastAsia" w:ascii="宋体" w:hAnsi="宋体" w:eastAsia="宋体"/>
          <w:b/>
          <w:bCs/>
          <w:sz w:val="24"/>
          <w:szCs w:val="24"/>
          <w:highlight w:val="none"/>
        </w:rPr>
        <w:t>届时持有的理财产品而无需事先通知</w:t>
      </w:r>
      <w:r>
        <w:rPr>
          <w:rFonts w:ascii="宋体" w:hAnsi="宋体" w:eastAsia="宋体"/>
          <w:b/>
          <w:bCs/>
          <w:sz w:val="24"/>
          <w:szCs w:val="24"/>
          <w:highlight w:val="none"/>
        </w:rPr>
        <w:t>投资者</w:t>
      </w:r>
      <w:r>
        <w:rPr>
          <w:rFonts w:hint="eastAsia" w:ascii="宋体" w:hAnsi="宋体" w:eastAsia="宋体"/>
          <w:b/>
          <w:bCs/>
          <w:sz w:val="24"/>
          <w:szCs w:val="24"/>
          <w:highlight w:val="none"/>
        </w:rPr>
        <w:t>或征得</w:t>
      </w:r>
      <w:r>
        <w:rPr>
          <w:rFonts w:ascii="宋体" w:hAnsi="宋体" w:eastAsia="宋体"/>
          <w:b/>
          <w:bCs/>
          <w:sz w:val="24"/>
          <w:szCs w:val="24"/>
          <w:highlight w:val="none"/>
        </w:rPr>
        <w:t>投资者</w:t>
      </w:r>
      <w:r>
        <w:rPr>
          <w:rFonts w:hint="eastAsia" w:ascii="宋体" w:hAnsi="宋体" w:eastAsia="宋体"/>
          <w:b/>
          <w:bCs/>
          <w:sz w:val="24"/>
          <w:szCs w:val="24"/>
          <w:highlight w:val="none"/>
        </w:rPr>
        <w:t>的同意，</w:t>
      </w:r>
      <w:r>
        <w:rPr>
          <w:rFonts w:ascii="宋体" w:hAnsi="宋体" w:eastAsia="宋体"/>
          <w:b/>
          <w:bCs/>
          <w:sz w:val="24"/>
          <w:szCs w:val="24"/>
          <w:highlight w:val="none"/>
        </w:rPr>
        <w:t>投资者</w:t>
      </w:r>
      <w:r>
        <w:rPr>
          <w:rFonts w:hint="eastAsia" w:ascii="宋体" w:hAnsi="宋体" w:eastAsia="宋体"/>
          <w:b/>
          <w:bCs/>
          <w:sz w:val="24"/>
          <w:szCs w:val="24"/>
          <w:highlight w:val="none"/>
        </w:rPr>
        <w:t>将自行承担该等后果（包括遭受本金损失并丧失获得投资回报的机会等）。</w:t>
      </w:r>
    </w:p>
    <w:p>
      <w:pPr>
        <w:pStyle w:val="7"/>
        <w:numPr>
          <w:ilvl w:val="0"/>
          <w:numId w:val="2"/>
        </w:numPr>
        <w:spacing w:line="300" w:lineRule="auto"/>
        <w:ind w:firstLineChars="0"/>
        <w:rPr>
          <w:rFonts w:hint="eastAsia" w:ascii="宋体" w:hAnsi="宋体" w:eastAsia="宋体"/>
          <w:sz w:val="24"/>
          <w:szCs w:val="24"/>
          <w:highlight w:val="none"/>
        </w:rPr>
      </w:pPr>
      <w:r>
        <w:rPr>
          <w:rFonts w:hint="eastAsia" w:ascii="宋体" w:hAnsi="宋体" w:eastAsia="宋体"/>
          <w:sz w:val="24"/>
          <w:szCs w:val="24"/>
          <w:highlight w:val="none"/>
        </w:rPr>
        <w:t>投资者确认，投资者及其关联方（主要指企业投资者的授权办理人、法定代表人/负责人、董事、控股股东、实际控制人、受益所有人等直接或间接关联方）不属于联合国及有关国际组织、中国以及相关国家和地区、地区性组织/机构发布的制裁名单，不位于被上述国际组织、国家、组织/机构制裁的国家和地区；不属于联合国安理会及其他国际组织、国家和地区以及中国人民银行、中国公安部等中国有权机关发布的洗钱和恐怖活动组织及人员名单；不位于上述国际组织、国家和地区发布的洗钱及恐怖融资高风险国家和地区；未被列入反洗钱特别预防措施名单，且不属于反洗钱特别预防措施名单中相关主体的代理人、受其指使的组织和人员、其直接或者间接控制的组织。</w:t>
      </w:r>
    </w:p>
    <w:p>
      <w:pPr>
        <w:pStyle w:val="7"/>
        <w:numPr>
          <w:ilvl w:val="0"/>
          <w:numId w:val="2"/>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在购买本理财产品前，请投资者仔细阅读本理财产品销售文件，确保自己详</w:t>
      </w:r>
      <w:r>
        <w:rPr>
          <w:rFonts w:hint="eastAsia" w:ascii="宋体" w:hAnsi="宋体" w:eastAsia="宋体"/>
          <w:sz w:val="24"/>
          <w:szCs w:val="24"/>
          <w:highlight w:val="none"/>
        </w:rPr>
        <w:t>细了解和审慎评估本理财产品的投资方向、风险类型，完全理解该项投资的性质和所涉及的风险，并充分、慎重考虑自身的风险承受能力。投资者若对本产品说明书的内容有任何疑问，请向销售服务机构或其营业网点咨询。</w:t>
      </w:r>
    </w:p>
    <w:p>
      <w:pPr>
        <w:pStyle w:val="7"/>
        <w:numPr>
          <w:ilvl w:val="0"/>
          <w:numId w:val="2"/>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在购买本理财产品后，投资者应随时关注本理财产品的信息披露情况，及时</w:t>
      </w:r>
      <w:r>
        <w:rPr>
          <w:rFonts w:hint="eastAsia" w:ascii="宋体" w:hAnsi="宋体" w:eastAsia="宋体"/>
          <w:sz w:val="24"/>
          <w:szCs w:val="24"/>
          <w:highlight w:val="none"/>
        </w:rPr>
        <w:t>获取相关信息，相关信息以本理财产品说明书约定的信息披露方式披露为准。</w:t>
      </w:r>
    </w:p>
    <w:p>
      <w:pPr>
        <w:pStyle w:val="7"/>
        <w:numPr>
          <w:ilvl w:val="0"/>
          <w:numId w:val="2"/>
        </w:numPr>
        <w:spacing w:line="300" w:lineRule="auto"/>
        <w:ind w:firstLineChars="0"/>
        <w:rPr>
          <w:rFonts w:hint="eastAsia" w:ascii="宋体" w:hAnsi="宋体" w:eastAsia="宋体"/>
          <w:b/>
          <w:bCs/>
          <w:sz w:val="24"/>
          <w:szCs w:val="24"/>
          <w:highlight w:val="none"/>
        </w:rPr>
      </w:pPr>
      <w:r>
        <w:rPr>
          <w:rFonts w:ascii="宋体" w:hAnsi="宋体" w:eastAsia="宋体"/>
          <w:b/>
          <w:bCs/>
          <w:sz w:val="24"/>
          <w:szCs w:val="24"/>
          <w:highlight w:val="none"/>
        </w:rPr>
        <w:t>除</w:t>
      </w:r>
      <w:r>
        <w:rPr>
          <w:rFonts w:hint="eastAsia" w:ascii="宋体" w:hAnsi="宋体" w:eastAsia="宋体"/>
          <w:b/>
          <w:bCs/>
          <w:sz w:val="24"/>
          <w:szCs w:val="24"/>
          <w:highlight w:val="none"/>
        </w:rPr>
        <w:t>本</w:t>
      </w:r>
      <w:r>
        <w:rPr>
          <w:rFonts w:ascii="宋体" w:hAnsi="宋体" w:eastAsia="宋体"/>
          <w:b/>
          <w:bCs/>
          <w:sz w:val="24"/>
          <w:szCs w:val="24"/>
          <w:highlight w:val="none"/>
        </w:rPr>
        <w:t>理财产品说明书中明确规定的收益及收益分配方式外，任何业绩比较</w:t>
      </w:r>
      <w:r>
        <w:rPr>
          <w:rFonts w:hint="eastAsia" w:ascii="宋体" w:hAnsi="宋体" w:eastAsia="宋体"/>
          <w:b/>
          <w:bCs/>
          <w:sz w:val="24"/>
          <w:szCs w:val="24"/>
          <w:highlight w:val="none"/>
        </w:rPr>
        <w:t>基准或类似表述均属不具有法律约束力的用语，不代表投资者可能获得的实际收益，亦不构成管理人对本理财产品的任何收益承诺。客户所能获得的最终收益以管理人实际支付金额为准。</w:t>
      </w:r>
    </w:p>
    <w:p>
      <w:pPr>
        <w:pStyle w:val="7"/>
        <w:numPr>
          <w:ilvl w:val="0"/>
          <w:numId w:val="2"/>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管理人承诺以诚实信用、勤勉尽责的原则，并根据本理财产品说明书所</w:t>
      </w:r>
      <w:r>
        <w:rPr>
          <w:rFonts w:hint="eastAsia" w:ascii="宋体" w:hAnsi="宋体" w:eastAsia="宋体"/>
          <w:sz w:val="24"/>
          <w:szCs w:val="24"/>
          <w:highlight w:val="none"/>
        </w:rPr>
        <w:t>载要求管理和运用理财产品资产。</w:t>
      </w:r>
      <w:r>
        <w:rPr>
          <w:rFonts w:hint="eastAsia" w:ascii="宋体" w:hAnsi="宋体" w:eastAsia="宋体"/>
          <w:b/>
          <w:bCs/>
          <w:sz w:val="24"/>
          <w:szCs w:val="24"/>
          <w:highlight w:val="none"/>
        </w:rPr>
        <w:t>投资者通过购买渠道提交认购申请，即视为投资者授权及同意渤银理财有限责任公司（以下简称“渤银理财”）作为本产品管理人，代表理财产品投资者将募集资金进行投资和执行相关操作，并且有权代表投资者行使基础资产交易项下与其他交易各方进行交易所享有的全部权利。</w:t>
      </w:r>
    </w:p>
    <w:p>
      <w:pPr>
        <w:numPr>
          <w:ilvl w:val="0"/>
          <w:numId w:val="3"/>
        </w:numPr>
        <w:spacing w:line="300" w:lineRule="auto"/>
        <w:rPr>
          <w:rFonts w:hint="eastAsia" w:ascii="宋体" w:hAnsi="宋体" w:eastAsia="宋体"/>
          <w:sz w:val="24"/>
          <w:szCs w:val="24"/>
          <w:highlight w:val="none"/>
        </w:rPr>
      </w:pPr>
      <w:r>
        <w:rPr>
          <w:rFonts w:hint="eastAsia" w:ascii="宋体" w:hAnsi="宋体" w:eastAsia="宋体"/>
          <w:b/>
          <w:bCs/>
          <w:sz w:val="24"/>
          <w:szCs w:val="24"/>
          <w:highlight w:val="none"/>
        </w:rPr>
        <w:t>本理财产品属于</w:t>
      </w:r>
      <w:r>
        <w:rPr>
          <w:rFonts w:hint="eastAsia" w:ascii="宋体" w:hAnsi="宋体" w:eastAsia="宋体"/>
          <w:b/>
          <w:bCs/>
          <w:sz w:val="24"/>
          <w:szCs w:val="24"/>
          <w:highlight w:val="none"/>
          <w:lang w:val="en-US" w:eastAsia="zh-CN"/>
        </w:rPr>
        <w:t>固定收益</w:t>
      </w:r>
      <w:r>
        <w:rPr>
          <w:rFonts w:hint="eastAsia" w:ascii="宋体" w:hAnsi="宋体" w:eastAsia="宋体"/>
          <w:b/>
          <w:bCs/>
          <w:sz w:val="24"/>
          <w:szCs w:val="24"/>
          <w:highlight w:val="none"/>
        </w:rPr>
        <w:t>类</w:t>
      </w:r>
      <w:r>
        <w:rPr>
          <w:rFonts w:hint="eastAsia" w:ascii="宋体" w:hAnsi="宋体" w:eastAsia="宋体"/>
          <w:sz w:val="24"/>
          <w:szCs w:val="24"/>
          <w:highlight w:val="none"/>
        </w:rPr>
        <w:t>，符合中国人民银行、原银保监会、证监会、外汇局《关于规范金融机构资产管理业务的指导意见》中第四条，“资产管理产品按照投资性质的不同，分为固定收益类产品、权益类产品、商品及金融衍生品类产品和混合类产品。固定收益类产品投资于存款、债券等债权类资产的比例不低于</w:t>
      </w:r>
      <w:r>
        <w:rPr>
          <w:rFonts w:ascii="宋体" w:hAnsi="宋体" w:eastAsia="宋体"/>
          <w:sz w:val="24"/>
          <w:szCs w:val="24"/>
          <w:highlight w:val="none"/>
        </w:rPr>
        <w:t>80%，权益类产品投资于股票、未上市企业股权等权益类资产的比例不低于80%，商品及金融衍生品类产品投资于商品及金融衍生品的比例不低于80%，混合类产品投资于债权类资产、权益类资产、商品及金融衍生品类资产且任一资产的投资比例未达到前三类产品标准。”的相关规定</w:t>
      </w:r>
      <w:r>
        <w:rPr>
          <w:rFonts w:hint="eastAsia" w:ascii="宋体" w:hAnsi="宋体" w:eastAsia="宋体"/>
          <w:sz w:val="24"/>
          <w:szCs w:val="24"/>
          <w:highlight w:val="none"/>
        </w:rPr>
        <w:t>，投资于存款、债券等债权类资产的比例不低于</w:t>
      </w:r>
      <w:r>
        <w:rPr>
          <w:rFonts w:ascii="宋体" w:hAnsi="宋体" w:eastAsia="宋体"/>
          <w:sz w:val="24"/>
          <w:szCs w:val="24"/>
          <w:highlight w:val="none"/>
        </w:rPr>
        <w:t>80%。</w:t>
      </w:r>
    </w:p>
    <w:p>
      <w:pPr>
        <w:numPr>
          <w:ilvl w:val="0"/>
          <w:numId w:val="3"/>
        </w:numPr>
        <w:spacing w:line="300" w:lineRule="auto"/>
        <w:rPr>
          <w:rFonts w:hint="eastAsia" w:ascii="宋体" w:hAnsi="宋体" w:eastAsia="宋体"/>
          <w:b/>
          <w:bCs/>
          <w:sz w:val="24"/>
          <w:szCs w:val="24"/>
          <w:highlight w:val="none"/>
        </w:rPr>
      </w:pPr>
      <w:r>
        <w:rPr>
          <w:rFonts w:hint="eastAsia" w:ascii="宋体" w:hAnsi="宋体" w:eastAsia="宋体"/>
          <w:b/>
          <w:bCs/>
          <w:sz w:val="24"/>
          <w:szCs w:val="24"/>
          <w:highlight w:val="none"/>
        </w:rPr>
        <w:t>管理人对本理财产品的风险评级为R2（较低/中低风险）</w:t>
      </w:r>
      <w:r>
        <w:rPr>
          <w:rFonts w:ascii="宋体" w:hAnsi="宋体" w:eastAsia="宋体"/>
          <w:b/>
          <w:bCs/>
          <w:sz w:val="24"/>
          <w:szCs w:val="24"/>
          <w:highlight w:val="none"/>
        </w:rPr>
        <w:t>，本理财产品通过</w:t>
      </w:r>
      <w:r>
        <w:rPr>
          <w:rFonts w:hint="eastAsia" w:ascii="宋体" w:hAnsi="宋体" w:eastAsia="宋体"/>
          <w:b/>
          <w:bCs/>
          <w:sz w:val="24"/>
          <w:szCs w:val="24"/>
          <w:highlight w:val="none"/>
        </w:rPr>
        <w:t>销售服务机构</w:t>
      </w:r>
      <w:r>
        <w:rPr>
          <w:rFonts w:ascii="宋体" w:hAnsi="宋体" w:eastAsia="宋体"/>
          <w:b/>
          <w:bCs/>
          <w:sz w:val="24"/>
          <w:szCs w:val="24"/>
          <w:highlight w:val="none"/>
        </w:rPr>
        <w:t>销售的，</w:t>
      </w:r>
      <w:r>
        <w:rPr>
          <w:rFonts w:hint="eastAsia" w:ascii="宋体" w:hAnsi="宋体" w:eastAsia="宋体"/>
          <w:b/>
          <w:bCs/>
          <w:sz w:val="24"/>
          <w:szCs w:val="24"/>
          <w:highlight w:val="none"/>
        </w:rPr>
        <w:t>销售服务机构</w:t>
      </w:r>
      <w:r>
        <w:rPr>
          <w:rFonts w:ascii="宋体" w:hAnsi="宋体" w:eastAsia="宋体"/>
          <w:b/>
          <w:bCs/>
          <w:sz w:val="24"/>
          <w:szCs w:val="24"/>
          <w:highlight w:val="none"/>
        </w:rPr>
        <w:t>应当根据</w:t>
      </w:r>
      <w:r>
        <w:rPr>
          <w:rFonts w:hint="eastAsia" w:ascii="宋体" w:hAnsi="宋体" w:eastAsia="宋体"/>
          <w:b/>
          <w:bCs/>
          <w:sz w:val="24"/>
          <w:szCs w:val="24"/>
          <w:highlight w:val="none"/>
        </w:rPr>
        <w:t>销售服务机构</w:t>
      </w:r>
      <w:r>
        <w:rPr>
          <w:rFonts w:ascii="宋体" w:hAnsi="宋体" w:eastAsia="宋体"/>
          <w:b/>
          <w:bCs/>
          <w:sz w:val="24"/>
          <w:szCs w:val="24"/>
          <w:highlight w:val="none"/>
        </w:rPr>
        <w:t>的方式和方法，独立、审慎地对代理销售的本理财产品进行销售评级，销售评级与管理人评级结果不一致的，</w:t>
      </w:r>
      <w:r>
        <w:rPr>
          <w:rFonts w:hint="eastAsia" w:ascii="宋体" w:hAnsi="宋体" w:eastAsia="宋体"/>
          <w:b/>
          <w:bCs/>
          <w:sz w:val="24"/>
          <w:szCs w:val="24"/>
          <w:highlight w:val="none"/>
        </w:rPr>
        <w:t>销售服务机构</w:t>
      </w:r>
      <w:r>
        <w:rPr>
          <w:rFonts w:ascii="宋体" w:hAnsi="宋体" w:eastAsia="宋体"/>
          <w:b/>
          <w:bCs/>
          <w:sz w:val="24"/>
          <w:szCs w:val="24"/>
          <w:highlight w:val="none"/>
        </w:rPr>
        <w:t>应当采用对应较高风险等级的评级结果并予以披露，本理财产品评级应当以</w:t>
      </w:r>
      <w:r>
        <w:rPr>
          <w:rFonts w:hint="eastAsia" w:ascii="宋体" w:hAnsi="宋体" w:eastAsia="宋体"/>
          <w:b/>
          <w:bCs/>
          <w:sz w:val="24"/>
          <w:szCs w:val="24"/>
          <w:highlight w:val="none"/>
        </w:rPr>
        <w:t>销售服务机构</w:t>
      </w:r>
      <w:r>
        <w:rPr>
          <w:rFonts w:ascii="宋体" w:hAnsi="宋体" w:eastAsia="宋体"/>
          <w:b/>
          <w:bCs/>
          <w:sz w:val="24"/>
          <w:szCs w:val="24"/>
          <w:highlight w:val="none"/>
        </w:rPr>
        <w:t>最终披露的评级结果为准。本理财产品收益特征为非保本浮动收益，</w:t>
      </w:r>
      <w:r>
        <w:rPr>
          <w:rFonts w:hint="eastAsia" w:ascii="宋体" w:hAnsi="宋体" w:eastAsia="宋体"/>
          <w:b/>
          <w:bCs/>
          <w:sz w:val="24"/>
          <w:szCs w:val="24"/>
          <w:highlight w:val="none"/>
        </w:rPr>
        <w:t>投资者</w:t>
      </w:r>
      <w:r>
        <w:rPr>
          <w:rFonts w:ascii="宋体" w:hAnsi="宋体" w:eastAsia="宋体"/>
          <w:b/>
          <w:bCs/>
          <w:sz w:val="24"/>
          <w:szCs w:val="24"/>
          <w:highlight w:val="none"/>
        </w:rPr>
        <w:t>的本金有可能会因市场变动蒙受重大损失，</w:t>
      </w:r>
      <w:r>
        <w:rPr>
          <w:rFonts w:hint="eastAsia" w:ascii="宋体" w:hAnsi="宋体" w:eastAsia="宋体"/>
          <w:b/>
          <w:bCs/>
          <w:sz w:val="24"/>
          <w:szCs w:val="24"/>
          <w:highlight w:val="none"/>
        </w:rPr>
        <w:t>投资者</w:t>
      </w:r>
      <w:r>
        <w:rPr>
          <w:rFonts w:ascii="宋体" w:hAnsi="宋体" w:eastAsia="宋体"/>
          <w:b/>
          <w:bCs/>
          <w:sz w:val="24"/>
          <w:szCs w:val="24"/>
          <w:highlight w:val="none"/>
        </w:rPr>
        <w:t>应充分认识投资风险，谨慎投资。</w:t>
      </w:r>
    </w:p>
    <w:p>
      <w:pPr>
        <w:pStyle w:val="7"/>
        <w:numPr>
          <w:ilvl w:val="0"/>
          <w:numId w:val="2"/>
        </w:numPr>
        <w:spacing w:line="300" w:lineRule="auto"/>
        <w:ind w:firstLineChars="0"/>
        <w:rPr>
          <w:rFonts w:hint="eastAsia" w:ascii="宋体" w:hAnsi="宋体" w:eastAsia="宋体"/>
          <w:b/>
          <w:bCs/>
          <w:sz w:val="24"/>
          <w:szCs w:val="24"/>
          <w:highlight w:val="none"/>
        </w:rPr>
      </w:pPr>
      <w:r>
        <w:rPr>
          <w:rFonts w:ascii="宋体" w:hAnsi="宋体" w:eastAsia="宋体"/>
          <w:b/>
          <w:bCs/>
          <w:sz w:val="24"/>
          <w:szCs w:val="24"/>
          <w:highlight w:val="none"/>
        </w:rPr>
        <w:t>在本理财产品存续期内，如出于维持本产品正常运营的需要且在不损害</w:t>
      </w:r>
      <w:r>
        <w:rPr>
          <w:rFonts w:hint="eastAsia" w:ascii="宋体" w:hAnsi="宋体" w:eastAsia="宋体"/>
          <w:b/>
          <w:bCs/>
          <w:sz w:val="24"/>
          <w:szCs w:val="24"/>
          <w:highlight w:val="none"/>
        </w:rPr>
        <w:t>投资者利益的前提下，或因国家法律法规、监管规定发生变化，管理人有权在法律法规、监管规定允许的范围内单方对本产品说明书进行修订。管理人决定对产品说明书进行修订的，将提前以本理财产品说明书约定的信息披露方式向投资者进行信息披露，管理人按照前述规则发布该信息披露即视为该修订通知已送达投资者并对投资者具有法律约束力。</w:t>
      </w:r>
    </w:p>
    <w:p>
      <w:pPr>
        <w:pStyle w:val="7"/>
        <w:numPr>
          <w:ilvl w:val="0"/>
          <w:numId w:val="2"/>
        </w:numPr>
        <w:spacing w:line="300" w:lineRule="auto"/>
        <w:ind w:firstLineChars="0"/>
        <w:rPr>
          <w:rFonts w:hint="eastAsia" w:ascii="宋体" w:hAnsi="宋体" w:eastAsia="宋体"/>
          <w:b/>
          <w:bCs/>
          <w:sz w:val="24"/>
          <w:szCs w:val="24"/>
          <w:highlight w:val="none"/>
        </w:rPr>
      </w:pPr>
      <w:r>
        <w:rPr>
          <w:rFonts w:hint="eastAsia" w:ascii="宋体" w:hAnsi="宋体" w:eastAsia="宋体"/>
          <w:sz w:val="24"/>
          <w:szCs w:val="24"/>
          <w:highlight w:val="none"/>
        </w:rPr>
        <w:t>为贯彻落实银行业理财登记托管中心发布的《</w:t>
      </w:r>
      <w:r>
        <w:rPr>
          <w:rFonts w:hint="eastAsia" w:ascii="仿宋" w:hAnsi="仿宋" w:eastAsia="仿宋" w:cs="仿宋"/>
          <w:kern w:val="0"/>
          <w:sz w:val="24"/>
          <w:szCs w:val="24"/>
          <w:highlight w:val="none"/>
          <w:lang w:bidi="ar"/>
        </w:rPr>
        <w:t>〈</w:t>
      </w:r>
      <w:r>
        <w:rPr>
          <w:rFonts w:ascii="宋体" w:hAnsi="宋体" w:eastAsia="宋体"/>
          <w:sz w:val="24"/>
          <w:szCs w:val="24"/>
          <w:highlight w:val="none"/>
        </w:rPr>
        <w:t>中国银行保险监督管理委员会办公厅关于</w:t>
      </w:r>
      <w:r>
        <w:rPr>
          <w:rFonts w:hint="eastAsia" w:ascii="宋体" w:hAnsi="宋体" w:eastAsia="宋体"/>
          <w:sz w:val="24"/>
          <w:szCs w:val="24"/>
          <w:highlight w:val="none"/>
        </w:rPr>
        <w:t>进一步做好银行理财登记工作有关事项的通知</w:t>
      </w:r>
      <w:r>
        <w:rPr>
          <w:rFonts w:hint="eastAsia" w:ascii="仿宋" w:hAnsi="仿宋" w:eastAsia="仿宋" w:cs="仿宋"/>
          <w:kern w:val="0"/>
          <w:sz w:val="24"/>
          <w:szCs w:val="24"/>
          <w:highlight w:val="none"/>
          <w:lang w:bidi="ar"/>
        </w:rPr>
        <w:t>〉</w:t>
      </w:r>
      <w:r>
        <w:rPr>
          <w:rFonts w:ascii="宋体" w:hAnsi="宋体" w:eastAsia="宋体"/>
          <w:sz w:val="24"/>
          <w:szCs w:val="24"/>
          <w:highlight w:val="none"/>
        </w:rPr>
        <w:t>实施细则》（理财中心发〔2018〕18号）文件的</w:t>
      </w:r>
      <w:r>
        <w:rPr>
          <w:rFonts w:hint="eastAsia" w:ascii="宋体" w:hAnsi="宋体" w:eastAsia="宋体"/>
          <w:sz w:val="24"/>
          <w:szCs w:val="24"/>
          <w:highlight w:val="none"/>
        </w:rPr>
        <w:t>精神及相关实施细则及</w:t>
      </w:r>
      <w:r>
        <w:rPr>
          <w:rFonts w:ascii="宋体" w:hAnsi="宋体" w:eastAsia="宋体"/>
          <w:sz w:val="24"/>
          <w:szCs w:val="24"/>
          <w:highlight w:val="none"/>
        </w:rPr>
        <w:t>《中国银保监会办公厅关于印发银行业金融机构监管数据标准化规范（2021版）的通知》的要求，</w:t>
      </w:r>
      <w:r>
        <w:rPr>
          <w:rFonts w:hint="eastAsia" w:ascii="宋体" w:hAnsi="宋体" w:eastAsia="宋体"/>
          <w:sz w:val="24"/>
          <w:szCs w:val="24"/>
          <w:highlight w:val="none"/>
        </w:rPr>
        <w:t>渤银</w:t>
      </w:r>
      <w:r>
        <w:rPr>
          <w:rFonts w:ascii="宋体" w:hAnsi="宋体" w:eastAsia="宋体"/>
          <w:sz w:val="24"/>
          <w:szCs w:val="24"/>
          <w:highlight w:val="none"/>
        </w:rPr>
        <w:t>理财将向监管机构</w:t>
      </w:r>
      <w:r>
        <w:rPr>
          <w:rFonts w:hint="eastAsia" w:ascii="宋体" w:hAnsi="宋体" w:eastAsia="宋体"/>
          <w:sz w:val="24"/>
          <w:szCs w:val="24"/>
          <w:highlight w:val="none"/>
        </w:rPr>
        <w:t>报送理财产品投资者身份信息、每日交易、持仓等信息。后续法律法规、监管机构或银行业理财登记托管中心等机关如果提出新的信息报送要求，渤银理财将按照该等机关的要求执行。</w:t>
      </w:r>
      <w:r>
        <w:rPr>
          <w:rFonts w:hint="eastAsia" w:ascii="宋体" w:hAnsi="宋体" w:eastAsia="宋体"/>
          <w:b/>
          <w:bCs/>
          <w:sz w:val="24"/>
          <w:szCs w:val="24"/>
          <w:highlight w:val="none"/>
        </w:rPr>
        <w:t>投资者签署本理财产品销售文件即视为已经同意渤银理财将按照相关机关要求报送投资者相关信息。</w:t>
      </w:r>
    </w:p>
    <w:p>
      <w:pPr>
        <w:pStyle w:val="7"/>
        <w:numPr>
          <w:ilvl w:val="0"/>
          <w:numId w:val="2"/>
        </w:numPr>
        <w:spacing w:line="300" w:lineRule="auto"/>
        <w:ind w:firstLineChars="0"/>
        <w:rPr>
          <w:rFonts w:hint="eastAsia" w:ascii="宋体" w:hAnsi="宋体" w:eastAsia="宋体"/>
          <w:sz w:val="24"/>
          <w:szCs w:val="24"/>
          <w:highlight w:val="none"/>
        </w:rPr>
      </w:pPr>
      <w:r>
        <w:rPr>
          <w:rFonts w:hint="eastAsia" w:ascii="宋体" w:hAnsi="宋体" w:eastAsia="宋体"/>
          <w:sz w:val="24"/>
          <w:szCs w:val="24"/>
          <w:highlight w:val="none"/>
        </w:rPr>
        <w:t>根据监管机构要求，其他管理人（如有，特指除本理财产品的产品管理人渤银理财之外的其他管理人，包括但不限于本理财产品所投资的公募基金</w:t>
      </w:r>
      <w:r>
        <w:rPr>
          <w:rFonts w:ascii="宋体" w:hAnsi="宋体" w:eastAsia="宋体"/>
          <w:sz w:val="24"/>
          <w:szCs w:val="24"/>
          <w:highlight w:val="none"/>
        </w:rPr>
        <w:t>/信托计划/资产管理计划等资产管理产品的受托人/资产管理人(如有)、投资顾问（如有）</w:t>
      </w:r>
      <w:r>
        <w:rPr>
          <w:rFonts w:hint="eastAsia" w:ascii="宋体" w:hAnsi="宋体" w:eastAsia="宋体"/>
          <w:sz w:val="24"/>
          <w:szCs w:val="24"/>
          <w:highlight w:val="none"/>
        </w:rPr>
        <w:t>下同）有可能需要向监管机构报送投资者身份信息、持仓信息等相关信息，渤银理财将应其他管理人申请，在必要范围内向其他管理人提供相关信息，并要求其他管理人履行投资者信息保密义务。</w:t>
      </w:r>
      <w:r>
        <w:rPr>
          <w:rFonts w:hint="eastAsia" w:ascii="宋体" w:hAnsi="宋体" w:eastAsia="宋体"/>
          <w:b/>
          <w:bCs/>
          <w:sz w:val="24"/>
          <w:szCs w:val="24"/>
          <w:highlight w:val="none"/>
        </w:rPr>
        <w:t>投资者签署本理财产品销售文件即视为已经同意渤银理财在前述范围内向相关方提供投资者身份信息、持仓信息等相关信息。</w:t>
      </w:r>
    </w:p>
    <w:p>
      <w:pPr>
        <w:numPr>
          <w:ilvl w:val="0"/>
          <w:numId w:val="3"/>
        </w:num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咨询与投诉：投资者对本理财产品有任何建议、意见或投诉，请联系理财经理，或反馈至渤银理财营业场所，或拨打客户服务热线【022-58065621，工作时间为工作日8:30-17:30】</w:t>
      </w:r>
      <w:r>
        <w:rPr>
          <w:rFonts w:ascii="宋体" w:hAnsi="宋体" w:eastAsia="宋体"/>
          <w:sz w:val="24"/>
          <w:szCs w:val="24"/>
          <w:highlight w:val="none"/>
        </w:rPr>
        <w:t>。渤银理财将安排专人及时收集客户投诉，并在收到客户投诉的第一时间内与客户取得联系，及时处理并进行反馈。投资者通过</w:t>
      </w:r>
      <w:r>
        <w:rPr>
          <w:rFonts w:hint="eastAsia" w:ascii="宋体" w:hAnsi="宋体" w:eastAsia="宋体"/>
          <w:sz w:val="24"/>
          <w:szCs w:val="24"/>
          <w:highlight w:val="none"/>
        </w:rPr>
        <w:t>销售服务</w:t>
      </w:r>
      <w:r>
        <w:rPr>
          <w:rFonts w:ascii="宋体" w:hAnsi="宋体" w:eastAsia="宋体"/>
          <w:sz w:val="24"/>
          <w:szCs w:val="24"/>
          <w:highlight w:val="none"/>
        </w:rPr>
        <w:t>机构购买理财产品的，可按照</w:t>
      </w:r>
      <w:r>
        <w:rPr>
          <w:rFonts w:hint="eastAsia" w:ascii="宋体" w:hAnsi="宋体" w:eastAsia="宋体"/>
          <w:sz w:val="24"/>
          <w:szCs w:val="24"/>
          <w:highlight w:val="none"/>
        </w:rPr>
        <w:t>销售服务</w:t>
      </w:r>
      <w:r>
        <w:rPr>
          <w:rFonts w:ascii="宋体" w:hAnsi="宋体" w:eastAsia="宋体"/>
          <w:sz w:val="24"/>
          <w:szCs w:val="24"/>
          <w:highlight w:val="none"/>
        </w:rPr>
        <w:t>机构提供的联系方式反馈信息、咨询和投诉。</w:t>
      </w:r>
    </w:p>
    <w:p>
      <w:pPr>
        <w:pStyle w:val="7"/>
        <w:numPr>
          <w:ilvl w:val="0"/>
          <w:numId w:val="4"/>
        </w:numPr>
        <w:spacing w:line="300" w:lineRule="auto"/>
        <w:ind w:firstLineChars="0"/>
        <w:rPr>
          <w:rFonts w:hint="eastAsia" w:ascii="宋体" w:hAnsi="宋体" w:eastAsia="宋体"/>
          <w:sz w:val="24"/>
          <w:szCs w:val="24"/>
          <w:highlight w:val="none"/>
        </w:rPr>
      </w:pPr>
      <w:r>
        <w:rPr>
          <w:rFonts w:ascii="宋体" w:hAnsi="宋体" w:eastAsia="宋体"/>
          <w:sz w:val="24"/>
          <w:szCs w:val="24"/>
          <w:highlight w:val="none"/>
        </w:rPr>
        <w:t>管理人有权依法对本理财产品说明书进行解释。</w:t>
      </w:r>
    </w:p>
    <w:p>
      <w:pPr>
        <w:spacing w:line="300" w:lineRule="auto"/>
        <w:jc w:val="left"/>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二、释义</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在本理财产品说明书中，除非上下文另有明确约定，下列用词将具有如下含义：</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（一）参与主体用语</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1.渤银理财：指渤银理财有限责任公司。</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b/>
          <w:bCs/>
          <w:sz w:val="24"/>
          <w:szCs w:val="24"/>
          <w:highlight w:val="none"/>
        </w:rPr>
        <w:t>管理人/投资管理人/理财产品管理人</w:t>
      </w:r>
      <w:r>
        <w:rPr>
          <w:rFonts w:hint="eastAsia" w:ascii="宋体" w:hAnsi="宋体" w:eastAsia="宋体"/>
          <w:b/>
          <w:bCs/>
          <w:sz w:val="24"/>
          <w:szCs w:val="24"/>
          <w:highlight w:val="none"/>
        </w:rPr>
        <w:t>/产品管理人</w:t>
      </w:r>
      <w:r>
        <w:rPr>
          <w:rFonts w:ascii="宋体" w:hAnsi="宋体" w:eastAsia="宋体"/>
          <w:sz w:val="24"/>
          <w:szCs w:val="24"/>
          <w:highlight w:val="none"/>
        </w:rPr>
        <w:t>：指</w:t>
      </w:r>
      <w:r>
        <w:rPr>
          <w:rFonts w:hint="eastAsia" w:ascii="宋体" w:hAnsi="宋体" w:eastAsia="宋体"/>
          <w:sz w:val="24"/>
          <w:szCs w:val="24"/>
          <w:highlight w:val="none"/>
        </w:rPr>
        <w:t>渤银</w:t>
      </w:r>
      <w:r>
        <w:rPr>
          <w:rFonts w:ascii="宋体" w:hAnsi="宋体" w:eastAsia="宋体"/>
          <w:sz w:val="24"/>
          <w:szCs w:val="24"/>
          <w:highlight w:val="none"/>
        </w:rPr>
        <w:t>理财。</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3.产品托管人/</w:t>
      </w:r>
      <w:r>
        <w:rPr>
          <w:rFonts w:ascii="宋体" w:hAnsi="宋体" w:eastAsia="宋体"/>
          <w:sz w:val="24"/>
          <w:szCs w:val="24"/>
          <w:highlight w:val="none"/>
        </w:rPr>
        <w:t>托管人：指</w:t>
      </w:r>
      <w:r>
        <w:rPr>
          <w:rFonts w:hint="eastAsia" w:ascii="宋体" w:hAnsi="宋体" w:eastAsia="宋体"/>
          <w:sz w:val="24"/>
          <w:szCs w:val="24"/>
          <w:highlight w:val="none"/>
          <w:lang w:val="en-US" w:eastAsia="zh-CN"/>
        </w:rPr>
        <w:t>渤海银行股份有限公司</w:t>
      </w:r>
      <w:r>
        <w:rPr>
          <w:rFonts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4.销售服务机构：指渤银理财或代理销售服务机构。</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5.代理销售服务机构（简称代销机构）：指与渤银理财签订相关协议，提供包括理财产品宣传推广、投资者风险承受能力评估和投资者适当性管理、理财产品份额认购/申购/赎回、协助管理人与投资者订立理财产品合同、协助管理人与投资者沟通及进行信息披露、接受投资者咨询和客户维护等销售服务的机构。后续如有变更以管理人信息披露为准。</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w:t>
      </w:r>
      <w:r>
        <w:rPr>
          <w:rFonts w:ascii="宋体" w:hAnsi="宋体" w:eastAsia="宋体"/>
          <w:sz w:val="24"/>
          <w:szCs w:val="24"/>
          <w:highlight w:val="none"/>
        </w:rPr>
        <w:t>认</w:t>
      </w:r>
      <w:r>
        <w:rPr>
          <w:rFonts w:hint="eastAsia" w:ascii="宋体" w:hAnsi="宋体" w:eastAsia="宋体"/>
          <w:sz w:val="24"/>
          <w:szCs w:val="24"/>
          <w:highlight w:val="none"/>
        </w:rPr>
        <w:t>/申购人</w:t>
      </w:r>
      <w:r>
        <w:rPr>
          <w:rFonts w:ascii="宋体" w:hAnsi="宋体" w:eastAsia="宋体"/>
          <w:sz w:val="24"/>
          <w:szCs w:val="24"/>
          <w:highlight w:val="none"/>
        </w:rPr>
        <w:t>：指在</w:t>
      </w:r>
      <w:r>
        <w:rPr>
          <w:rFonts w:hint="eastAsia" w:ascii="宋体" w:hAnsi="宋体" w:eastAsia="宋体"/>
          <w:sz w:val="24"/>
          <w:szCs w:val="24"/>
          <w:highlight w:val="none"/>
        </w:rPr>
        <w:t>购买理财</w:t>
      </w:r>
      <w:r>
        <w:rPr>
          <w:rFonts w:ascii="宋体" w:hAnsi="宋体" w:eastAsia="宋体"/>
          <w:sz w:val="24"/>
          <w:szCs w:val="24"/>
          <w:highlight w:val="none"/>
        </w:rPr>
        <w:t>期间签署理财</w:t>
      </w:r>
      <w:r>
        <w:rPr>
          <w:rFonts w:hint="eastAsia" w:ascii="宋体" w:hAnsi="宋体" w:eastAsia="宋体"/>
          <w:sz w:val="24"/>
          <w:szCs w:val="24"/>
          <w:highlight w:val="none"/>
        </w:rPr>
        <w:t>产品销售文件</w:t>
      </w:r>
      <w:r>
        <w:rPr>
          <w:rFonts w:ascii="宋体" w:hAnsi="宋体" w:eastAsia="宋体"/>
          <w:sz w:val="24"/>
          <w:szCs w:val="24"/>
          <w:highlight w:val="none"/>
        </w:rPr>
        <w:t>并向理财</w:t>
      </w:r>
      <w:r>
        <w:rPr>
          <w:rFonts w:hint="eastAsia" w:ascii="宋体" w:hAnsi="宋体" w:eastAsia="宋体"/>
          <w:sz w:val="24"/>
          <w:szCs w:val="24"/>
          <w:highlight w:val="none"/>
        </w:rPr>
        <w:t>产品</w:t>
      </w:r>
      <w:r>
        <w:rPr>
          <w:rFonts w:ascii="宋体" w:hAnsi="宋体" w:eastAsia="宋体"/>
          <w:sz w:val="24"/>
          <w:szCs w:val="24"/>
          <w:highlight w:val="none"/>
        </w:rPr>
        <w:t>管理人交</w:t>
      </w:r>
      <w:r>
        <w:rPr>
          <w:rFonts w:hint="eastAsia" w:ascii="宋体" w:hAnsi="宋体" w:eastAsia="宋体"/>
          <w:sz w:val="24"/>
          <w:szCs w:val="24"/>
          <w:highlight w:val="none"/>
        </w:rPr>
        <w:t>付认/申购资金的个人投资者和机构投资者。</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7.理财产品</w:t>
      </w:r>
      <w:r>
        <w:rPr>
          <w:rFonts w:ascii="宋体" w:hAnsi="宋体" w:eastAsia="宋体"/>
          <w:sz w:val="24"/>
          <w:szCs w:val="24"/>
          <w:highlight w:val="none"/>
        </w:rPr>
        <w:t>份额持有人/持有人：指其</w:t>
      </w:r>
      <w:r>
        <w:rPr>
          <w:rFonts w:hint="eastAsia" w:ascii="宋体" w:hAnsi="宋体" w:eastAsia="宋体"/>
          <w:sz w:val="24"/>
          <w:szCs w:val="24"/>
          <w:highlight w:val="none"/>
        </w:rPr>
        <w:t>购买</w:t>
      </w:r>
      <w:r>
        <w:rPr>
          <w:rFonts w:ascii="宋体" w:hAnsi="宋体" w:eastAsia="宋体"/>
          <w:sz w:val="24"/>
          <w:szCs w:val="24"/>
          <w:highlight w:val="none"/>
        </w:rPr>
        <w:t>申请经过</w:t>
      </w:r>
      <w:r>
        <w:rPr>
          <w:rFonts w:hint="eastAsia" w:ascii="宋体" w:hAnsi="宋体" w:eastAsia="宋体"/>
          <w:sz w:val="24"/>
          <w:szCs w:val="24"/>
          <w:highlight w:val="none"/>
        </w:rPr>
        <w:t>产品</w:t>
      </w:r>
      <w:r>
        <w:rPr>
          <w:rFonts w:ascii="宋体" w:hAnsi="宋体" w:eastAsia="宋体"/>
          <w:sz w:val="24"/>
          <w:szCs w:val="24"/>
          <w:highlight w:val="none"/>
        </w:rPr>
        <w:t>管理人确认</w:t>
      </w:r>
      <w:r>
        <w:rPr>
          <w:rFonts w:hint="eastAsia" w:ascii="宋体" w:hAnsi="宋体" w:eastAsia="宋体"/>
          <w:sz w:val="24"/>
          <w:szCs w:val="24"/>
          <w:highlight w:val="none"/>
        </w:rPr>
        <w:t>，</w:t>
      </w:r>
      <w:r>
        <w:rPr>
          <w:rFonts w:ascii="宋体" w:hAnsi="宋体" w:eastAsia="宋体"/>
          <w:sz w:val="24"/>
          <w:szCs w:val="24"/>
          <w:highlight w:val="none"/>
        </w:rPr>
        <w:t>认</w:t>
      </w:r>
      <w:r>
        <w:rPr>
          <w:rFonts w:hint="eastAsia" w:ascii="宋体" w:hAnsi="宋体" w:eastAsia="宋体"/>
          <w:sz w:val="24"/>
          <w:szCs w:val="24"/>
          <w:highlight w:val="none"/>
        </w:rPr>
        <w:t>/申</w:t>
      </w:r>
      <w:r>
        <w:rPr>
          <w:rFonts w:ascii="宋体" w:hAnsi="宋体" w:eastAsia="宋体"/>
          <w:sz w:val="24"/>
          <w:szCs w:val="24"/>
          <w:highlight w:val="none"/>
        </w:rPr>
        <w:t>购成功，从而持有</w:t>
      </w:r>
      <w:r>
        <w:rPr>
          <w:rFonts w:hint="eastAsia" w:ascii="宋体" w:hAnsi="宋体" w:eastAsia="宋体"/>
          <w:sz w:val="24"/>
          <w:szCs w:val="24"/>
          <w:highlight w:val="none"/>
        </w:rPr>
        <w:t>理财产品份额的投资者。</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8.</w:t>
      </w:r>
      <w:r>
        <w:rPr>
          <w:rFonts w:ascii="宋体" w:hAnsi="宋体" w:eastAsia="宋体"/>
          <w:sz w:val="24"/>
          <w:szCs w:val="24"/>
          <w:highlight w:val="none"/>
        </w:rPr>
        <w:t>投资者</w:t>
      </w:r>
      <w:r>
        <w:rPr>
          <w:rFonts w:hint="eastAsia" w:ascii="宋体" w:hAnsi="宋体" w:eastAsia="宋体"/>
          <w:sz w:val="24"/>
          <w:szCs w:val="24"/>
          <w:highlight w:val="none"/>
        </w:rPr>
        <w:t>/客户</w:t>
      </w:r>
      <w:r>
        <w:rPr>
          <w:rFonts w:ascii="宋体" w:hAnsi="宋体" w:eastAsia="宋体"/>
          <w:sz w:val="24"/>
          <w:szCs w:val="24"/>
          <w:highlight w:val="none"/>
        </w:rPr>
        <w:t>：指符合相关法律法规、监管规定要求的，可以购买理财产品的自然人、法人和其他组织。</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（二）法律文件用语</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w:t>
      </w:r>
      <w:r>
        <w:rPr>
          <w:rFonts w:hint="eastAsia" w:ascii="宋体" w:hAnsi="宋体" w:eastAsia="宋体"/>
          <w:sz w:val="24"/>
          <w:szCs w:val="24"/>
          <w:highlight w:val="none"/>
        </w:rPr>
        <w:t>理财</w:t>
      </w:r>
      <w:r>
        <w:rPr>
          <w:rFonts w:ascii="宋体" w:hAnsi="宋体" w:eastAsia="宋体"/>
          <w:sz w:val="24"/>
          <w:szCs w:val="24"/>
          <w:highlight w:val="none"/>
        </w:rPr>
        <w:t>产品说明书》：指《</w:t>
      </w:r>
      <w:r>
        <w:rPr>
          <w:rFonts w:hint="eastAsia" w:ascii="宋体" w:hAnsi="宋体" w:eastAsia="宋体"/>
          <w:sz w:val="24"/>
          <w:szCs w:val="24"/>
          <w:highlight w:val="none"/>
          <w:lang w:val="en-US" w:eastAsia="zh-CN"/>
        </w:rPr>
        <w:t>渤银理财财收有略系列固定收益类一年封闭式理财产品2026年158号</w:t>
      </w:r>
      <w:r>
        <w:rPr>
          <w:rFonts w:hint="eastAsia" w:ascii="宋体" w:hAnsi="宋体" w:eastAsia="宋体"/>
          <w:sz w:val="24"/>
          <w:szCs w:val="24"/>
          <w:highlight w:val="none"/>
        </w:rPr>
        <w:t>产品说明书</w:t>
      </w:r>
      <w:r>
        <w:rPr>
          <w:rFonts w:ascii="宋体" w:hAnsi="宋体" w:eastAsia="宋体"/>
          <w:sz w:val="24"/>
          <w:szCs w:val="24"/>
          <w:highlight w:val="none"/>
        </w:rPr>
        <w:t>》，以</w:t>
      </w:r>
      <w:r>
        <w:rPr>
          <w:rFonts w:hint="eastAsia" w:ascii="宋体" w:hAnsi="宋体" w:eastAsia="宋体"/>
          <w:sz w:val="24"/>
          <w:szCs w:val="24"/>
          <w:highlight w:val="none"/>
        </w:rPr>
        <w:t>及对该文件的有效修改或补充。</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《风险揭示书》：指作为</w:t>
      </w:r>
      <w:r>
        <w:rPr>
          <w:rFonts w:hint="eastAsia" w:ascii="宋体" w:hAnsi="宋体" w:eastAsia="宋体"/>
          <w:sz w:val="24"/>
          <w:szCs w:val="24"/>
          <w:highlight w:val="none"/>
        </w:rPr>
        <w:t>该产品</w:t>
      </w:r>
      <w:r>
        <w:rPr>
          <w:rFonts w:ascii="宋体" w:hAnsi="宋体" w:eastAsia="宋体"/>
          <w:sz w:val="24"/>
          <w:szCs w:val="24"/>
          <w:highlight w:val="none"/>
        </w:rPr>
        <w:t>销售文件不可分</w:t>
      </w:r>
      <w:r>
        <w:rPr>
          <w:rFonts w:hint="eastAsia" w:ascii="宋体" w:hAnsi="宋体" w:eastAsia="宋体"/>
          <w:sz w:val="24"/>
          <w:szCs w:val="24"/>
          <w:highlight w:val="none"/>
        </w:rPr>
        <w:t>割组成部分的风险揭示书，以及对该文件的有效修改或补充。</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w:t>
      </w:r>
      <w:r>
        <w:rPr>
          <w:rFonts w:ascii="宋体" w:hAnsi="宋体" w:eastAsia="宋体"/>
          <w:sz w:val="24"/>
          <w:szCs w:val="24"/>
          <w:highlight w:val="none"/>
        </w:rPr>
        <w:t>《投资协议书》：指由投资者和管理人签署的，作为</w:t>
      </w:r>
      <w:r>
        <w:rPr>
          <w:rFonts w:hint="eastAsia" w:ascii="宋体" w:hAnsi="宋体" w:eastAsia="宋体"/>
          <w:sz w:val="24"/>
          <w:szCs w:val="24"/>
          <w:highlight w:val="none"/>
        </w:rPr>
        <w:t>该产品销售文件不可分割组成部分的投资协议书，以及对该文件的有效修改或补充。</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4.理财产品合同：指《理财产品说明书》《风险揭示书》和《投资协议书》的总称。</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5</w:t>
      </w:r>
      <w:r>
        <w:rPr>
          <w:rFonts w:hint="eastAsia" w:ascii="宋体" w:hAnsi="宋体" w:eastAsia="宋体"/>
          <w:sz w:val="24"/>
          <w:szCs w:val="24"/>
          <w:highlight w:val="none"/>
        </w:rPr>
        <w:t>.</w:t>
      </w:r>
      <w:r>
        <w:rPr>
          <w:rFonts w:ascii="宋体" w:hAnsi="宋体" w:eastAsia="宋体"/>
          <w:sz w:val="24"/>
          <w:szCs w:val="24"/>
          <w:highlight w:val="none"/>
        </w:rPr>
        <w:t>《理财产品（代理）销售协议书》：指由投资者和</w:t>
      </w:r>
      <w:r>
        <w:rPr>
          <w:rFonts w:hint="eastAsia" w:ascii="宋体" w:hAnsi="宋体" w:eastAsia="宋体"/>
          <w:sz w:val="24"/>
          <w:szCs w:val="24"/>
          <w:highlight w:val="none"/>
        </w:rPr>
        <w:t>销售服务机构</w:t>
      </w:r>
      <w:r>
        <w:rPr>
          <w:rFonts w:ascii="宋体" w:hAnsi="宋体" w:eastAsia="宋体"/>
          <w:sz w:val="24"/>
          <w:szCs w:val="24"/>
          <w:highlight w:val="none"/>
        </w:rPr>
        <w:t>签署的，作为该产品销售文件不可分割组成部分的理财产品（代理）销售协议书，以及对该文件的有效修改或补充。</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6</w:t>
      </w:r>
      <w:r>
        <w:rPr>
          <w:rFonts w:hint="eastAsia" w:ascii="宋体" w:hAnsi="宋体" w:eastAsia="宋体"/>
          <w:sz w:val="24"/>
          <w:szCs w:val="24"/>
          <w:highlight w:val="none"/>
        </w:rPr>
        <w:t>.《投资者权益须知》：指由产品管理人统一编制的或销售服务机构接受产品管理人委托自行编制的，</w:t>
      </w:r>
      <w:r>
        <w:rPr>
          <w:rFonts w:ascii="宋体" w:hAnsi="宋体" w:eastAsia="宋体"/>
          <w:sz w:val="24"/>
          <w:szCs w:val="24"/>
          <w:highlight w:val="none"/>
        </w:rPr>
        <w:t>作为该产品销售文件不可分割组成部分的</w:t>
      </w:r>
      <w:r>
        <w:rPr>
          <w:rFonts w:hint="eastAsia" w:ascii="宋体" w:hAnsi="宋体" w:eastAsia="宋体"/>
          <w:sz w:val="24"/>
          <w:szCs w:val="24"/>
          <w:highlight w:val="none"/>
        </w:rPr>
        <w:t>投资者权益须知</w:t>
      </w:r>
      <w:r>
        <w:rPr>
          <w:rFonts w:ascii="宋体" w:hAnsi="宋体" w:eastAsia="宋体"/>
          <w:sz w:val="24"/>
          <w:szCs w:val="24"/>
          <w:highlight w:val="none"/>
        </w:rPr>
        <w:t>，以及对该文件的有效修改或补充。</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7</w:t>
      </w:r>
      <w:r>
        <w:rPr>
          <w:rFonts w:hint="eastAsia" w:ascii="宋体" w:hAnsi="宋体" w:eastAsia="宋体"/>
          <w:sz w:val="24"/>
          <w:szCs w:val="24"/>
          <w:highlight w:val="none"/>
        </w:rPr>
        <w:t>.理财产品</w:t>
      </w:r>
      <w:r>
        <w:rPr>
          <w:rFonts w:ascii="宋体" w:hAnsi="宋体" w:eastAsia="宋体"/>
          <w:sz w:val="24"/>
          <w:szCs w:val="24"/>
          <w:highlight w:val="none"/>
        </w:rPr>
        <w:t>销售文件：指《理财产品说明书》《风险揭示书》《投资协议书》以及《</w:t>
      </w:r>
      <w:r>
        <w:rPr>
          <w:rFonts w:hint="eastAsia" w:ascii="宋体" w:hAnsi="宋体" w:eastAsia="宋体"/>
          <w:sz w:val="24"/>
          <w:szCs w:val="24"/>
          <w:highlight w:val="none"/>
        </w:rPr>
        <w:t>理财产品</w:t>
      </w:r>
      <w:r>
        <w:rPr>
          <w:rFonts w:ascii="宋体" w:hAnsi="宋体" w:eastAsia="宋体"/>
          <w:sz w:val="24"/>
          <w:szCs w:val="24"/>
          <w:highlight w:val="none"/>
        </w:rPr>
        <w:t>（代</w:t>
      </w:r>
      <w:r>
        <w:rPr>
          <w:rFonts w:hint="eastAsia" w:ascii="宋体" w:hAnsi="宋体" w:eastAsia="宋体"/>
          <w:sz w:val="24"/>
          <w:szCs w:val="24"/>
          <w:highlight w:val="none"/>
        </w:rPr>
        <w:t>理）销售协议书》和《投资者权益须知》。</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（三）理财产品用语</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理财</w:t>
      </w:r>
      <w:r>
        <w:rPr>
          <w:rFonts w:hint="eastAsia" w:ascii="宋体" w:hAnsi="宋体" w:eastAsia="宋体"/>
          <w:sz w:val="24"/>
          <w:szCs w:val="24"/>
          <w:highlight w:val="none"/>
        </w:rPr>
        <w:t>信息</w:t>
      </w:r>
      <w:r>
        <w:rPr>
          <w:rFonts w:ascii="宋体" w:hAnsi="宋体" w:eastAsia="宋体"/>
          <w:sz w:val="24"/>
          <w:szCs w:val="24"/>
          <w:highlight w:val="none"/>
        </w:rPr>
        <w:t>登记</w:t>
      </w:r>
      <w:r>
        <w:rPr>
          <w:rFonts w:hint="eastAsia" w:ascii="宋体" w:hAnsi="宋体" w:eastAsia="宋体"/>
          <w:sz w:val="24"/>
          <w:szCs w:val="24"/>
          <w:highlight w:val="none"/>
        </w:rPr>
        <w:t>系统</w:t>
      </w:r>
      <w:r>
        <w:rPr>
          <w:rFonts w:ascii="宋体" w:hAnsi="宋体" w:eastAsia="宋体"/>
          <w:sz w:val="24"/>
          <w:szCs w:val="24"/>
          <w:highlight w:val="none"/>
        </w:rPr>
        <w:t>编码：指本理财产品在全国银行业理财信息登记系统对</w:t>
      </w:r>
      <w:r>
        <w:rPr>
          <w:rFonts w:hint="eastAsia" w:ascii="宋体" w:hAnsi="宋体" w:eastAsia="宋体"/>
          <w:sz w:val="24"/>
          <w:szCs w:val="24"/>
          <w:highlight w:val="none"/>
        </w:rPr>
        <w:t>理财产品进行信息登记后，由全国银行业理财信息登记系统发放的唯一性的理财产品编码。投资者可依据登记编码在中国理财网（www.chinawealth.com.cn</w:t>
      </w:r>
      <w:r>
        <w:rPr>
          <w:rFonts w:ascii="宋体" w:hAnsi="宋体" w:eastAsia="宋体"/>
          <w:sz w:val="24"/>
          <w:szCs w:val="24"/>
          <w:highlight w:val="none"/>
        </w:rPr>
        <w:t>）查询产</w:t>
      </w:r>
      <w:r>
        <w:rPr>
          <w:rFonts w:hint="eastAsia" w:ascii="宋体" w:hAnsi="宋体" w:eastAsia="宋体"/>
          <w:sz w:val="24"/>
          <w:szCs w:val="24"/>
          <w:highlight w:val="none"/>
        </w:rPr>
        <w:t>品信息。</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理财产品代码/产品代码：指产品管理人在全国银行业理财信息登记系统</w:t>
      </w:r>
      <w:r>
        <w:rPr>
          <w:rFonts w:hint="eastAsia" w:ascii="宋体" w:hAnsi="宋体" w:eastAsia="宋体"/>
          <w:sz w:val="24"/>
          <w:szCs w:val="24"/>
          <w:highlight w:val="none"/>
        </w:rPr>
        <w:t>中为本理财产品设置的内部识别码。</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3.</w:t>
      </w:r>
      <w:r>
        <w:rPr>
          <w:rFonts w:ascii="宋体" w:hAnsi="宋体" w:eastAsia="宋体" w:cs="宋体"/>
          <w:sz w:val="24"/>
          <w:szCs w:val="24"/>
          <w:highlight w:val="none"/>
        </w:rPr>
        <w:t>理财产品份额/产品份额：指投资者持有本理财产品的单位数额。投资者基于其所持有的理财产品单位数额享有理财产品利益、承担理财产品风险。</w:t>
      </w:r>
      <w:r>
        <w:rPr>
          <w:rFonts w:hint="eastAsia" w:ascii="宋体" w:hAnsi="宋体" w:eastAsia="宋体"/>
          <w:sz w:val="24"/>
          <w:szCs w:val="24"/>
          <w:highlight w:val="none"/>
        </w:rPr>
        <w:t>理财产品份额四舍五入保留2</w:t>
      </w:r>
      <w:r>
        <w:rPr>
          <w:rFonts w:ascii="宋体" w:hAnsi="宋体" w:eastAsia="宋体"/>
          <w:sz w:val="24"/>
          <w:szCs w:val="24"/>
          <w:highlight w:val="none"/>
        </w:rPr>
        <w:t>位小数。</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4.</w:t>
      </w:r>
      <w:r>
        <w:rPr>
          <w:rFonts w:ascii="宋体" w:hAnsi="宋体" w:eastAsia="宋体" w:cs="宋体"/>
          <w:sz w:val="24"/>
          <w:szCs w:val="24"/>
          <w:highlight w:val="none"/>
        </w:rPr>
        <w:t>理财产品份额类别/产品份额类别：指管理人有权根据投资者购买理财产品的金额、适合的投资者、代销机构等因素，对投资者所持有的理财产品份额设置不同的理财产品份额类别，产品份额类别为本产品项下某一类产品份额。</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5.</w:t>
      </w:r>
      <w:r>
        <w:rPr>
          <w:rFonts w:ascii="宋体" w:hAnsi="宋体" w:eastAsia="宋体" w:cs="宋体"/>
          <w:sz w:val="24"/>
          <w:szCs w:val="24"/>
          <w:highlight w:val="none"/>
        </w:rPr>
        <w:t>产品销售名称</w:t>
      </w:r>
      <w:r>
        <w:rPr>
          <w:rFonts w:hint="eastAsia" w:ascii="宋体" w:hAnsi="宋体" w:eastAsia="宋体" w:cs="宋体"/>
          <w:sz w:val="24"/>
          <w:szCs w:val="24"/>
          <w:highlight w:val="none"/>
        </w:rPr>
        <w:t>/销售名称</w:t>
      </w:r>
      <w:r>
        <w:rPr>
          <w:rFonts w:ascii="宋体" w:hAnsi="宋体" w:eastAsia="宋体" w:cs="宋体"/>
          <w:sz w:val="24"/>
          <w:szCs w:val="24"/>
          <w:highlight w:val="none"/>
        </w:rPr>
        <w:t>：指本理财产品</w:t>
      </w:r>
      <w:r>
        <w:rPr>
          <w:rFonts w:hint="eastAsia" w:ascii="宋体" w:hAnsi="宋体" w:eastAsia="宋体" w:cs="宋体"/>
          <w:sz w:val="24"/>
          <w:szCs w:val="24"/>
          <w:highlight w:val="none"/>
        </w:rPr>
        <w:t>若设置</w:t>
      </w:r>
      <w:r>
        <w:rPr>
          <w:rFonts w:ascii="宋体" w:hAnsi="宋体" w:eastAsia="宋体" w:cs="宋体"/>
          <w:sz w:val="24"/>
          <w:szCs w:val="24"/>
          <w:highlight w:val="none"/>
        </w:rPr>
        <w:t>不同产品份额类别，管理人在理财产品销售管理过程中为区分不同产品份额类别，在同一理财产品名称下设置的产品销售名称</w:t>
      </w:r>
      <w:r>
        <w:rPr>
          <w:rFonts w:hint="eastAsia" w:ascii="宋体" w:hAnsi="宋体" w:eastAsia="宋体" w:cs="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w:t>
      </w:r>
      <w:r>
        <w:rPr>
          <w:rFonts w:ascii="宋体" w:hAnsi="宋体" w:eastAsia="宋体"/>
          <w:sz w:val="24"/>
          <w:szCs w:val="24"/>
          <w:highlight w:val="none"/>
        </w:rPr>
        <w:t>理财产品销售代码/销售代码：指本理财产品若设置不同产品份额类</w:t>
      </w:r>
      <w:r>
        <w:rPr>
          <w:rFonts w:hint="eastAsia" w:ascii="宋体" w:hAnsi="宋体" w:eastAsia="宋体"/>
          <w:sz w:val="24"/>
          <w:szCs w:val="24"/>
          <w:highlight w:val="none"/>
        </w:rPr>
        <w:t>别，为在理财产品销售管理过程中区分不同产品份额类别，管理人在同一理财产品代码项下，为每类份额类别设置的唯一性内部识别码。若本理财产品不设置差异化产品份额类别，理财产品代码即为理财产品销售代码。</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7.</w:t>
      </w:r>
      <w:r>
        <w:rPr>
          <w:rFonts w:ascii="宋体" w:hAnsi="宋体" w:eastAsia="宋体"/>
          <w:sz w:val="24"/>
          <w:szCs w:val="24"/>
          <w:highlight w:val="none"/>
        </w:rPr>
        <w:t>理财产品风险等级：理财产品风险等级为产品管理人和</w:t>
      </w:r>
      <w:r>
        <w:rPr>
          <w:rFonts w:hint="eastAsia" w:ascii="宋体" w:hAnsi="宋体" w:eastAsia="宋体"/>
          <w:sz w:val="24"/>
          <w:szCs w:val="24"/>
          <w:highlight w:val="none"/>
        </w:rPr>
        <w:t>销售服务机构</w:t>
      </w:r>
      <w:r>
        <w:rPr>
          <w:rFonts w:ascii="宋体" w:hAnsi="宋体" w:eastAsia="宋体"/>
          <w:sz w:val="24"/>
          <w:szCs w:val="24"/>
          <w:highlight w:val="none"/>
        </w:rPr>
        <w:t>经过审</w:t>
      </w:r>
      <w:r>
        <w:rPr>
          <w:rFonts w:hint="eastAsia" w:ascii="宋体" w:hAnsi="宋体" w:eastAsia="宋体"/>
          <w:sz w:val="24"/>
          <w:szCs w:val="24"/>
          <w:highlight w:val="none"/>
        </w:rPr>
        <w:t>慎评估后确定的产品风险等级。若理财产品通过销售服务机构销售的，理财产品风险评级以销售服务机构最终披露的评级结果为准。产品管理人和销售服务机构对理财产品的风险等级评估结果不一致时，销售服务机构</w:t>
      </w:r>
      <w:r>
        <w:rPr>
          <w:rFonts w:ascii="宋体" w:hAnsi="宋体" w:eastAsia="宋体"/>
          <w:sz w:val="24"/>
          <w:szCs w:val="24"/>
          <w:highlight w:val="none"/>
        </w:rPr>
        <w:t>应当采用对应较高风险等级的评级结果并予以披露</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8.</w:t>
      </w:r>
      <w:r>
        <w:rPr>
          <w:rFonts w:ascii="宋体" w:hAnsi="宋体" w:eastAsia="宋体"/>
          <w:sz w:val="24"/>
          <w:szCs w:val="24"/>
          <w:highlight w:val="none"/>
        </w:rPr>
        <w:t>投资者风险承受能力评估：指</w:t>
      </w:r>
      <w:r>
        <w:rPr>
          <w:rFonts w:hint="eastAsia" w:ascii="宋体" w:hAnsi="宋体" w:eastAsia="宋体"/>
          <w:sz w:val="24"/>
          <w:szCs w:val="24"/>
          <w:highlight w:val="none"/>
        </w:rPr>
        <w:t>销售服务机构</w:t>
      </w:r>
      <w:r>
        <w:rPr>
          <w:rFonts w:ascii="宋体" w:hAnsi="宋体" w:eastAsia="宋体"/>
          <w:sz w:val="24"/>
          <w:szCs w:val="24"/>
          <w:highlight w:val="none"/>
        </w:rPr>
        <w:t>对理财</w:t>
      </w:r>
      <w:r>
        <w:rPr>
          <w:rFonts w:hint="eastAsia" w:ascii="宋体" w:hAnsi="宋体" w:eastAsia="宋体"/>
          <w:sz w:val="24"/>
          <w:szCs w:val="24"/>
          <w:highlight w:val="none"/>
        </w:rPr>
        <w:t>产品</w:t>
      </w:r>
      <w:r>
        <w:rPr>
          <w:rFonts w:ascii="宋体" w:hAnsi="宋体" w:eastAsia="宋体"/>
          <w:sz w:val="24"/>
          <w:szCs w:val="24"/>
          <w:highlight w:val="none"/>
        </w:rPr>
        <w:t>投资者的风险承受能力进</w:t>
      </w:r>
      <w:r>
        <w:rPr>
          <w:rFonts w:hint="eastAsia" w:ascii="宋体" w:hAnsi="宋体" w:eastAsia="宋体"/>
          <w:sz w:val="24"/>
          <w:szCs w:val="24"/>
          <w:highlight w:val="none"/>
        </w:rPr>
        <w:t>行评价的过程。</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9.</w:t>
      </w:r>
      <w:r>
        <w:rPr>
          <w:rFonts w:ascii="宋体" w:hAnsi="宋体" w:eastAsia="宋体"/>
          <w:sz w:val="24"/>
          <w:szCs w:val="24"/>
          <w:highlight w:val="none"/>
        </w:rPr>
        <w:t>适合投资者：指适合购买</w:t>
      </w:r>
      <w:r>
        <w:rPr>
          <w:rFonts w:hint="eastAsia" w:ascii="宋体" w:hAnsi="宋体" w:eastAsia="宋体"/>
          <w:sz w:val="24"/>
          <w:szCs w:val="24"/>
          <w:highlight w:val="none"/>
        </w:rPr>
        <w:t>本</w:t>
      </w:r>
      <w:r>
        <w:rPr>
          <w:rFonts w:ascii="宋体" w:hAnsi="宋体" w:eastAsia="宋体"/>
          <w:sz w:val="24"/>
          <w:szCs w:val="24"/>
          <w:highlight w:val="none"/>
        </w:rPr>
        <w:t>理财产品的投资者类型。</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10.</w:t>
      </w:r>
      <w:r>
        <w:rPr>
          <w:rFonts w:ascii="宋体" w:hAnsi="宋体" w:eastAsia="宋体"/>
          <w:sz w:val="24"/>
          <w:szCs w:val="24"/>
          <w:highlight w:val="none"/>
        </w:rPr>
        <w:t>理财产品资产净值/理财资产净值/产品资产净值：理财产品资产净值=理</w:t>
      </w:r>
      <w:r>
        <w:rPr>
          <w:rFonts w:hint="eastAsia" w:ascii="宋体" w:hAnsi="宋体" w:eastAsia="宋体"/>
          <w:sz w:val="24"/>
          <w:szCs w:val="24"/>
          <w:highlight w:val="none"/>
        </w:rPr>
        <w:t>财产品资产总值</w:t>
      </w:r>
      <w:r>
        <w:rPr>
          <w:rFonts w:ascii="宋体" w:hAnsi="宋体" w:eastAsia="宋体"/>
          <w:sz w:val="24"/>
          <w:szCs w:val="24"/>
          <w:highlight w:val="none"/>
        </w:rPr>
        <w:t>-理财产品负债总值。</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理财产品资产总值是指理财产品拥有的各类有价证券、银行存款、应收款项及其他资产的价值总和。</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理财产品负债总值是指理财产品运作及融资时形成的负债价值总和，包括融资资金本息、</w:t>
      </w:r>
      <w:r>
        <w:rPr>
          <w:rFonts w:hint="eastAsia" w:ascii="宋体" w:hAnsi="宋体" w:eastAsia="宋体"/>
          <w:b/>
          <w:bCs/>
          <w:sz w:val="24"/>
          <w:szCs w:val="24"/>
          <w:highlight w:val="none"/>
        </w:rPr>
        <w:t>应付各项费用（包括托管费、认/申购费、固定管理费、计入负债的业绩报酬、其他费用等）、应付税金及其他应付款项等。</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11.</w:t>
      </w:r>
      <w:r>
        <w:rPr>
          <w:rFonts w:ascii="宋体" w:hAnsi="宋体" w:eastAsia="宋体"/>
          <w:sz w:val="24"/>
          <w:szCs w:val="24"/>
          <w:highlight w:val="none"/>
        </w:rPr>
        <w:t>理财产品份额净值/理财份额净值/产品份额净值：指理财产品份额的单</w:t>
      </w:r>
      <w:r>
        <w:rPr>
          <w:rFonts w:hint="eastAsia" w:ascii="宋体" w:hAnsi="宋体" w:eastAsia="宋体"/>
          <w:sz w:val="24"/>
          <w:szCs w:val="24"/>
          <w:highlight w:val="none"/>
        </w:rPr>
        <w:t>位净值，即每</w:t>
      </w:r>
      <w:r>
        <w:rPr>
          <w:rFonts w:ascii="宋体" w:hAnsi="宋体" w:eastAsia="宋体"/>
          <w:sz w:val="24"/>
          <w:szCs w:val="24"/>
          <w:highlight w:val="none"/>
        </w:rPr>
        <w:t>1份理财产品份额以人民币计价的价格。理财产品份额净值=理财</w:t>
      </w:r>
      <w:r>
        <w:rPr>
          <w:rFonts w:hint="eastAsia" w:ascii="宋体" w:hAnsi="宋体" w:eastAsia="宋体"/>
          <w:sz w:val="24"/>
          <w:szCs w:val="24"/>
          <w:highlight w:val="none"/>
        </w:rPr>
        <w:t>产品</w:t>
      </w:r>
      <w:r>
        <w:rPr>
          <w:rFonts w:ascii="宋体" w:hAnsi="宋体" w:eastAsia="宋体"/>
          <w:sz w:val="24"/>
          <w:szCs w:val="24"/>
          <w:highlight w:val="none"/>
        </w:rPr>
        <w:t>资</w:t>
      </w:r>
      <w:r>
        <w:rPr>
          <w:rFonts w:hint="eastAsia" w:ascii="宋体" w:hAnsi="宋体" w:eastAsia="宋体"/>
          <w:sz w:val="24"/>
          <w:szCs w:val="24"/>
          <w:highlight w:val="none"/>
        </w:rPr>
        <w:t>产净值</w:t>
      </w:r>
      <w:r>
        <w:rPr>
          <w:rFonts w:ascii="宋体" w:hAnsi="宋体" w:eastAsia="宋体"/>
          <w:sz w:val="24"/>
          <w:szCs w:val="24"/>
          <w:highlight w:val="none"/>
        </w:rPr>
        <w:t>/</w:t>
      </w:r>
      <w:r>
        <w:rPr>
          <w:rFonts w:hint="eastAsia" w:ascii="宋体" w:hAnsi="宋体" w:cs="宋体"/>
          <w:sz w:val="24"/>
          <w:highlight w:val="none"/>
          <w:lang w:bidi="ar"/>
        </w:rPr>
        <w:t>理财</w:t>
      </w:r>
      <w:r>
        <w:rPr>
          <w:rFonts w:ascii="宋体" w:hAnsi="宋体" w:eastAsia="宋体"/>
          <w:sz w:val="24"/>
          <w:szCs w:val="24"/>
          <w:highlight w:val="none"/>
        </w:rPr>
        <w:t>产品</w:t>
      </w:r>
      <w:r>
        <w:rPr>
          <w:rFonts w:hint="eastAsia" w:ascii="宋体" w:hAnsi="宋体" w:eastAsia="宋体"/>
          <w:sz w:val="24"/>
          <w:szCs w:val="24"/>
          <w:highlight w:val="none"/>
        </w:rPr>
        <w:t>份额数</w:t>
      </w:r>
      <w:r>
        <w:rPr>
          <w:rFonts w:ascii="宋体" w:hAnsi="宋体" w:eastAsia="宋体"/>
          <w:sz w:val="24"/>
          <w:szCs w:val="24"/>
          <w:highlight w:val="none"/>
        </w:rPr>
        <w:t>。投资者按该份额净值进行理财产品申购、赎回</w:t>
      </w:r>
      <w:r>
        <w:rPr>
          <w:rFonts w:hint="eastAsia" w:ascii="宋体" w:hAnsi="宋体" w:eastAsia="宋体"/>
          <w:sz w:val="24"/>
          <w:szCs w:val="24"/>
          <w:highlight w:val="none"/>
        </w:rPr>
        <w:t>。理财产品份额净值四舍五入保留6</w:t>
      </w:r>
      <w:r>
        <w:rPr>
          <w:rFonts w:ascii="宋体" w:hAnsi="宋体" w:eastAsia="宋体"/>
          <w:sz w:val="24"/>
          <w:szCs w:val="24"/>
          <w:highlight w:val="none"/>
        </w:rPr>
        <w:t>位小数。</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理财产品份额净值可以展示为</w:t>
      </w:r>
      <w:r>
        <w:rPr>
          <w:rFonts w:hint="eastAsia" w:ascii="宋体" w:hAnsi="宋体" w:eastAsia="宋体"/>
          <w:b/>
          <w:bCs/>
          <w:sz w:val="24"/>
          <w:szCs w:val="24"/>
          <w:highlight w:val="none"/>
        </w:rPr>
        <w:t>当前理财产品份额净值</w:t>
      </w:r>
      <w:r>
        <w:rPr>
          <w:rFonts w:hint="eastAsia" w:ascii="宋体" w:hAnsi="宋体" w:eastAsia="宋体"/>
          <w:sz w:val="24"/>
          <w:szCs w:val="24"/>
          <w:highlight w:val="none"/>
        </w:rPr>
        <w:t>和</w:t>
      </w:r>
      <w:r>
        <w:rPr>
          <w:rFonts w:hint="eastAsia" w:ascii="宋体" w:hAnsi="宋体" w:eastAsia="宋体"/>
          <w:b/>
          <w:bCs/>
          <w:sz w:val="24"/>
          <w:szCs w:val="24"/>
          <w:highlight w:val="none"/>
        </w:rPr>
        <w:t>理财产品累计份额净值</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当前理财产品份额净值，指产品当前的份额净值。</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理财产品累计份额净值，指产品当前份额净值及产品成立到现在单位理财产品份额分红之和。</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（注：</w:t>
      </w:r>
      <w:r>
        <w:rPr>
          <w:rFonts w:hint="eastAsia" w:ascii="宋体" w:hAnsi="宋体" w:eastAsia="宋体"/>
          <w:b/>
          <w:bCs/>
          <w:sz w:val="24"/>
          <w:szCs w:val="24"/>
          <w:highlight w:val="none"/>
        </w:rPr>
        <w:t>若无特别说明，理财产品份额净值通常指当前理财产品份额净值</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12.</w:t>
      </w:r>
      <w:r>
        <w:rPr>
          <w:rFonts w:ascii="宋体" w:hAnsi="宋体" w:eastAsia="宋体"/>
          <w:sz w:val="24"/>
          <w:szCs w:val="24"/>
          <w:highlight w:val="none"/>
        </w:rPr>
        <w:t>理财产品估值：指计算评估理财产品资产和理财产品负债的价值，以确</w:t>
      </w:r>
      <w:r>
        <w:rPr>
          <w:rFonts w:hint="eastAsia" w:ascii="宋体" w:hAnsi="宋体" w:eastAsia="宋体"/>
          <w:sz w:val="24"/>
          <w:szCs w:val="24"/>
          <w:highlight w:val="none"/>
        </w:rPr>
        <w:t>定理财产品份额净值的过程。</w:t>
      </w:r>
    </w:p>
    <w:p>
      <w:pPr>
        <w:spacing w:line="300" w:lineRule="auto"/>
        <w:ind w:firstLine="480" w:firstLineChars="200"/>
        <w:rPr>
          <w:rFonts w:hint="eastAsia" w:ascii="宋体" w:hAnsi="宋体" w:eastAsia="宋体"/>
          <w:b/>
          <w:bCs/>
          <w:sz w:val="24"/>
          <w:szCs w:val="24"/>
          <w:highlight w:val="none"/>
        </w:rPr>
      </w:pPr>
      <w:r>
        <w:rPr>
          <w:rFonts w:hint="eastAsia" w:ascii="宋体" w:hAnsi="宋体" w:eastAsia="宋体"/>
          <w:sz w:val="24"/>
          <w:szCs w:val="24"/>
          <w:highlight w:val="none"/>
        </w:rPr>
        <w:t>13.</w:t>
      </w:r>
      <w:r>
        <w:rPr>
          <w:rFonts w:ascii="宋体" w:hAnsi="宋体" w:eastAsia="宋体"/>
          <w:sz w:val="24"/>
          <w:szCs w:val="24"/>
          <w:highlight w:val="none"/>
        </w:rPr>
        <w:t>业绩比较基准：指管理人综合考虑市场环境、产品性质、投资策略、</w:t>
      </w:r>
      <w:r>
        <w:rPr>
          <w:rFonts w:hint="eastAsia" w:ascii="宋体" w:hAnsi="宋体" w:eastAsia="宋体"/>
          <w:sz w:val="24"/>
          <w:szCs w:val="24"/>
          <w:highlight w:val="none"/>
        </w:rPr>
        <w:t>过往表现等因素，对理财产品设置的投资目标和相关解释说明。</w:t>
      </w:r>
      <w:r>
        <w:rPr>
          <w:rFonts w:hint="eastAsia" w:ascii="宋体" w:hAnsi="宋体" w:eastAsia="宋体"/>
          <w:b/>
          <w:bCs/>
          <w:sz w:val="24"/>
          <w:szCs w:val="24"/>
          <w:highlight w:val="none"/>
        </w:rPr>
        <w:t>业绩比较基准不是预期收益率，不代表产品的未来表现和实际收益，不构成对产品收益的承诺。</w:t>
      </w:r>
    </w:p>
    <w:p>
      <w:pPr>
        <w:spacing w:line="300" w:lineRule="auto"/>
        <w:ind w:firstLine="480" w:firstLineChars="200"/>
        <w:rPr>
          <w:rFonts w:hint="eastAsia" w:ascii="宋体" w:hAnsi="宋体" w:eastAsia="宋体"/>
          <w:b/>
          <w:bCs/>
          <w:sz w:val="24"/>
          <w:szCs w:val="24"/>
          <w:highlight w:val="none"/>
        </w:rPr>
      </w:pPr>
      <w:r>
        <w:rPr>
          <w:rFonts w:hint="eastAsia" w:ascii="宋体" w:hAnsi="宋体" w:eastAsia="宋体"/>
          <w:sz w:val="24"/>
          <w:szCs w:val="24"/>
          <w:highlight w:val="none"/>
        </w:rPr>
        <w:t>14.超额</w:t>
      </w:r>
      <w:r>
        <w:rPr>
          <w:rFonts w:ascii="宋体" w:hAnsi="宋体" w:eastAsia="宋体"/>
          <w:sz w:val="24"/>
          <w:szCs w:val="24"/>
          <w:highlight w:val="none"/>
        </w:rPr>
        <w:t>业绩报酬计提基准：指管理人收取超额业绩报酬参照</w:t>
      </w:r>
      <w:r>
        <w:rPr>
          <w:rFonts w:hint="eastAsia" w:ascii="宋体" w:hAnsi="宋体" w:eastAsia="宋体"/>
          <w:sz w:val="24"/>
          <w:szCs w:val="24"/>
          <w:highlight w:val="none"/>
        </w:rPr>
        <w:t>的</w:t>
      </w:r>
      <w:r>
        <w:rPr>
          <w:rFonts w:ascii="宋体" w:hAnsi="宋体" w:eastAsia="宋体"/>
          <w:sz w:val="24"/>
          <w:szCs w:val="24"/>
          <w:highlight w:val="none"/>
        </w:rPr>
        <w:t>相关数值标</w:t>
      </w:r>
      <w:r>
        <w:rPr>
          <w:rFonts w:hint="eastAsia" w:ascii="宋体" w:hAnsi="宋体" w:eastAsia="宋体"/>
          <w:sz w:val="24"/>
          <w:szCs w:val="24"/>
          <w:highlight w:val="none"/>
        </w:rPr>
        <w:t>准。</w:t>
      </w:r>
      <w:r>
        <w:rPr>
          <w:rFonts w:hint="eastAsia" w:ascii="宋体" w:hAnsi="宋体" w:eastAsia="宋体"/>
          <w:b/>
          <w:bCs/>
          <w:sz w:val="24"/>
          <w:szCs w:val="24"/>
          <w:highlight w:val="none"/>
        </w:rPr>
        <w:t>超额业绩报酬计提基准不代表理财产品未来表现，不等于理财产品实际收益，不作为产品收益的业绩保证，投资须谨慎。</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15.</w:t>
      </w:r>
      <w:r>
        <w:rPr>
          <w:rFonts w:ascii="宋体" w:hAnsi="宋体" w:eastAsia="宋体"/>
          <w:sz w:val="24"/>
          <w:szCs w:val="24"/>
          <w:highlight w:val="none"/>
        </w:rPr>
        <w:t>理财产品利益/理财利益：指投资者因持有理财产品份额，按照销售</w:t>
      </w:r>
      <w:r>
        <w:rPr>
          <w:rFonts w:hint="eastAsia" w:ascii="宋体" w:hAnsi="宋体" w:eastAsia="宋体"/>
          <w:sz w:val="24"/>
          <w:szCs w:val="24"/>
          <w:highlight w:val="none"/>
        </w:rPr>
        <w:t>文件约定取得或有权取得的理财产品管理人分配的理财产品资产。</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16.理财产品收益：指投资者投资理财产品获得的投资收益，该收益为其获得的全部理财产品利益中扣除投资本金的部分。</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17.</w:t>
      </w:r>
      <w:r>
        <w:rPr>
          <w:rFonts w:ascii="宋体" w:hAnsi="宋体" w:eastAsia="宋体"/>
          <w:sz w:val="24"/>
          <w:szCs w:val="24"/>
          <w:highlight w:val="none"/>
        </w:rPr>
        <w:t>利益分配：指产品管理人向投资者进行理财产品利益分配。</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18.</w:t>
      </w:r>
      <w:r>
        <w:rPr>
          <w:rFonts w:ascii="宋体" w:hAnsi="宋体" w:eastAsia="宋体"/>
          <w:sz w:val="24"/>
          <w:szCs w:val="24"/>
          <w:highlight w:val="none"/>
        </w:rPr>
        <w:t>期间分配：指在理财产品终止日（不含当日）前的理财产品利益分配。</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19.</w:t>
      </w:r>
      <w:r>
        <w:rPr>
          <w:rFonts w:ascii="宋体" w:hAnsi="宋体" w:eastAsia="宋体"/>
          <w:sz w:val="24"/>
          <w:szCs w:val="24"/>
          <w:highlight w:val="none"/>
        </w:rPr>
        <w:t>终止分配：指在理财产品终止日当日及之后的理财产品利益分配。</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20.</w:t>
      </w:r>
      <w:r>
        <w:rPr>
          <w:rFonts w:ascii="宋体" w:hAnsi="宋体" w:eastAsia="宋体"/>
          <w:sz w:val="24"/>
          <w:szCs w:val="24"/>
          <w:highlight w:val="none"/>
        </w:rPr>
        <w:t>认购：指投资者根据本销售文件约定在</w:t>
      </w:r>
      <w:r>
        <w:rPr>
          <w:rFonts w:hint="eastAsia" w:ascii="宋体" w:hAnsi="宋体" w:eastAsia="宋体"/>
          <w:sz w:val="24"/>
          <w:szCs w:val="24"/>
          <w:highlight w:val="none"/>
        </w:rPr>
        <w:t>认购期</w:t>
      </w:r>
      <w:r>
        <w:rPr>
          <w:rFonts w:ascii="宋体" w:hAnsi="宋体" w:eastAsia="宋体"/>
          <w:sz w:val="24"/>
          <w:szCs w:val="24"/>
          <w:highlight w:val="none"/>
        </w:rPr>
        <w:t>内申请购买理财</w:t>
      </w:r>
      <w:r>
        <w:rPr>
          <w:rFonts w:hint="eastAsia" w:ascii="宋体" w:hAnsi="宋体" w:eastAsia="宋体"/>
          <w:sz w:val="24"/>
          <w:szCs w:val="24"/>
          <w:highlight w:val="none"/>
        </w:rPr>
        <w:t>产品份额的行为。</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21.</w:t>
      </w:r>
      <w:r>
        <w:rPr>
          <w:rFonts w:ascii="宋体" w:hAnsi="宋体" w:eastAsia="宋体"/>
          <w:sz w:val="24"/>
          <w:szCs w:val="24"/>
          <w:highlight w:val="none"/>
        </w:rPr>
        <w:t>申购：指开放式理财产品成立后，投资者申请购买理财产品份额的行</w:t>
      </w:r>
      <w:r>
        <w:rPr>
          <w:rFonts w:hint="eastAsia" w:ascii="宋体" w:hAnsi="宋体" w:eastAsia="宋体"/>
          <w:sz w:val="24"/>
          <w:szCs w:val="24"/>
          <w:highlight w:val="none"/>
        </w:rPr>
        <w:t>为。</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首次申购，指未进行认购的投资者，在理财产品成立后申请购买理财产品份额的行为。投资者全额赎回不再持有理财产品份额后再次申购的，视同首次申购处理。</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追加申购，指已经完成认购或首次申购的投资者，在理财产品成立后申请购买理财产品份额的行为。</w:t>
      </w:r>
    </w:p>
    <w:p>
      <w:pPr>
        <w:numPr>
          <w:ilvl w:val="255"/>
          <w:numId w:val="0"/>
        </w:num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2</w:t>
      </w:r>
      <w:r>
        <w:rPr>
          <w:rFonts w:ascii="宋体" w:hAnsi="宋体" w:eastAsia="宋体"/>
          <w:sz w:val="24"/>
          <w:szCs w:val="24"/>
          <w:highlight w:val="none"/>
        </w:rPr>
        <w:t>.赎回：指开放式理财产品成立后，投资者申请赎回理财产品份额的行为。</w:t>
      </w:r>
    </w:p>
    <w:p>
      <w:pPr>
        <w:numPr>
          <w:ilvl w:val="255"/>
          <w:numId w:val="0"/>
        </w:num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3</w:t>
      </w:r>
      <w:r>
        <w:rPr>
          <w:rFonts w:ascii="宋体" w:hAnsi="宋体" w:eastAsia="宋体"/>
          <w:sz w:val="24"/>
          <w:szCs w:val="24"/>
          <w:highlight w:val="none"/>
        </w:rPr>
        <w:t>.巨额赎回：在理财产品存续期内，若理财产品单个开放日净赎回申请份额（赎回申请份额总数扣除申购申请份额总数）超过本理财产品上一交易日日终份额的10%时，即为发生巨额赎回。</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4</w:t>
      </w:r>
      <w:r>
        <w:rPr>
          <w:rFonts w:ascii="宋体" w:hAnsi="宋体" w:eastAsia="宋体"/>
          <w:sz w:val="24"/>
          <w:szCs w:val="24"/>
          <w:highlight w:val="none"/>
        </w:rPr>
        <w:t>.流动性受限资产：是指由于法律法规、监管、合同或操作障碍等原因无法以合理价格予以变现的资产，包括到期日在10个交易日以上的逆回购与银行定期存款（含协议约定有条件提前支取的银行存款）、距可赎回日在10个交易日以上的资产管理产品、停牌股票、流通受限的新股及非公开发行股票、资产支持证券（票据），因发行人债务违约无法进行转让或交易的债券和非金融企业债务融资工具，以及其他流动性受限资产。</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5</w:t>
      </w:r>
      <w:r>
        <w:rPr>
          <w:rFonts w:ascii="宋体" w:hAnsi="宋体" w:eastAsia="宋体"/>
          <w:sz w:val="24"/>
          <w:szCs w:val="24"/>
          <w:highlight w:val="none"/>
        </w:rPr>
        <w:t>.7个工作日可变现资产：包括可在交易所、银行间市场正常交易的股票、债券、非金融企业债务融资工具、期货及期权合约以及同业存单，7个工作日内到期或可支取的买入返售、银行存款，7个工作日内能够确认收到的各类应收款项等。</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（四）期间与日期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日：指自然日。</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交易日：</w:t>
      </w:r>
      <w:r>
        <w:rPr>
          <w:rFonts w:hint="eastAsia" w:ascii="宋体" w:hAnsi="宋体" w:eastAsia="宋体"/>
          <w:sz w:val="24"/>
          <w:szCs w:val="24"/>
          <w:highlight w:val="none"/>
        </w:rPr>
        <w:t>指上海证券交易所和深圳证券交易所的正常开盘交易日。</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w:t>
      </w:r>
      <w:r>
        <w:rPr>
          <w:rFonts w:ascii="宋体" w:hAnsi="宋体" w:eastAsia="宋体"/>
          <w:sz w:val="24"/>
          <w:szCs w:val="24"/>
          <w:highlight w:val="none"/>
        </w:rPr>
        <w:t>工作日：指国家法定工作日。</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w:t>
      </w:r>
      <w:r>
        <w:rPr>
          <w:rFonts w:ascii="宋体" w:hAnsi="宋体" w:eastAsia="宋体"/>
          <w:sz w:val="24"/>
          <w:szCs w:val="24"/>
          <w:highlight w:val="none"/>
        </w:rPr>
        <w:t>成立日：指理财产品开始运作的日期。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5.</w:t>
      </w:r>
      <w:r>
        <w:rPr>
          <w:rFonts w:ascii="宋体" w:hAnsi="宋体" w:eastAsia="宋体"/>
          <w:sz w:val="24"/>
          <w:szCs w:val="24"/>
          <w:highlight w:val="none"/>
        </w:rPr>
        <w:t>终止日：指理财产品终止的日期。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w:t>
      </w:r>
      <w:r>
        <w:rPr>
          <w:rFonts w:ascii="宋体" w:hAnsi="宋体" w:eastAsia="宋体"/>
          <w:sz w:val="24"/>
          <w:szCs w:val="24"/>
          <w:highlight w:val="none"/>
        </w:rPr>
        <w:t>估值日：指产品管理人对理财产品项下资产进行估值的日期。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7.</w:t>
      </w:r>
      <w:r>
        <w:rPr>
          <w:rFonts w:ascii="宋体" w:hAnsi="宋体" w:eastAsia="宋体"/>
          <w:sz w:val="24"/>
          <w:szCs w:val="24"/>
          <w:highlight w:val="none"/>
        </w:rPr>
        <w:t>分配基准日：指本产品管理人以该日日终产品份额净值计算并确定可供</w:t>
      </w:r>
      <w:r>
        <w:rPr>
          <w:rFonts w:hint="eastAsia" w:ascii="宋体" w:hAnsi="宋体" w:eastAsia="宋体"/>
          <w:sz w:val="24"/>
          <w:szCs w:val="24"/>
          <w:highlight w:val="none"/>
        </w:rPr>
        <w:t>分配的投资期间理财利益的日期。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8.</w:t>
      </w:r>
      <w:r>
        <w:rPr>
          <w:rFonts w:ascii="宋体" w:hAnsi="宋体" w:eastAsia="宋体"/>
          <w:sz w:val="24"/>
          <w:szCs w:val="24"/>
          <w:highlight w:val="none"/>
        </w:rPr>
        <w:t>分配日：指产品管理人向投资者进行理财产品利益分配的日期。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9.认购期</w:t>
      </w:r>
      <w:r>
        <w:rPr>
          <w:rFonts w:ascii="宋体" w:hAnsi="宋体" w:eastAsia="宋体"/>
          <w:sz w:val="24"/>
          <w:szCs w:val="24"/>
          <w:highlight w:val="none"/>
        </w:rPr>
        <w:t>：指理财产品成立前，理财产品管理人接受理财产品认购的时</w:t>
      </w:r>
      <w:r>
        <w:rPr>
          <w:rFonts w:hint="eastAsia" w:ascii="宋体" w:hAnsi="宋体" w:eastAsia="宋体"/>
          <w:sz w:val="24"/>
          <w:szCs w:val="24"/>
          <w:highlight w:val="none"/>
        </w:rPr>
        <w:t>间。</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10.认购登记日：指产品管理人对认购人提交的认购申请进行理财产品份额登记的日期。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1</w:t>
      </w:r>
      <w:r>
        <w:rPr>
          <w:rFonts w:hint="eastAsia" w:ascii="宋体" w:hAnsi="宋体" w:eastAsia="宋体"/>
          <w:sz w:val="24"/>
          <w:szCs w:val="24"/>
          <w:highlight w:val="none"/>
        </w:rPr>
        <w:t>.</w:t>
      </w:r>
      <w:r>
        <w:rPr>
          <w:rFonts w:ascii="宋体" w:hAnsi="宋体" w:eastAsia="宋体"/>
          <w:sz w:val="24"/>
          <w:szCs w:val="24"/>
          <w:highlight w:val="none"/>
        </w:rPr>
        <w:t>持有期：指自产品成立日/申购确认日起，投资者持有该产品份额的期</w:t>
      </w:r>
      <w:r>
        <w:rPr>
          <w:rFonts w:hint="eastAsia" w:ascii="宋体" w:hAnsi="宋体" w:eastAsia="宋体"/>
          <w:sz w:val="24"/>
          <w:szCs w:val="24"/>
          <w:highlight w:val="none"/>
        </w:rPr>
        <w:t>间。</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2</w:t>
      </w:r>
      <w:r>
        <w:rPr>
          <w:rFonts w:hint="eastAsia" w:ascii="宋体" w:hAnsi="宋体" w:eastAsia="宋体"/>
          <w:sz w:val="24"/>
          <w:szCs w:val="24"/>
          <w:highlight w:val="none"/>
        </w:rPr>
        <w:t>.</w:t>
      </w:r>
      <w:r>
        <w:rPr>
          <w:rFonts w:ascii="宋体" w:hAnsi="宋体" w:eastAsia="宋体"/>
          <w:sz w:val="24"/>
          <w:szCs w:val="24"/>
          <w:highlight w:val="none"/>
        </w:rPr>
        <w:t>产品存续期：指自理财产品成立日起，至理财产品终止日的期间。</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13.</w:t>
      </w:r>
      <w:r>
        <w:rPr>
          <w:rFonts w:ascii="宋体" w:hAnsi="宋体" w:eastAsia="宋体"/>
          <w:sz w:val="24"/>
          <w:szCs w:val="24"/>
          <w:highlight w:val="none"/>
        </w:rPr>
        <w:t>清算期：指自本理财产品终止日至投资者理财利益到账日之间的期间</w:t>
      </w:r>
      <w:r>
        <w:rPr>
          <w:rFonts w:hint="eastAsia" w:ascii="宋体" w:hAnsi="宋体" w:eastAsia="宋体"/>
          <w:sz w:val="24"/>
          <w:szCs w:val="24"/>
          <w:highlight w:val="none"/>
        </w:rPr>
        <w:t>。</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（五）费用</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1.</w:t>
      </w:r>
      <w:r>
        <w:rPr>
          <w:rFonts w:ascii="宋体" w:hAnsi="宋体" w:eastAsia="宋体"/>
          <w:b/>
          <w:bCs/>
          <w:sz w:val="24"/>
          <w:szCs w:val="24"/>
          <w:highlight w:val="none"/>
        </w:rPr>
        <w:t>认购费：指投资者认购产品时需缴纳的费用。</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2.申购费：指投资者申购产品时需缴纳的费用。</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3.赎回费：指投资者赎回产品时需缴纳的费用。</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4</w:t>
      </w:r>
      <w:r>
        <w:rPr>
          <w:rFonts w:hint="eastAsia" w:ascii="宋体" w:hAnsi="宋体" w:eastAsia="宋体"/>
          <w:b/>
          <w:bCs/>
          <w:sz w:val="24"/>
          <w:szCs w:val="24"/>
          <w:highlight w:val="none"/>
        </w:rPr>
        <w:t>.</w:t>
      </w:r>
      <w:r>
        <w:rPr>
          <w:rFonts w:ascii="宋体" w:hAnsi="宋体" w:eastAsia="宋体"/>
          <w:b/>
          <w:bCs/>
          <w:sz w:val="24"/>
          <w:szCs w:val="24"/>
          <w:highlight w:val="none"/>
        </w:rPr>
        <w:t>销售服务费：指因理财产品销售行为产生</w:t>
      </w:r>
      <w:r>
        <w:rPr>
          <w:rFonts w:hint="eastAsia" w:ascii="宋体" w:hAnsi="宋体" w:eastAsia="宋体"/>
          <w:b/>
          <w:bCs/>
          <w:sz w:val="24"/>
          <w:szCs w:val="24"/>
          <w:highlight w:val="none"/>
        </w:rPr>
        <w:t>，销售服务机构所收取</w:t>
      </w:r>
      <w:r>
        <w:rPr>
          <w:rFonts w:ascii="宋体" w:hAnsi="宋体" w:eastAsia="宋体"/>
          <w:b/>
          <w:bCs/>
          <w:sz w:val="24"/>
          <w:szCs w:val="24"/>
          <w:highlight w:val="none"/>
        </w:rPr>
        <w:t>的费用。</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5</w:t>
      </w:r>
      <w:r>
        <w:rPr>
          <w:rFonts w:hint="eastAsia" w:ascii="宋体" w:hAnsi="宋体" w:eastAsia="宋体"/>
          <w:b/>
          <w:bCs/>
          <w:sz w:val="24"/>
          <w:szCs w:val="24"/>
          <w:highlight w:val="none"/>
        </w:rPr>
        <w:t>.固定管理费</w:t>
      </w:r>
      <w:r>
        <w:rPr>
          <w:rFonts w:ascii="宋体" w:hAnsi="宋体" w:eastAsia="宋体"/>
          <w:b/>
          <w:bCs/>
          <w:sz w:val="24"/>
          <w:szCs w:val="24"/>
          <w:highlight w:val="none"/>
        </w:rPr>
        <w:t>：指因理财产品投资管理产生</w:t>
      </w:r>
      <w:r>
        <w:rPr>
          <w:rFonts w:hint="eastAsia" w:ascii="宋体" w:hAnsi="宋体" w:eastAsia="宋体"/>
          <w:b/>
          <w:bCs/>
          <w:sz w:val="24"/>
          <w:szCs w:val="24"/>
          <w:highlight w:val="none"/>
        </w:rPr>
        <w:t>，管理人所收取</w:t>
      </w:r>
      <w:r>
        <w:rPr>
          <w:rFonts w:ascii="宋体" w:hAnsi="宋体" w:eastAsia="宋体"/>
          <w:b/>
          <w:bCs/>
          <w:sz w:val="24"/>
          <w:szCs w:val="24"/>
          <w:highlight w:val="none"/>
        </w:rPr>
        <w:t>的费用。</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6</w:t>
      </w:r>
      <w:r>
        <w:rPr>
          <w:rFonts w:hint="eastAsia" w:ascii="宋体" w:hAnsi="宋体" w:eastAsia="宋体"/>
          <w:b/>
          <w:bCs/>
          <w:sz w:val="24"/>
          <w:szCs w:val="24"/>
          <w:highlight w:val="none"/>
        </w:rPr>
        <w:t>.</w:t>
      </w:r>
      <w:r>
        <w:rPr>
          <w:rFonts w:ascii="宋体" w:hAnsi="宋体" w:eastAsia="宋体"/>
          <w:b/>
          <w:bCs/>
          <w:sz w:val="24"/>
          <w:szCs w:val="24"/>
          <w:highlight w:val="none"/>
        </w:rPr>
        <w:t>托管费：指因理财产品进行托管产生</w:t>
      </w:r>
      <w:r>
        <w:rPr>
          <w:rFonts w:hint="eastAsia" w:ascii="宋体" w:hAnsi="宋体" w:eastAsia="宋体"/>
          <w:b/>
          <w:bCs/>
          <w:sz w:val="24"/>
          <w:szCs w:val="24"/>
          <w:highlight w:val="none"/>
        </w:rPr>
        <w:t>，托管人收取</w:t>
      </w:r>
      <w:r>
        <w:rPr>
          <w:rFonts w:ascii="宋体" w:hAnsi="宋体" w:eastAsia="宋体"/>
          <w:b/>
          <w:bCs/>
          <w:sz w:val="24"/>
          <w:szCs w:val="24"/>
          <w:highlight w:val="none"/>
        </w:rPr>
        <w:t>的费用。</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7</w:t>
      </w:r>
      <w:r>
        <w:rPr>
          <w:rFonts w:hint="eastAsia" w:ascii="宋体" w:hAnsi="宋体" w:eastAsia="宋体"/>
          <w:b/>
          <w:bCs/>
          <w:sz w:val="24"/>
          <w:szCs w:val="24"/>
          <w:highlight w:val="none"/>
        </w:rPr>
        <w:t>.</w:t>
      </w:r>
      <w:r>
        <w:rPr>
          <w:rFonts w:ascii="宋体" w:hAnsi="宋体" w:eastAsia="宋体"/>
          <w:b/>
          <w:bCs/>
          <w:sz w:val="24"/>
          <w:szCs w:val="24"/>
          <w:highlight w:val="none"/>
        </w:rPr>
        <w:t>超额业绩报酬/业绩报酬：指产品管理人依照理财产品销售文件约定规</w:t>
      </w:r>
      <w:r>
        <w:rPr>
          <w:rFonts w:hint="eastAsia" w:ascii="宋体" w:hAnsi="宋体" w:eastAsia="宋体"/>
          <w:b/>
          <w:bCs/>
          <w:sz w:val="24"/>
          <w:szCs w:val="24"/>
          <w:highlight w:val="none"/>
        </w:rPr>
        <w:t>则收取的浮动性质的管理费用。</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（六）其它</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1.不可抗力：指理财产品各方不能预见、不能避免且不能克服的客观情况，该事件妨碍、影响或延误任何一方依相关理财产品文件履行其全部或部分义务。该事件包括但不限于：</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A</w:t>
      </w:r>
      <w:r>
        <w:rPr>
          <w:rFonts w:hint="eastAsia" w:ascii="宋体" w:hAnsi="宋体" w:eastAsia="宋体"/>
          <w:sz w:val="24"/>
          <w:szCs w:val="24"/>
          <w:highlight w:val="none"/>
        </w:rPr>
        <w:t>.</w:t>
      </w:r>
      <w:r>
        <w:rPr>
          <w:rFonts w:ascii="宋体" w:hAnsi="宋体" w:eastAsia="宋体"/>
          <w:sz w:val="24"/>
          <w:szCs w:val="24"/>
          <w:highlight w:val="none"/>
        </w:rPr>
        <w:t>地震、台风、海啸、洪水、火灾、停电、瘟疫；</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B</w:t>
      </w:r>
      <w:r>
        <w:rPr>
          <w:rFonts w:hint="eastAsia" w:ascii="宋体" w:hAnsi="宋体" w:eastAsia="宋体"/>
          <w:sz w:val="24"/>
          <w:szCs w:val="24"/>
          <w:highlight w:val="none"/>
        </w:rPr>
        <w:t>.</w:t>
      </w:r>
      <w:r>
        <w:rPr>
          <w:rFonts w:ascii="宋体" w:hAnsi="宋体" w:eastAsia="宋体"/>
          <w:sz w:val="24"/>
          <w:szCs w:val="24"/>
          <w:highlight w:val="none"/>
        </w:rPr>
        <w:t>战争、政变、恐怖主义行动、骚乱、罢工；</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C</w:t>
      </w:r>
      <w:r>
        <w:rPr>
          <w:rFonts w:hint="eastAsia" w:ascii="宋体" w:hAnsi="宋体" w:eastAsia="宋体"/>
          <w:sz w:val="24"/>
          <w:szCs w:val="24"/>
          <w:highlight w:val="none"/>
        </w:rPr>
        <w:t>.</w:t>
      </w:r>
      <w:r>
        <w:rPr>
          <w:rFonts w:ascii="宋体" w:hAnsi="宋体" w:eastAsia="宋体"/>
          <w:sz w:val="24"/>
          <w:szCs w:val="24"/>
          <w:highlight w:val="none"/>
        </w:rPr>
        <w:t>新的适用法律或国家政策的颁布或实施、对原适用法律或国家政策的修改；</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D</w:t>
      </w:r>
      <w:r>
        <w:rPr>
          <w:rFonts w:hint="eastAsia" w:ascii="宋体" w:hAnsi="宋体" w:eastAsia="宋体"/>
          <w:sz w:val="24"/>
          <w:szCs w:val="24"/>
          <w:highlight w:val="none"/>
        </w:rPr>
        <w:t>.</w:t>
      </w:r>
      <w:r>
        <w:rPr>
          <w:rFonts w:ascii="宋体" w:hAnsi="宋体" w:eastAsia="宋体"/>
          <w:sz w:val="24"/>
          <w:szCs w:val="24"/>
          <w:highlight w:val="none"/>
        </w:rPr>
        <w:t>金融管理部门强制要求终止理财</w:t>
      </w:r>
      <w:r>
        <w:rPr>
          <w:rFonts w:hint="eastAsia" w:ascii="宋体" w:hAnsi="宋体" w:eastAsia="宋体"/>
          <w:sz w:val="24"/>
          <w:szCs w:val="24"/>
          <w:highlight w:val="none"/>
        </w:rPr>
        <w:t>产品</w:t>
      </w:r>
      <w:r>
        <w:rPr>
          <w:rFonts w:ascii="宋体" w:hAnsi="宋体" w:eastAsia="宋体"/>
          <w:sz w:val="24"/>
          <w:szCs w:val="24"/>
          <w:highlight w:val="none"/>
        </w:rPr>
        <w:t>（该等强制要求不可归咎于任何一方）；</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E</w:t>
      </w:r>
      <w:r>
        <w:rPr>
          <w:rFonts w:hint="eastAsia" w:ascii="宋体" w:hAnsi="宋体" w:eastAsia="宋体"/>
          <w:sz w:val="24"/>
          <w:szCs w:val="24"/>
          <w:highlight w:val="none"/>
        </w:rPr>
        <w:t>.</w:t>
      </w:r>
      <w:r>
        <w:rPr>
          <w:rFonts w:ascii="宋体" w:hAnsi="宋体" w:eastAsia="宋体"/>
          <w:sz w:val="24"/>
          <w:szCs w:val="24"/>
          <w:highlight w:val="none"/>
        </w:rPr>
        <w:t>因理财</w:t>
      </w:r>
      <w:r>
        <w:rPr>
          <w:rFonts w:hint="eastAsia" w:ascii="宋体" w:hAnsi="宋体" w:eastAsia="宋体"/>
          <w:sz w:val="24"/>
          <w:szCs w:val="24"/>
          <w:highlight w:val="none"/>
        </w:rPr>
        <w:t>产品</w:t>
      </w:r>
      <w:r>
        <w:rPr>
          <w:rFonts w:ascii="宋体" w:hAnsi="宋体" w:eastAsia="宋体"/>
          <w:sz w:val="24"/>
          <w:szCs w:val="24"/>
          <w:highlight w:val="none"/>
        </w:rPr>
        <w:t>各方和/或其关联方运营网络系统遭受黑客攻击、电信部门技术调整或故障等原</w:t>
      </w:r>
      <w:r>
        <w:rPr>
          <w:rFonts w:hint="eastAsia" w:ascii="宋体" w:hAnsi="宋体" w:eastAsia="宋体"/>
          <w:sz w:val="24"/>
          <w:szCs w:val="24"/>
          <w:highlight w:val="none"/>
        </w:rPr>
        <w:t>因而造成的理财产品各方和</w:t>
      </w:r>
      <w:r>
        <w:rPr>
          <w:rFonts w:ascii="宋体" w:hAnsi="宋体" w:eastAsia="宋体"/>
          <w:sz w:val="24"/>
          <w:szCs w:val="24"/>
          <w:highlight w:val="none"/>
        </w:rPr>
        <w:t>/或其关联方之服务、营业的中断或者延迟。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元：指人民币元。</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w:t>
      </w:r>
      <w:r>
        <w:rPr>
          <w:rFonts w:ascii="宋体" w:hAnsi="宋体" w:eastAsia="宋体"/>
          <w:sz w:val="24"/>
          <w:szCs w:val="24"/>
          <w:highlight w:val="none"/>
        </w:rPr>
        <w:t>适用法律：指在理财产品文件签署日和履行过程中，中国任何立法机构、政府部门、银</w:t>
      </w:r>
      <w:r>
        <w:rPr>
          <w:rFonts w:hint="eastAsia" w:ascii="宋体" w:hAnsi="宋体" w:eastAsia="宋体"/>
          <w:sz w:val="24"/>
          <w:szCs w:val="24"/>
          <w:highlight w:val="none"/>
        </w:rPr>
        <w:t>行间交易商协会、证券交易所、证券登记结算机构、基金业协会依法颁布的，适用于本理财产品相关事宜的法律、行政法规、地方法规、部委规章、地方政府规章、规范性文件、规则、通知、须知、业务指南、指引或操作规程，及其有效的修改、更新或补充。</w:t>
      </w:r>
    </w:p>
    <w:p>
      <w:pPr>
        <w:ind w:firstLine="480" w:firstLineChars="200"/>
        <w:rPr>
          <w:rFonts w:hint="eastAsia" w:ascii="宋体" w:hAnsi="宋体" w:eastAsia="宋体"/>
          <w:sz w:val="24"/>
          <w:szCs w:val="24"/>
          <w:highlight w:val="none"/>
        </w:rPr>
      </w:pP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三、理财产品要素</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为便于投资者了解本理财产品的概要，管理人列举以下核心要素，但</w:t>
      </w:r>
      <w:r>
        <w:rPr>
          <w:rFonts w:hint="eastAsia" w:ascii="宋体" w:hAnsi="宋体" w:eastAsia="宋体"/>
          <w:b/>
          <w:bCs/>
          <w:sz w:val="24"/>
          <w:szCs w:val="24"/>
          <w:highlight w:val="none"/>
        </w:rPr>
        <w:t>本要素表信息并非管理人向投资者披露信息之全部。投资者在购买本理财产品前，须全面阅读并确保充分知悉理财产品销售文件的各部分信息，以全面了解本理财产品的所有事项。</w:t>
      </w:r>
    </w:p>
    <w:tbl>
      <w:tblPr>
        <w:tblStyle w:val="5"/>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5"/>
        <w:gridCol w:w="6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tabs>
                <w:tab w:val="right" w:pos="2194"/>
              </w:tabs>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产品名称与代码</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产品名称：</w:t>
            </w:r>
            <w:r>
              <w:rPr>
                <w:rFonts w:hint="eastAsia" w:ascii="宋体" w:hAnsi="宋体" w:eastAsia="宋体"/>
                <w:sz w:val="24"/>
                <w:szCs w:val="24"/>
                <w:highlight w:val="none"/>
                <w:lang w:val="en-US" w:eastAsia="zh-CN"/>
              </w:rPr>
              <w:t>渤银理财财收有略系列固定收益类一年封闭式理财产品2026年158号</w:t>
            </w:r>
          </w:p>
          <w:p>
            <w:pPr>
              <w:spacing w:line="30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产品代码：</w:t>
            </w:r>
            <w:r>
              <w:rPr>
                <w:rFonts w:hint="eastAsia" w:ascii="宋体" w:hAnsi="宋体" w:eastAsia="宋体"/>
                <w:sz w:val="24"/>
                <w:szCs w:val="24"/>
                <w:highlight w:val="none"/>
                <w:lang w:val="en-US" w:eastAsia="zh-CN"/>
              </w:rPr>
              <w:t>CSFB1Y26158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产品销售名称与代码</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产品销售名称：</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w:t>
            </w:r>
            <w:r>
              <w:rPr>
                <w:rFonts w:hint="eastAsia" w:ascii="宋体" w:hAnsi="宋体" w:eastAsia="宋体"/>
                <w:sz w:val="24"/>
                <w:szCs w:val="24"/>
                <w:highlight w:val="none"/>
                <w:lang w:val="en-US" w:eastAsia="zh-CN"/>
              </w:rPr>
              <w:t>（私行专属）财收有略一年2026年158号A款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rPr>
              <w:t>B类份额：</w:t>
            </w:r>
            <w:r>
              <w:rPr>
                <w:rFonts w:hint="eastAsia" w:ascii="宋体" w:hAnsi="宋体" w:eastAsia="宋体"/>
                <w:sz w:val="24"/>
                <w:szCs w:val="24"/>
                <w:highlight w:val="none"/>
                <w:lang w:val="en-US" w:eastAsia="zh-CN"/>
              </w:rPr>
              <w:t>（天津分行特色专属）财收有略一年2026年158号B款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zh-CN"/>
              </w:rPr>
              <w:t>C</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渤银理财财收有略一年2026年158号C款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zh-CN"/>
              </w:rPr>
              <w:t>D</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财收有略一年2026年158号D款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zh-CN"/>
              </w:rPr>
              <w:t>E</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渤银理财财收有略一年2026年158号E款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zh-CN"/>
              </w:rPr>
              <w:t>F</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渤银理财财收有略一年2026年158号F款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zh-CN"/>
              </w:rPr>
              <w:t>G</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（私行臻享）渤银理财财收有略一年2026年158号G款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zh-CN"/>
              </w:rPr>
              <w:t>H</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渤银理财财收有略一年2026年158号H款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zh-CN"/>
              </w:rPr>
              <w:t>J</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（优享款）渤银理财财收有略一年2026年158号J款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zh-CN"/>
              </w:rPr>
              <w:t>K</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（南京分行专属）渤银理财财收有略一年2026年158号K款</w:t>
            </w:r>
            <w:r>
              <w:rPr>
                <w:rFonts w:hint="eastAsia" w:ascii="宋体" w:hAnsi="宋体" w:eastAsia="宋体"/>
                <w:sz w:val="24"/>
                <w:szCs w:val="24"/>
                <w:highlight w:val="none"/>
                <w:lang w:eastAsia="zh-CN"/>
              </w:rPr>
              <w:t>】</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产品</w:t>
            </w:r>
            <w:r>
              <w:rPr>
                <w:rFonts w:hint="eastAsia" w:ascii="宋体" w:hAnsi="宋体" w:eastAsia="宋体"/>
                <w:sz w:val="24"/>
                <w:szCs w:val="24"/>
                <w:highlight w:val="none"/>
              </w:rPr>
              <w:t>销售代码：</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w:t>
            </w:r>
            <w:r>
              <w:rPr>
                <w:rFonts w:hint="eastAsia" w:ascii="宋体" w:hAnsi="宋体" w:eastAsia="宋体"/>
                <w:sz w:val="24"/>
                <w:szCs w:val="24"/>
                <w:highlight w:val="none"/>
                <w:lang w:val="en-US" w:eastAsia="zh-CN"/>
              </w:rPr>
              <w:t>CSFB1Y26158A</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★【B</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CSFB1Y26158B</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C</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CSFB1Y26158C</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D</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CSFB1Y26158D</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E</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CSFB1Y26158E</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F</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CSFB1Y26158F</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G</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CSFB1Y26158G</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H</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CSFB1Y26158H</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J</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CSFB1Y26158J</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K</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CSFB1Y26158K</w:t>
            </w:r>
            <w:r>
              <w:rPr>
                <w:rFonts w:hint="eastAsia"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产品销售名称与代码以销售服务机构实际展示的结果为准。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理财信息登记系统</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编码</w:t>
            </w:r>
          </w:p>
        </w:tc>
        <w:tc>
          <w:tcPr>
            <w:tcW w:w="6030" w:type="dxa"/>
            <w:vAlign w:val="center"/>
          </w:tcPr>
          <w:p>
            <w:pPr>
              <w:spacing w:line="300" w:lineRule="auto"/>
              <w:rPr>
                <w:rFonts w:ascii="宋体" w:hAnsi="宋体" w:eastAsia="宋体"/>
                <w:sz w:val="24"/>
                <w:szCs w:val="24"/>
                <w:highlight w:val="none"/>
              </w:rPr>
            </w:pPr>
            <w:r>
              <w:rPr>
                <w:rFonts w:hint="eastAsia" w:ascii="宋体" w:hAnsi="宋体" w:eastAsia="宋体" w:cs="宋体"/>
                <w:sz w:val="24"/>
                <w:szCs w:val="24"/>
                <w:highlight w:val="none"/>
                <w:lang w:val="en-US" w:eastAsia="zh-CN"/>
              </w:rPr>
              <w:t>Z7008426000569</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投资者可依据本产品登记</w:t>
            </w:r>
            <w:r>
              <w:rPr>
                <w:rFonts w:hint="eastAsia" w:ascii="宋体" w:hAnsi="宋体" w:eastAsia="宋体"/>
                <w:sz w:val="24"/>
                <w:szCs w:val="24"/>
                <w:highlight w:val="none"/>
              </w:rPr>
              <w:t>系统</w:t>
            </w:r>
            <w:r>
              <w:rPr>
                <w:rFonts w:ascii="宋体" w:hAnsi="宋体" w:eastAsia="宋体"/>
                <w:sz w:val="24"/>
                <w:szCs w:val="24"/>
                <w:highlight w:val="none"/>
              </w:rPr>
              <w:t>编码在“中</w:t>
            </w:r>
            <w:r>
              <w:rPr>
                <w:rFonts w:hint="eastAsia" w:ascii="宋体" w:hAnsi="宋体" w:eastAsia="宋体"/>
                <w:sz w:val="24"/>
                <w:szCs w:val="24"/>
                <w:highlight w:val="none"/>
              </w:rPr>
              <w:t>国理财网（</w:t>
            </w:r>
            <w:r>
              <w:rPr>
                <w:rFonts w:ascii="宋体" w:hAnsi="宋体" w:eastAsia="宋体"/>
                <w:sz w:val="24"/>
                <w:szCs w:val="24"/>
                <w:highlight w:val="none"/>
              </w:rPr>
              <w:t>www.chinawealth.com.cn）”查询产品信息</w:t>
            </w:r>
            <w:r>
              <w:rPr>
                <w:rFonts w:hint="eastAsia" w:ascii="宋体" w:hAnsi="宋体" w:eastAsia="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产品份额类别</w:t>
            </w:r>
          </w:p>
        </w:tc>
        <w:tc>
          <w:tcPr>
            <w:tcW w:w="6030" w:type="dxa"/>
            <w:vAlign w:val="center"/>
          </w:tcPr>
          <w:p>
            <w:pPr>
              <w:numPr>
                <w:ilvl w:val="255"/>
                <w:numId w:val="0"/>
              </w:num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产品管理人有权根据投资者购买理财产品的金额、销售渠道等因素，对理财产品设置不同的份额类别。</w:t>
            </w:r>
          </w:p>
          <w:p>
            <w:pPr>
              <w:numPr>
                <w:ilvl w:val="255"/>
                <w:numId w:val="0"/>
              </w:num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如理财产品设置不同的份额类别，理财产品每类份额可单独设置</w:t>
            </w:r>
            <w:r>
              <w:rPr>
                <w:rFonts w:hint="eastAsia" w:ascii="宋体" w:hAnsi="宋体" w:eastAsia="宋体"/>
                <w:sz w:val="24"/>
                <w:szCs w:val="24"/>
                <w:highlight w:val="none"/>
              </w:rPr>
              <w:t>的内容包括但不限于</w:t>
            </w:r>
            <w:r>
              <w:rPr>
                <w:rFonts w:ascii="宋体" w:hAnsi="宋体" w:eastAsia="宋体"/>
                <w:sz w:val="24"/>
                <w:szCs w:val="24"/>
                <w:highlight w:val="none"/>
              </w:rPr>
              <w:t>：</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（1）产品销售名称</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（2）产品销售代码</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销售服务机构</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（4）</w:t>
            </w:r>
            <w:r>
              <w:rPr>
                <w:rFonts w:hint="eastAsia" w:ascii="宋体" w:hAnsi="宋体" w:eastAsia="宋体"/>
                <w:sz w:val="24"/>
                <w:szCs w:val="24"/>
                <w:highlight w:val="none"/>
              </w:rPr>
              <w:t>销售对象</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（5）销售</w:t>
            </w:r>
            <w:r>
              <w:rPr>
                <w:rFonts w:hint="eastAsia" w:ascii="宋体" w:hAnsi="宋体" w:eastAsia="宋体"/>
                <w:sz w:val="24"/>
                <w:szCs w:val="24"/>
                <w:highlight w:val="none"/>
              </w:rPr>
              <w:t>服务</w:t>
            </w:r>
            <w:r>
              <w:rPr>
                <w:rFonts w:ascii="宋体" w:hAnsi="宋体" w:eastAsia="宋体"/>
                <w:sz w:val="24"/>
                <w:szCs w:val="24"/>
                <w:highlight w:val="none"/>
              </w:rPr>
              <w:t>费率</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（6）业绩比较基准</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（7）认购投资起点金额及递增金额</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（8）单笔</w:t>
            </w:r>
            <w:r>
              <w:rPr>
                <w:rFonts w:hint="eastAsia" w:ascii="宋体" w:hAnsi="宋体" w:eastAsia="宋体"/>
                <w:sz w:val="24"/>
                <w:szCs w:val="24"/>
                <w:highlight w:val="none"/>
              </w:rPr>
              <w:t>认购上限、</w:t>
            </w:r>
            <w:r>
              <w:rPr>
                <w:rFonts w:ascii="宋体" w:hAnsi="宋体" w:eastAsia="宋体"/>
                <w:sz w:val="24"/>
                <w:szCs w:val="24"/>
                <w:highlight w:val="none"/>
              </w:rPr>
              <w:t>单笔最大购买金额、累计购买金额、最少赎回份额</w:t>
            </w:r>
            <w:r>
              <w:rPr>
                <w:rFonts w:hint="eastAsia" w:ascii="宋体" w:hAnsi="宋体" w:eastAsia="宋体"/>
                <w:sz w:val="24"/>
                <w:szCs w:val="24"/>
                <w:highlight w:val="none"/>
              </w:rPr>
              <w:t>、单笔赎回上限、单日累计赎回上限</w:t>
            </w:r>
            <w:r>
              <w:rPr>
                <w:rFonts w:ascii="宋体" w:hAnsi="宋体" w:eastAsia="宋体"/>
                <w:sz w:val="24"/>
                <w:szCs w:val="24"/>
                <w:highlight w:val="none"/>
              </w:rPr>
              <w:t>等认购和赎回的限制</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（9）单一投资者持有上限</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（10）可单独设置的其他内容</w:t>
            </w:r>
            <w:r>
              <w:rPr>
                <w:rFonts w:hint="eastAsia" w:ascii="宋体" w:hAnsi="宋体" w:eastAsia="宋体"/>
                <w:sz w:val="24"/>
                <w:szCs w:val="24"/>
                <w:highlight w:val="none"/>
              </w:rPr>
              <w:t>（如有）</w:t>
            </w:r>
          </w:p>
          <w:p>
            <w:pPr>
              <w:numPr>
                <w:ilvl w:val="255"/>
                <w:numId w:val="0"/>
              </w:num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3.</w:t>
            </w:r>
            <w:r>
              <w:rPr>
                <w:rFonts w:ascii="宋体" w:hAnsi="宋体" w:eastAsia="宋体"/>
                <w:sz w:val="24"/>
                <w:szCs w:val="24"/>
                <w:highlight w:val="none"/>
              </w:rPr>
              <w:t>如理财产品设置不同的产品份额，各产品份额净值将分别计算及公告，投资者可根据实际情况自行选择认购的产品份额类别。</w:t>
            </w:r>
          </w:p>
          <w:p>
            <w:pPr>
              <w:numPr>
                <w:ilvl w:val="255"/>
                <w:numId w:val="0"/>
              </w:num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4.</w:t>
            </w:r>
            <w:r>
              <w:rPr>
                <w:rFonts w:ascii="宋体" w:hAnsi="宋体" w:eastAsia="宋体" w:cs="宋体"/>
                <w:sz w:val="24"/>
                <w:szCs w:val="24"/>
                <w:highlight w:val="none"/>
              </w:rPr>
              <w:t>不同类别的理财产品份额可能在产品份额净值的计算结果、信息披露渠道、销售</w:t>
            </w:r>
            <w:r>
              <w:rPr>
                <w:rFonts w:hint="eastAsia" w:ascii="宋体" w:hAnsi="宋体" w:eastAsia="宋体" w:cs="宋体"/>
                <w:sz w:val="24"/>
                <w:szCs w:val="24"/>
                <w:highlight w:val="none"/>
              </w:rPr>
              <w:t>服务</w:t>
            </w:r>
            <w:r>
              <w:rPr>
                <w:rFonts w:ascii="宋体" w:hAnsi="宋体" w:eastAsia="宋体" w:cs="宋体"/>
                <w:sz w:val="24"/>
                <w:szCs w:val="24"/>
                <w:highlight w:val="none"/>
              </w:rPr>
              <w:t>费率及业绩比较基准等方面存在差异，具体以</w:t>
            </w:r>
            <w:r>
              <w:rPr>
                <w:rFonts w:hint="eastAsia" w:ascii="宋体" w:hAnsi="宋体" w:eastAsia="宋体" w:cs="宋体"/>
                <w:sz w:val="24"/>
                <w:szCs w:val="24"/>
                <w:highlight w:val="none"/>
              </w:rPr>
              <w:t>对应的</w:t>
            </w:r>
            <w:r>
              <w:rPr>
                <w:rFonts w:ascii="宋体" w:hAnsi="宋体" w:eastAsia="宋体" w:cs="宋体"/>
                <w:sz w:val="24"/>
                <w:szCs w:val="24"/>
                <w:highlight w:val="none"/>
              </w:rPr>
              <w:t>理财产品</w:t>
            </w:r>
            <w:r>
              <w:rPr>
                <w:rFonts w:hint="eastAsia" w:ascii="宋体" w:hAnsi="宋体" w:eastAsia="宋体" w:cs="宋体"/>
                <w:sz w:val="24"/>
                <w:szCs w:val="24"/>
                <w:highlight w:val="none"/>
              </w:rPr>
              <w:t>说明书</w:t>
            </w:r>
            <w:r>
              <w:rPr>
                <w:rFonts w:ascii="宋体" w:hAnsi="宋体" w:eastAsia="宋体" w:cs="宋体"/>
                <w:sz w:val="24"/>
                <w:szCs w:val="24"/>
                <w:highlight w:val="none"/>
              </w:rPr>
              <w:t>及产品管理人</w:t>
            </w:r>
            <w:r>
              <w:rPr>
                <w:rFonts w:hint="eastAsia" w:ascii="宋体" w:hAnsi="宋体" w:eastAsia="宋体" w:cs="宋体"/>
                <w:sz w:val="24"/>
                <w:szCs w:val="24"/>
                <w:highlight w:val="none"/>
              </w:rPr>
              <w:t>公告</w:t>
            </w:r>
            <w:r>
              <w:rPr>
                <w:rFonts w:ascii="宋体" w:hAnsi="宋体" w:eastAsia="宋体" w:cs="宋体"/>
                <w:sz w:val="24"/>
                <w:szCs w:val="24"/>
                <w:highlight w:val="none"/>
              </w:rPr>
              <w:t>为准。</w:t>
            </w:r>
          </w:p>
          <w:p>
            <w:pPr>
              <w:numPr>
                <w:ilvl w:val="255"/>
                <w:numId w:val="0"/>
              </w:num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5.</w:t>
            </w:r>
            <w:r>
              <w:rPr>
                <w:rFonts w:ascii="宋体" w:hAnsi="宋体" w:eastAsia="宋体" w:cs="宋体"/>
                <w:sz w:val="24"/>
                <w:szCs w:val="24"/>
                <w:highlight w:val="none"/>
              </w:rPr>
              <w:t>本理财产品</w:t>
            </w:r>
            <w:r>
              <w:rPr>
                <w:rFonts w:hint="eastAsia" w:ascii="宋体" w:hAnsi="宋体" w:eastAsia="宋体" w:cs="宋体"/>
                <w:sz w:val="24"/>
                <w:szCs w:val="24"/>
                <w:highlight w:val="none"/>
              </w:rPr>
              <w:t>说明书</w:t>
            </w:r>
            <w:r>
              <w:rPr>
                <w:rFonts w:ascii="宋体" w:hAnsi="宋体" w:eastAsia="宋体" w:cs="宋体"/>
                <w:sz w:val="24"/>
                <w:szCs w:val="24"/>
                <w:highlight w:val="none"/>
              </w:rPr>
              <w:t>所列示产品份额类别仅为本产品项下某一类产品份额类别，其他类别的产品份额项下相关约定以对应的理财产品</w:t>
            </w:r>
            <w:r>
              <w:rPr>
                <w:rFonts w:hint="eastAsia" w:ascii="宋体" w:hAnsi="宋体" w:eastAsia="宋体" w:cs="宋体"/>
                <w:sz w:val="24"/>
                <w:szCs w:val="24"/>
                <w:highlight w:val="none"/>
              </w:rPr>
              <w:t>说明书</w:t>
            </w:r>
            <w:r>
              <w:rPr>
                <w:rFonts w:ascii="宋体" w:hAnsi="宋体" w:eastAsia="宋体" w:cs="宋体"/>
                <w:sz w:val="24"/>
                <w:szCs w:val="24"/>
                <w:highlight w:val="none"/>
              </w:rPr>
              <w:t>及产品管理人</w:t>
            </w:r>
            <w:r>
              <w:rPr>
                <w:rFonts w:hint="eastAsia" w:ascii="宋体" w:hAnsi="宋体" w:eastAsia="宋体" w:cs="宋体"/>
                <w:sz w:val="24"/>
                <w:szCs w:val="24"/>
                <w:highlight w:val="none"/>
              </w:rPr>
              <w:t>公告</w:t>
            </w:r>
            <w:r>
              <w:rPr>
                <w:rFonts w:ascii="宋体" w:hAnsi="宋体" w:eastAsia="宋体" w:cs="宋体"/>
                <w:sz w:val="24"/>
                <w:szCs w:val="24"/>
                <w:highlight w:val="none"/>
              </w:rPr>
              <w:t>为准。</w:t>
            </w:r>
          </w:p>
          <w:p>
            <w:pPr>
              <w:numPr>
                <w:ilvl w:val="255"/>
                <w:numId w:val="0"/>
              </w:num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6.</w:t>
            </w:r>
            <w:r>
              <w:rPr>
                <w:rFonts w:ascii="宋体" w:hAnsi="宋体" w:eastAsia="宋体"/>
                <w:sz w:val="24"/>
                <w:szCs w:val="24"/>
                <w:highlight w:val="none"/>
              </w:rPr>
              <w:t>管理人有权根据实际情况增加新的产品份额类别、停止现有产品份额类别的销售、调整产品份额类别设置或对份额分类方法及规则进行调整。</w:t>
            </w:r>
          </w:p>
          <w:p>
            <w:pPr>
              <w:numPr>
                <w:ilvl w:val="255"/>
                <w:numId w:val="0"/>
              </w:numPr>
              <w:spacing w:line="300" w:lineRule="auto"/>
              <w:rPr>
                <w:rFonts w:hint="eastAsia" w:ascii="宋体" w:hAnsi="宋体" w:eastAsia="宋体"/>
                <w:sz w:val="24"/>
                <w:szCs w:val="24"/>
                <w:highlight w:val="none"/>
              </w:rPr>
            </w:pPr>
            <w:r>
              <w:rPr>
                <w:rFonts w:ascii="宋体" w:hAnsi="宋体" w:eastAsia="宋体"/>
                <w:sz w:val="24"/>
                <w:szCs w:val="24"/>
                <w:highlight w:val="none"/>
              </w:rPr>
              <w:t>如有调整，以管理人公告为准。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产品类型</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募集方式</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运作方式</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封闭式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理财币种</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产品风险评级</w:t>
            </w:r>
          </w:p>
        </w:tc>
        <w:tc>
          <w:tcPr>
            <w:tcW w:w="6030" w:type="dxa"/>
            <w:vAlign w:val="center"/>
          </w:tcPr>
          <w:p>
            <w:pPr>
              <w:spacing w:line="300" w:lineRule="auto"/>
              <w:rPr>
                <w:rFonts w:hint="eastAsia" w:ascii="宋体" w:hAnsi="宋体" w:eastAsia="宋体"/>
                <w:sz w:val="24"/>
                <w:szCs w:val="24"/>
                <w:highlight w:val="none"/>
              </w:rPr>
            </w:pPr>
            <w:r>
              <w:rPr>
                <w:rFonts w:ascii="宋体" w:hAnsi="宋体" w:eastAsia="宋体"/>
                <w:b/>
                <w:bCs/>
                <w:sz w:val="24"/>
                <w:szCs w:val="24"/>
                <w:highlight w:val="none"/>
              </w:rPr>
              <w:t>R2</w:t>
            </w:r>
            <w:r>
              <w:rPr>
                <w:rFonts w:hint="eastAsia" w:ascii="宋体" w:hAnsi="宋体" w:eastAsia="宋体"/>
                <w:b/>
                <w:bCs/>
                <w:sz w:val="24"/>
                <w:szCs w:val="24"/>
                <w:highlight w:val="none"/>
              </w:rPr>
              <w:t>（较低/中低风险）</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本评级为渤银理财内部评级，仅供参考。</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注：理财产品通过销售服务机构销售的，理财产品风险收益评级以销售服务机构最终披露的评级结果为准。产品管理人和销售服务机构对理财产品的风险收益等级评估结果不一致时，销售服务机构</w:t>
            </w:r>
            <w:r>
              <w:rPr>
                <w:rFonts w:ascii="宋体" w:hAnsi="宋体" w:eastAsia="宋体"/>
                <w:sz w:val="24"/>
                <w:szCs w:val="24"/>
                <w:highlight w:val="none"/>
              </w:rPr>
              <w:t>应当采用对应较高风险等级的评级结果并予以披露</w:t>
            </w:r>
            <w:r>
              <w:rPr>
                <w:rFonts w:hint="eastAsia" w:ascii="宋体" w:hAnsi="宋体" w:eastAsia="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收益类型</w:t>
            </w:r>
          </w:p>
        </w:tc>
        <w:tc>
          <w:tcPr>
            <w:tcW w:w="6030" w:type="dxa"/>
            <w:vAlign w:val="center"/>
          </w:tcPr>
          <w:p>
            <w:pPr>
              <w:spacing w:line="300" w:lineRule="auto"/>
              <w:rPr>
                <w:rFonts w:hint="eastAsia" w:ascii="宋体" w:hAnsi="宋体" w:eastAsia="宋体"/>
                <w:b/>
                <w:bCs/>
                <w:sz w:val="24"/>
                <w:szCs w:val="24"/>
                <w:highlight w:val="none"/>
              </w:rPr>
            </w:pPr>
            <w:r>
              <w:rPr>
                <w:rFonts w:hint="eastAsia" w:ascii="宋体" w:hAnsi="宋体" w:eastAsia="宋体"/>
                <w:b/>
                <w:bCs/>
                <w:sz w:val="24"/>
                <w:szCs w:val="24"/>
                <w:highlight w:val="none"/>
              </w:rPr>
              <w:t>非保本浮动收益</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本产品不保证本金且不保证收益。本产品的收益随投资收益浮动，投资者可能会因市场变动而蒙受损失。</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产品管理人对本产品的本金并不提供保证，也不承诺任何固定收益。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产品管理人</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渤银理财有限责任公司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产品托管人</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渤海银行股份有限公司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销售服务机构</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w:t>
            </w:r>
            <w:r>
              <w:rPr>
                <w:rFonts w:hint="eastAsia" w:ascii="宋体" w:hAnsi="宋体" w:eastAsia="宋体"/>
                <w:sz w:val="24"/>
                <w:szCs w:val="24"/>
                <w:highlight w:val="none"/>
                <w:lang w:val="en-US" w:eastAsia="zh-CN"/>
              </w:rPr>
              <w:t>：渤海银行股份有限公司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B类份额</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渤海银行股份有限公司，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C</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日照银行股份有限公司、富滇银行股份有限公司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D</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渤海银行股份有限公司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E</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海南银行股份有限公司、山西银行股份有限公司、江苏苏商银行股份有限公司、内蒙古银行股份有限公司、九江银行股份有限公司、苏州银行股份有限公司、鄂尔多斯银行股份有限公司、富滇银行股份有限公司、福建海峡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F</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温州银行股份有限公司、秦皇岛银行股份有限公司、厦门银行股份有限公司、富滇银行股份有限公司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G</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渤海银行股份有限公司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H</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苏州银行股份有限公司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J</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渤海银行股份有限公司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K</w:t>
            </w:r>
            <w:r>
              <w:rPr>
                <w:rFonts w:hint="eastAsia" w:ascii="宋体" w:hAnsi="宋体" w:eastAsia="宋体"/>
                <w:sz w:val="24"/>
                <w:szCs w:val="24"/>
                <w:highlight w:val="none"/>
              </w:rPr>
              <w:t>类份额：</w:t>
            </w:r>
            <w:r>
              <w:rPr>
                <w:rFonts w:hint="eastAsia" w:ascii="宋体" w:hAnsi="宋体" w:eastAsia="宋体"/>
                <w:sz w:val="24"/>
                <w:szCs w:val="24"/>
                <w:highlight w:val="none"/>
                <w:lang w:val="en-US" w:eastAsia="zh-CN"/>
              </w:rPr>
              <w:t>渤海银行股份有限公司</w:t>
            </w:r>
            <w:r>
              <w:rPr>
                <w:rFonts w:hint="eastAsia" w:ascii="宋体" w:hAnsi="宋体" w:eastAsia="宋体"/>
                <w:sz w:val="24"/>
                <w:szCs w:val="24"/>
                <w:highlight w:val="none"/>
              </w:rPr>
              <w:t>，以下简称“代销机构”】</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产品管理人以及符合《理财公司理财产品销售管理暂行办法》和国家金融监督管理总局规定，办理理财产品销售业务的机构。管理人有权调整销售服务机构，如有调整，以管理人公告为准。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销售对象</w:t>
            </w:r>
          </w:p>
        </w:tc>
        <w:tc>
          <w:tcPr>
            <w:tcW w:w="6030" w:type="dxa"/>
            <w:vAlign w:val="center"/>
          </w:tcPr>
          <w:p>
            <w:pPr>
              <w:spacing w:line="300" w:lineRule="auto"/>
              <w:rPr>
                <w:rFonts w:hint="eastAsia" w:ascii="宋体" w:hAnsi="宋体" w:eastAsia="宋体" w:cs="宋体"/>
                <w:sz w:val="24"/>
                <w:szCs w:val="24"/>
                <w:highlight w:val="none"/>
              </w:rPr>
            </w:pPr>
            <w:r>
              <w:rPr>
                <w:rFonts w:hint="eastAsia" w:ascii="宋体" w:hAnsi="宋体" w:eastAsia="宋体"/>
                <w:sz w:val="24"/>
                <w:szCs w:val="24"/>
                <w:highlight w:val="none"/>
              </w:rPr>
              <w:t>本理财产品面向</w:t>
            </w:r>
            <w:r>
              <w:rPr>
                <w:rFonts w:ascii="宋体" w:hAnsi="宋体" w:eastAsia="宋体" w:cs="宋体"/>
                <w:sz w:val="24"/>
                <w:szCs w:val="24"/>
                <w:highlight w:val="none"/>
              </w:rPr>
              <w:t>以下类型投资者</w:t>
            </w:r>
            <w:r>
              <w:rPr>
                <w:rFonts w:hint="eastAsia" w:ascii="宋体" w:hAnsi="宋体" w:eastAsia="宋体" w:cs="宋体"/>
                <w:sz w:val="24"/>
                <w:szCs w:val="24"/>
                <w:highlight w:val="none"/>
              </w:rPr>
              <w:t>销售：</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w:t>
            </w:r>
          </w:p>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2" w:char="0052"/>
            </w:r>
            <w:r>
              <w:rPr>
                <w:rFonts w:ascii="宋体" w:hAnsi="宋体" w:eastAsia="宋体" w:cs="宋体"/>
                <w:sz w:val="24"/>
                <w:szCs w:val="24"/>
                <w:highlight w:val="none"/>
              </w:rPr>
              <w:t>个人投资者</w:t>
            </w:r>
          </w:p>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2" w:char="00A3"/>
            </w:r>
            <w:r>
              <w:rPr>
                <w:rFonts w:ascii="宋体" w:hAnsi="宋体" w:eastAsia="宋体" w:cs="宋体"/>
                <w:sz w:val="24"/>
                <w:szCs w:val="24"/>
                <w:highlight w:val="none"/>
              </w:rPr>
              <w:t>机构投资者</w:t>
            </w:r>
          </w:p>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★【B</w:t>
            </w:r>
            <w:r>
              <w:rPr>
                <w:rFonts w:hint="eastAsia" w:ascii="宋体" w:hAnsi="宋体" w:eastAsia="宋体"/>
                <w:sz w:val="24"/>
                <w:szCs w:val="24"/>
                <w:highlight w:val="none"/>
              </w:rPr>
              <w:t>类份额】：</w:t>
            </w:r>
          </w:p>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2" w:char="0052"/>
            </w:r>
            <w:r>
              <w:rPr>
                <w:rFonts w:ascii="宋体" w:hAnsi="宋体" w:eastAsia="宋体" w:cs="宋体"/>
                <w:sz w:val="24"/>
                <w:szCs w:val="24"/>
                <w:highlight w:val="none"/>
              </w:rPr>
              <w:t>个人投资者</w:t>
            </w:r>
          </w:p>
          <w:p>
            <w:pPr>
              <w:spacing w:line="300" w:lineRule="auto"/>
              <w:rPr>
                <w:rFonts w:ascii="宋体" w:hAnsi="宋体" w:eastAsia="宋体" w:cs="宋体"/>
                <w:sz w:val="24"/>
                <w:szCs w:val="24"/>
                <w:highlight w:val="none"/>
              </w:rPr>
            </w:pPr>
            <w:r>
              <w:rPr>
                <w:rFonts w:hint="eastAsia" w:ascii="宋体" w:hAnsi="宋体" w:eastAsia="宋体" w:cs="宋体"/>
                <w:sz w:val="24"/>
                <w:szCs w:val="24"/>
                <w:highlight w:val="none"/>
              </w:rPr>
              <w:sym w:font="Wingdings 2" w:char="00A3"/>
            </w:r>
            <w:r>
              <w:rPr>
                <w:rFonts w:ascii="宋体" w:hAnsi="宋体" w:eastAsia="宋体" w:cs="宋体"/>
                <w:sz w:val="24"/>
                <w:szCs w:val="24"/>
                <w:highlight w:val="none"/>
              </w:rPr>
              <w:t>机构投资者</w:t>
            </w:r>
          </w:p>
          <w:p>
            <w:pPr>
              <w:spacing w:line="30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C</w:t>
            </w:r>
            <w:r>
              <w:rPr>
                <w:rFonts w:hint="eastAsia" w:ascii="宋体" w:hAnsi="宋体" w:eastAsia="宋体"/>
                <w:color w:val="000000" w:themeColor="text1"/>
                <w:sz w:val="24"/>
                <w:szCs w:val="24"/>
                <w:highlight w:val="none"/>
                <w14:textFill>
                  <w14:solidFill>
                    <w14:schemeClr w14:val="tx1"/>
                  </w14:solidFill>
                </w14:textFill>
              </w:rPr>
              <w:t>类份额】：</w:t>
            </w:r>
          </w:p>
          <w:p>
            <w:pP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个人投资者</w:t>
            </w:r>
          </w:p>
          <w:p>
            <w:pPr>
              <w:spacing w:line="3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机构投资者</w:t>
            </w:r>
          </w:p>
          <w:p>
            <w:pPr>
              <w:spacing w:line="30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D</w:t>
            </w:r>
            <w:r>
              <w:rPr>
                <w:rFonts w:hint="eastAsia" w:ascii="宋体" w:hAnsi="宋体" w:eastAsia="宋体"/>
                <w:color w:val="000000" w:themeColor="text1"/>
                <w:sz w:val="24"/>
                <w:szCs w:val="24"/>
                <w:highlight w:val="none"/>
                <w14:textFill>
                  <w14:solidFill>
                    <w14:schemeClr w14:val="tx1"/>
                  </w14:solidFill>
                </w14:textFill>
              </w:rPr>
              <w:t>类份额】：</w:t>
            </w:r>
          </w:p>
          <w:p>
            <w:pP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个人投资者</w:t>
            </w:r>
          </w:p>
          <w:p>
            <w:pPr>
              <w:spacing w:line="3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A3"/>
            </w:r>
            <w:r>
              <w:rPr>
                <w:rFonts w:ascii="宋体" w:hAnsi="宋体" w:eastAsia="宋体" w:cs="宋体"/>
                <w:color w:val="000000" w:themeColor="text1"/>
                <w:sz w:val="24"/>
                <w:szCs w:val="24"/>
                <w:highlight w:val="none"/>
                <w14:textFill>
                  <w14:solidFill>
                    <w14:schemeClr w14:val="tx1"/>
                  </w14:solidFill>
                </w14:textFill>
              </w:rPr>
              <w:t>机构投资者</w:t>
            </w:r>
          </w:p>
          <w:p>
            <w:pPr>
              <w:spacing w:line="30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E</w:t>
            </w:r>
            <w:r>
              <w:rPr>
                <w:rFonts w:hint="eastAsia" w:ascii="宋体" w:hAnsi="宋体" w:eastAsia="宋体"/>
                <w:color w:val="000000" w:themeColor="text1"/>
                <w:sz w:val="24"/>
                <w:szCs w:val="24"/>
                <w:highlight w:val="none"/>
                <w14:textFill>
                  <w14:solidFill>
                    <w14:schemeClr w14:val="tx1"/>
                  </w14:solidFill>
                </w14:textFill>
              </w:rPr>
              <w:t>类份额】：</w:t>
            </w:r>
          </w:p>
          <w:p>
            <w:pP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个人投资者</w:t>
            </w:r>
          </w:p>
          <w:p>
            <w:pPr>
              <w:spacing w:line="3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机构投资者</w:t>
            </w:r>
          </w:p>
          <w:p>
            <w:pPr>
              <w:spacing w:line="30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F</w:t>
            </w:r>
            <w:r>
              <w:rPr>
                <w:rFonts w:hint="eastAsia" w:ascii="宋体" w:hAnsi="宋体" w:eastAsia="宋体"/>
                <w:color w:val="000000" w:themeColor="text1"/>
                <w:sz w:val="24"/>
                <w:szCs w:val="24"/>
                <w:highlight w:val="none"/>
                <w14:textFill>
                  <w14:solidFill>
                    <w14:schemeClr w14:val="tx1"/>
                  </w14:solidFill>
                </w14:textFill>
              </w:rPr>
              <w:t>类份额】：</w:t>
            </w:r>
          </w:p>
          <w:p>
            <w:pP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个人投资者</w:t>
            </w:r>
          </w:p>
          <w:p>
            <w:pPr>
              <w:spacing w:line="3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机构投资者</w:t>
            </w:r>
          </w:p>
          <w:p>
            <w:pPr>
              <w:spacing w:line="30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olor w:val="000000" w:themeColor="text1"/>
                <w:sz w:val="24"/>
                <w:szCs w:val="24"/>
                <w:highlight w:val="none"/>
                <w14:textFill>
                  <w14:solidFill>
                    <w14:schemeClr w14:val="tx1"/>
                  </w14:solidFill>
                </w14:textFill>
              </w:rPr>
              <w:t>类份额】：</w:t>
            </w:r>
          </w:p>
          <w:p>
            <w:pP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个人投资者</w:t>
            </w:r>
          </w:p>
          <w:p>
            <w:pPr>
              <w:spacing w:line="3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A3"/>
            </w:r>
            <w:r>
              <w:rPr>
                <w:rFonts w:ascii="宋体" w:hAnsi="宋体" w:eastAsia="宋体" w:cs="宋体"/>
                <w:color w:val="000000" w:themeColor="text1"/>
                <w:sz w:val="24"/>
                <w:szCs w:val="24"/>
                <w:highlight w:val="none"/>
                <w14:textFill>
                  <w14:solidFill>
                    <w14:schemeClr w14:val="tx1"/>
                  </w14:solidFill>
                </w14:textFill>
              </w:rPr>
              <w:t>机构投资者</w:t>
            </w:r>
          </w:p>
          <w:p>
            <w:pPr>
              <w:spacing w:line="30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olor w:val="000000" w:themeColor="text1"/>
                <w:sz w:val="24"/>
                <w:szCs w:val="24"/>
                <w:highlight w:val="none"/>
                <w14:textFill>
                  <w14:solidFill>
                    <w14:schemeClr w14:val="tx1"/>
                  </w14:solidFill>
                </w14:textFill>
              </w:rPr>
              <w:t>类份额】：</w:t>
            </w:r>
          </w:p>
          <w:p>
            <w:pP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个人投资者</w:t>
            </w:r>
          </w:p>
          <w:p>
            <w:pPr>
              <w:spacing w:line="3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机构投资者</w:t>
            </w:r>
          </w:p>
          <w:p>
            <w:pPr>
              <w:spacing w:line="30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J</w:t>
            </w:r>
            <w:r>
              <w:rPr>
                <w:rFonts w:hint="eastAsia" w:ascii="宋体" w:hAnsi="宋体" w:eastAsia="宋体"/>
                <w:color w:val="000000" w:themeColor="text1"/>
                <w:sz w:val="24"/>
                <w:szCs w:val="24"/>
                <w:highlight w:val="none"/>
                <w14:textFill>
                  <w14:solidFill>
                    <w14:schemeClr w14:val="tx1"/>
                  </w14:solidFill>
                </w14:textFill>
              </w:rPr>
              <w:t>类份额】：</w:t>
            </w:r>
          </w:p>
          <w:p>
            <w:pP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个人投资者</w:t>
            </w:r>
          </w:p>
          <w:p>
            <w:pPr>
              <w:spacing w:line="3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A3"/>
            </w:r>
            <w:r>
              <w:rPr>
                <w:rFonts w:ascii="宋体" w:hAnsi="宋体" w:eastAsia="宋体" w:cs="宋体"/>
                <w:color w:val="000000" w:themeColor="text1"/>
                <w:sz w:val="24"/>
                <w:szCs w:val="24"/>
                <w:highlight w:val="none"/>
                <w14:textFill>
                  <w14:solidFill>
                    <w14:schemeClr w14:val="tx1"/>
                  </w14:solidFill>
                </w14:textFill>
              </w:rPr>
              <w:t>机构投资者</w:t>
            </w:r>
          </w:p>
          <w:p>
            <w:pPr>
              <w:spacing w:line="30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olor w:val="000000" w:themeColor="text1"/>
                <w:sz w:val="24"/>
                <w:szCs w:val="24"/>
                <w:highlight w:val="none"/>
                <w14:textFill>
                  <w14:solidFill>
                    <w14:schemeClr w14:val="tx1"/>
                  </w14:solidFill>
                </w14:textFill>
              </w:rPr>
              <w:t>类份额】：</w:t>
            </w:r>
          </w:p>
          <w:p>
            <w:pP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52"/>
            </w:r>
            <w:r>
              <w:rPr>
                <w:rFonts w:ascii="宋体" w:hAnsi="宋体" w:eastAsia="宋体" w:cs="宋体"/>
                <w:color w:val="000000" w:themeColor="text1"/>
                <w:sz w:val="24"/>
                <w:szCs w:val="24"/>
                <w:highlight w:val="none"/>
                <w14:textFill>
                  <w14:solidFill>
                    <w14:schemeClr w14:val="tx1"/>
                  </w14:solidFill>
                </w14:textFill>
              </w:rPr>
              <w:t>个人投资者</w:t>
            </w:r>
          </w:p>
          <w:p>
            <w:pPr>
              <w:spacing w:line="3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2" w:char="00A3"/>
            </w:r>
            <w:r>
              <w:rPr>
                <w:rFonts w:ascii="宋体" w:hAnsi="宋体" w:eastAsia="宋体" w:cs="宋体"/>
                <w:color w:val="000000" w:themeColor="text1"/>
                <w:sz w:val="24"/>
                <w:szCs w:val="24"/>
                <w:highlight w:val="none"/>
                <w14:textFill>
                  <w14:solidFill>
                    <w14:schemeClr w14:val="tx1"/>
                  </w14:solidFill>
                </w14:textFill>
              </w:rPr>
              <w:t>机构投资者</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管理人有权调整销售对象范围，如有调整，以管理人公告为准。销售服务机构对产品的销售对象范围与渤银理财不一致的，以销售服务机构为准。</w:t>
            </w:r>
          </w:p>
          <w:p>
            <w:pPr>
              <w:spacing w:line="300" w:lineRule="auto"/>
              <w:rPr>
                <w:rFonts w:hint="eastAsia" w:ascii="宋体" w:hAnsi="宋体"/>
                <w:b/>
                <w:bCs/>
                <w:sz w:val="24"/>
                <w:szCs w:val="24"/>
                <w:highlight w:val="none"/>
              </w:rPr>
            </w:pPr>
            <w:r>
              <w:rPr>
                <w:rFonts w:hint="eastAsia" w:ascii="宋体" w:hAnsi="宋体" w:eastAsia="宋体"/>
                <w:b/>
                <w:bCs/>
                <w:sz w:val="24"/>
                <w:szCs w:val="24"/>
                <w:highlight w:val="none"/>
              </w:rPr>
              <w:t>渤银理财建议，R2（较低/中低风险）评级产品适合风险承受能力为</w:t>
            </w:r>
            <w:r>
              <w:rPr>
                <w:rFonts w:ascii="宋体" w:hAnsi="宋体" w:eastAsia="宋体"/>
                <w:b/>
                <w:bCs/>
                <w:sz w:val="24"/>
                <w:szCs w:val="24"/>
                <w:highlight w:val="none"/>
              </w:rPr>
              <w:t>C2</w:t>
            </w:r>
            <w:r>
              <w:rPr>
                <w:rFonts w:hint="eastAsia" w:ascii="宋体" w:hAnsi="宋体" w:eastAsia="宋体"/>
                <w:b/>
                <w:bCs/>
                <w:sz w:val="24"/>
                <w:szCs w:val="24"/>
                <w:highlight w:val="none"/>
              </w:rPr>
              <w:t>稳健型、</w:t>
            </w:r>
            <w:r>
              <w:rPr>
                <w:rFonts w:ascii="宋体" w:hAnsi="宋体" w:eastAsia="宋体"/>
                <w:b/>
                <w:bCs/>
                <w:sz w:val="24"/>
                <w:szCs w:val="24"/>
                <w:highlight w:val="none"/>
              </w:rPr>
              <w:t>C3</w:t>
            </w:r>
            <w:r>
              <w:rPr>
                <w:rFonts w:hint="eastAsia" w:ascii="宋体" w:hAnsi="宋体" w:eastAsia="宋体"/>
                <w:b/>
                <w:bCs/>
                <w:sz w:val="24"/>
                <w:szCs w:val="24"/>
                <w:highlight w:val="none"/>
              </w:rPr>
              <w:t>平衡型、</w:t>
            </w:r>
            <w:r>
              <w:rPr>
                <w:rFonts w:ascii="宋体" w:hAnsi="宋体" w:eastAsia="宋体"/>
                <w:b/>
                <w:bCs/>
                <w:sz w:val="24"/>
                <w:szCs w:val="24"/>
                <w:highlight w:val="none"/>
              </w:rPr>
              <w:t>C4</w:t>
            </w:r>
            <w:r>
              <w:rPr>
                <w:rFonts w:hint="eastAsia" w:ascii="宋体" w:hAnsi="宋体" w:eastAsia="宋体"/>
                <w:b/>
                <w:bCs/>
                <w:sz w:val="24"/>
                <w:szCs w:val="24"/>
                <w:highlight w:val="none"/>
              </w:rPr>
              <w:t>成长型和</w:t>
            </w:r>
            <w:r>
              <w:rPr>
                <w:rFonts w:ascii="宋体" w:hAnsi="宋体" w:eastAsia="宋体"/>
                <w:b/>
                <w:bCs/>
                <w:sz w:val="24"/>
                <w:szCs w:val="24"/>
                <w:highlight w:val="none"/>
              </w:rPr>
              <w:t>C5</w:t>
            </w:r>
            <w:r>
              <w:rPr>
                <w:rFonts w:hint="eastAsia" w:ascii="宋体" w:hAnsi="宋体" w:eastAsia="宋体"/>
                <w:b/>
                <w:bCs/>
                <w:sz w:val="24"/>
                <w:szCs w:val="24"/>
                <w:highlight w:val="none"/>
              </w:rPr>
              <w:t>进取型客户购买。</w:t>
            </w:r>
          </w:p>
          <w:p>
            <w:pPr>
              <w:spacing w:line="300" w:lineRule="auto"/>
              <w:rPr>
                <w:rFonts w:hint="eastAsia" w:ascii="宋体" w:hAnsi="宋体" w:eastAsia="宋体"/>
                <w:sz w:val="24"/>
                <w:szCs w:val="24"/>
                <w:highlight w:val="none"/>
              </w:rPr>
            </w:pPr>
            <w:r>
              <w:rPr>
                <w:rFonts w:hint="eastAsia" w:ascii="宋体" w:hAnsi="宋体" w:eastAsia="宋体"/>
                <w:b/>
                <w:bCs/>
                <w:sz w:val="24"/>
                <w:szCs w:val="24"/>
                <w:highlight w:val="none"/>
              </w:rPr>
              <w:t>销售服务机构对产品的销售对象与渤银理财建议不一致的，销售服务机构标准不得低于渤银理财，最终以销售服务机构要求为准。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产品发行规模</w:t>
            </w:r>
          </w:p>
        </w:tc>
        <w:tc>
          <w:tcPr>
            <w:tcW w:w="6030" w:type="dxa"/>
            <w:vAlign w:val="center"/>
          </w:tcPr>
          <w:p>
            <w:pPr>
              <w:spacing w:line="300" w:lineRule="auto"/>
              <w:rPr>
                <w:rFonts w:hint="eastAsia" w:ascii="宋体" w:hAnsi="宋体" w:eastAsia="宋体"/>
                <w:sz w:val="24"/>
                <w:szCs w:val="24"/>
                <w:highlight w:val="none"/>
              </w:rPr>
            </w:pPr>
            <w:r>
              <w:rPr>
                <w:rFonts w:ascii="宋体" w:hAnsi="宋体" w:eastAsia="宋体"/>
                <w:sz w:val="24"/>
                <w:szCs w:val="24"/>
                <w:highlight w:val="none"/>
              </w:rPr>
              <w:t>本理财产品计划发行规模上限为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200亿</w:t>
            </w:r>
            <w:r>
              <w:rPr>
                <w:rFonts w:hint="eastAsia" w:ascii="宋体" w:hAnsi="宋体" w:eastAsia="宋体"/>
                <w:sz w:val="24"/>
                <w:szCs w:val="24"/>
                <w:highlight w:val="none"/>
              </w:rPr>
              <w:t>元】</w:t>
            </w:r>
            <w:r>
              <w:rPr>
                <w:rFonts w:ascii="宋体" w:hAnsi="宋体" w:eastAsia="宋体"/>
                <w:sz w:val="24"/>
                <w:szCs w:val="24"/>
                <w:highlight w:val="none"/>
              </w:rPr>
              <w:t>，发行规模下限为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1500万</w:t>
            </w:r>
            <w:r>
              <w:rPr>
                <w:rFonts w:hint="eastAsia" w:ascii="宋体" w:hAnsi="宋体" w:eastAsia="宋体"/>
                <w:sz w:val="24"/>
                <w:szCs w:val="24"/>
                <w:highlight w:val="none"/>
              </w:rPr>
              <w:t>元】</w:t>
            </w:r>
            <w:r>
              <w:rPr>
                <w:rFonts w:ascii="宋体" w:hAnsi="宋体" w:eastAsia="宋体"/>
                <w:sz w:val="24"/>
                <w:szCs w:val="24"/>
                <w:highlight w:val="none"/>
              </w:rPr>
              <w:t>。</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渤银理财有权对产品发行规模上限、产品发行规模下限以及销售</w:t>
            </w:r>
            <w:r>
              <w:rPr>
                <w:rFonts w:hint="eastAsia" w:ascii="宋体" w:hAnsi="宋体" w:eastAsia="宋体"/>
                <w:sz w:val="24"/>
                <w:szCs w:val="24"/>
                <w:highlight w:val="none"/>
              </w:rPr>
              <w:t>服务</w:t>
            </w:r>
            <w:r>
              <w:rPr>
                <w:rFonts w:ascii="宋体" w:hAnsi="宋体" w:eastAsia="宋体"/>
                <w:sz w:val="24"/>
                <w:szCs w:val="24"/>
                <w:highlight w:val="none"/>
              </w:rPr>
              <w:t>机构销售规模</w:t>
            </w:r>
            <w:r>
              <w:rPr>
                <w:rFonts w:hint="eastAsia" w:ascii="宋体" w:hAnsi="宋体" w:eastAsia="宋体"/>
                <w:sz w:val="24"/>
                <w:szCs w:val="24"/>
                <w:highlight w:val="none"/>
              </w:rPr>
              <w:t>、各类份额销售规模</w:t>
            </w:r>
            <w:r>
              <w:rPr>
                <w:rFonts w:ascii="宋体" w:hAnsi="宋体" w:eastAsia="宋体"/>
                <w:sz w:val="24"/>
                <w:szCs w:val="24"/>
                <w:highlight w:val="none"/>
              </w:rPr>
              <w:t>进行调整，如有调整，具体以管理人公告为准。</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如认购总金额未达发行规模下限，渤银理财有权利宣布本产品不成立；如本理财产品认购规模超出上限，管理人有权结束认购、停止接受认购申请，如发生已接受客户认购申请且认购资金超出认购上限的情形，管理人有权按照“比例配售”或“时间优先”的原则对客户认购申请进行份额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理财产品份额</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本理财产品份额以人民币计价，单位为份。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理财产品份额面值</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认购期每份理财产品份额面值为人民币1元。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认购起点</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A类份额】：认购起点为人民币【</w:t>
            </w:r>
            <w:r>
              <w:rPr>
                <w:rFonts w:hint="eastAsia" w:ascii="宋体" w:hAnsi="宋体" w:eastAsia="宋体"/>
                <w:sz w:val="24"/>
                <w:szCs w:val="24"/>
                <w:highlight w:val="none"/>
                <w:lang w:val="en-US" w:eastAsia="zh-CN"/>
              </w:rPr>
              <w:t>100万</w:t>
            </w:r>
            <w:r>
              <w:rPr>
                <w:rFonts w:hint="eastAsia" w:ascii="宋体" w:hAnsi="宋体" w:eastAsia="宋体"/>
                <w:sz w:val="24"/>
                <w:szCs w:val="24"/>
                <w:highlight w:val="none"/>
              </w:rPr>
              <w:t>元】，超过认购起点部分以人民币【</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元】整数倍递增。</w:t>
            </w:r>
            <w:r>
              <w:rPr>
                <w:rFonts w:ascii="宋体" w:hAnsi="宋体" w:eastAsia="宋体"/>
                <w:sz w:val="24"/>
                <w:szCs w:val="24"/>
                <w:highlight w:val="none"/>
              </w:rPr>
              <w:t>追加</w:t>
            </w:r>
            <w:r>
              <w:rPr>
                <w:rFonts w:hint="eastAsia" w:ascii="宋体" w:hAnsi="宋体" w:eastAsia="宋体"/>
                <w:sz w:val="24"/>
                <w:szCs w:val="24"/>
                <w:highlight w:val="none"/>
              </w:rPr>
              <w:t>认购起点金额为【</w:t>
            </w:r>
            <w:r>
              <w:rPr>
                <w:rFonts w:hint="eastAsia" w:ascii="宋体" w:hAnsi="宋体" w:eastAsia="宋体"/>
                <w:sz w:val="24"/>
                <w:szCs w:val="24"/>
                <w:highlight w:val="none"/>
                <w:lang w:val="en-US" w:eastAsia="zh-CN"/>
              </w:rPr>
              <w:t>1</w:t>
            </w:r>
            <w:r>
              <w:rPr>
                <w:rFonts w:ascii="宋体" w:hAnsi="宋体" w:eastAsia="宋体"/>
                <w:sz w:val="24"/>
                <w:szCs w:val="24"/>
                <w:highlight w:val="none"/>
              </w:rPr>
              <w:t>元</w:t>
            </w:r>
            <w:r>
              <w:rPr>
                <w:rFonts w:hint="eastAsia" w:ascii="宋体" w:hAnsi="宋体" w:eastAsia="宋体"/>
                <w:sz w:val="24"/>
                <w:szCs w:val="24"/>
                <w:highlight w:val="none"/>
              </w:rPr>
              <w:t>】</w:t>
            </w:r>
            <w:r>
              <w:rPr>
                <w:rFonts w:ascii="宋体" w:hAnsi="宋体" w:eastAsia="宋体"/>
                <w:sz w:val="24"/>
                <w:szCs w:val="24"/>
                <w:highlight w:val="none"/>
              </w:rPr>
              <w:t>；超出部分，需以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ascii="宋体" w:hAnsi="宋体" w:eastAsia="宋体"/>
                <w:sz w:val="24"/>
                <w:szCs w:val="24"/>
                <w:highlight w:val="none"/>
              </w:rPr>
              <w:t>元</w:t>
            </w:r>
            <w:r>
              <w:rPr>
                <w:rFonts w:hint="eastAsia" w:ascii="宋体" w:hAnsi="宋体" w:eastAsia="宋体"/>
                <w:sz w:val="24"/>
                <w:szCs w:val="24"/>
                <w:highlight w:val="none"/>
              </w:rPr>
              <w:t>】</w:t>
            </w:r>
            <w:r>
              <w:rPr>
                <w:rFonts w:ascii="宋体" w:hAnsi="宋体" w:eastAsia="宋体"/>
                <w:sz w:val="24"/>
                <w:szCs w:val="24"/>
                <w:highlight w:val="none"/>
              </w:rPr>
              <w:t>整数倍递增。</w:t>
            </w:r>
          </w:p>
          <w:p>
            <w:pPr>
              <w:spacing w:line="300" w:lineRule="auto"/>
              <w:rPr>
                <w:rFonts w:ascii="宋体" w:hAnsi="宋体" w:eastAsia="宋体"/>
                <w:sz w:val="24"/>
                <w:szCs w:val="24"/>
                <w:highlight w:val="none"/>
              </w:rPr>
            </w:pPr>
            <w:r>
              <w:rPr>
                <w:rFonts w:hint="eastAsia" w:ascii="宋体" w:hAnsi="宋体" w:eastAsia="宋体" w:cs="宋体"/>
                <w:sz w:val="24"/>
                <w:szCs w:val="24"/>
                <w:highlight w:val="none"/>
              </w:rPr>
              <w:t>★【B</w:t>
            </w:r>
            <w:r>
              <w:rPr>
                <w:rFonts w:hint="eastAsia" w:ascii="宋体" w:hAnsi="宋体" w:eastAsia="宋体"/>
                <w:sz w:val="24"/>
                <w:szCs w:val="24"/>
                <w:highlight w:val="none"/>
              </w:rPr>
              <w:t>类份额】：认购起点为人民币【</w:t>
            </w:r>
            <w:r>
              <w:rPr>
                <w:rFonts w:hint="eastAsia" w:ascii="宋体" w:hAnsi="宋体" w:eastAsia="宋体"/>
                <w:sz w:val="24"/>
                <w:szCs w:val="24"/>
                <w:highlight w:val="none"/>
                <w:lang w:val="en-US" w:eastAsia="zh-CN"/>
              </w:rPr>
              <w:t>5000</w:t>
            </w:r>
            <w:r>
              <w:rPr>
                <w:rFonts w:hint="eastAsia" w:ascii="宋体" w:hAnsi="宋体" w:eastAsia="宋体"/>
                <w:sz w:val="24"/>
                <w:szCs w:val="24"/>
                <w:highlight w:val="none"/>
              </w:rPr>
              <w:t>元】，超过认购起点部分以人民币【</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元】整数倍递增。</w:t>
            </w:r>
            <w:r>
              <w:rPr>
                <w:rFonts w:ascii="宋体" w:hAnsi="宋体" w:eastAsia="宋体"/>
                <w:sz w:val="24"/>
                <w:szCs w:val="24"/>
                <w:highlight w:val="none"/>
              </w:rPr>
              <w:t>追加</w:t>
            </w:r>
            <w:r>
              <w:rPr>
                <w:rFonts w:hint="eastAsia" w:ascii="宋体" w:hAnsi="宋体" w:eastAsia="宋体"/>
                <w:sz w:val="24"/>
                <w:szCs w:val="24"/>
                <w:highlight w:val="none"/>
              </w:rPr>
              <w:t>认购起点金额为【</w:t>
            </w:r>
            <w:r>
              <w:rPr>
                <w:rFonts w:hint="eastAsia" w:ascii="宋体" w:hAnsi="宋体" w:eastAsia="宋体"/>
                <w:sz w:val="24"/>
                <w:szCs w:val="24"/>
                <w:highlight w:val="none"/>
                <w:lang w:val="en-US" w:eastAsia="zh-CN"/>
              </w:rPr>
              <w:t>1</w:t>
            </w:r>
            <w:r>
              <w:rPr>
                <w:rFonts w:ascii="宋体" w:hAnsi="宋体" w:eastAsia="宋体"/>
                <w:sz w:val="24"/>
                <w:szCs w:val="24"/>
                <w:highlight w:val="none"/>
              </w:rPr>
              <w:t>元</w:t>
            </w:r>
            <w:r>
              <w:rPr>
                <w:rFonts w:hint="eastAsia" w:ascii="宋体" w:hAnsi="宋体" w:eastAsia="宋体"/>
                <w:sz w:val="24"/>
                <w:szCs w:val="24"/>
                <w:highlight w:val="none"/>
              </w:rPr>
              <w:t>】</w:t>
            </w:r>
            <w:r>
              <w:rPr>
                <w:rFonts w:ascii="宋体" w:hAnsi="宋体" w:eastAsia="宋体"/>
                <w:sz w:val="24"/>
                <w:szCs w:val="24"/>
                <w:highlight w:val="none"/>
              </w:rPr>
              <w:t>；超出部分，需以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ascii="宋体" w:hAnsi="宋体" w:eastAsia="宋体"/>
                <w:sz w:val="24"/>
                <w:szCs w:val="24"/>
                <w:highlight w:val="none"/>
              </w:rPr>
              <w:t>元</w:t>
            </w:r>
            <w:r>
              <w:rPr>
                <w:rFonts w:hint="eastAsia" w:ascii="宋体" w:hAnsi="宋体" w:eastAsia="宋体"/>
                <w:sz w:val="24"/>
                <w:szCs w:val="24"/>
                <w:highlight w:val="none"/>
              </w:rPr>
              <w:t>】</w:t>
            </w:r>
            <w:r>
              <w:rPr>
                <w:rFonts w:ascii="宋体" w:hAnsi="宋体" w:eastAsia="宋体"/>
                <w:sz w:val="24"/>
                <w:szCs w:val="24"/>
                <w:highlight w:val="none"/>
              </w:rPr>
              <w:t>整数倍递增。</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C</w:t>
            </w:r>
            <w:r>
              <w:rPr>
                <w:rFonts w:hint="eastAsia" w:ascii="宋体" w:hAnsi="宋体" w:eastAsia="宋体"/>
                <w:color w:val="000000" w:themeColor="text1"/>
                <w:sz w:val="24"/>
                <w:szCs w:val="24"/>
                <w:highlight w:val="none"/>
                <w14:textFill>
                  <w14:solidFill>
                    <w14:schemeClr w14:val="tx1"/>
                  </w14:solidFill>
                </w14:textFill>
              </w:rPr>
              <w:t>类份额】：认购起点为人民币【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元】，超过认购起点部分以人民币【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元】整数倍递增。</w:t>
            </w:r>
            <w:r>
              <w:rPr>
                <w:rFonts w:ascii="宋体" w:hAnsi="宋体" w:eastAsia="宋体"/>
                <w:color w:val="000000" w:themeColor="text1"/>
                <w:sz w:val="24"/>
                <w:szCs w:val="24"/>
                <w:highlight w:val="none"/>
                <w14:textFill>
                  <w14:solidFill>
                    <w14:schemeClr w14:val="tx1"/>
                  </w14:solidFill>
                </w14:textFill>
              </w:rPr>
              <w:t>追加</w:t>
            </w:r>
            <w:r>
              <w:rPr>
                <w:rFonts w:hint="eastAsia" w:ascii="宋体" w:hAnsi="宋体" w:eastAsia="宋体"/>
                <w:color w:val="000000" w:themeColor="text1"/>
                <w:sz w:val="24"/>
                <w:szCs w:val="24"/>
                <w:highlight w:val="none"/>
                <w14:textFill>
                  <w14:solidFill>
                    <w14:schemeClr w14:val="tx1"/>
                  </w14:solidFill>
                </w14:textFill>
              </w:rPr>
              <w:t>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整数倍递增。</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D</w:t>
            </w:r>
            <w:r>
              <w:rPr>
                <w:rFonts w:hint="eastAsia" w:ascii="宋体" w:hAnsi="宋体" w:eastAsia="宋体"/>
                <w:color w:val="000000" w:themeColor="text1"/>
                <w:sz w:val="24"/>
                <w:szCs w:val="24"/>
                <w:highlight w:val="none"/>
                <w14:textFill>
                  <w14:solidFill>
                    <w14:schemeClr w14:val="tx1"/>
                  </w14:solidFill>
                </w14:textFill>
              </w:rPr>
              <w:t>类份额】：认购起点为人民币【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元】，超过认购起点部分以人民币【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元】整数倍递增。</w:t>
            </w:r>
            <w:r>
              <w:rPr>
                <w:rFonts w:ascii="宋体" w:hAnsi="宋体" w:eastAsia="宋体"/>
                <w:color w:val="000000" w:themeColor="text1"/>
                <w:sz w:val="24"/>
                <w:szCs w:val="24"/>
                <w:highlight w:val="none"/>
                <w14:textFill>
                  <w14:solidFill>
                    <w14:schemeClr w14:val="tx1"/>
                  </w14:solidFill>
                </w14:textFill>
              </w:rPr>
              <w:t>追加</w:t>
            </w:r>
            <w:r>
              <w:rPr>
                <w:rFonts w:hint="eastAsia" w:ascii="宋体" w:hAnsi="宋体" w:eastAsia="宋体"/>
                <w:color w:val="000000" w:themeColor="text1"/>
                <w:sz w:val="24"/>
                <w:szCs w:val="24"/>
                <w:highlight w:val="none"/>
                <w14:textFill>
                  <w14:solidFill>
                    <w14:schemeClr w14:val="tx1"/>
                  </w14:solidFill>
                </w14:textFill>
              </w:rPr>
              <w:t>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整数倍递增。</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E</w:t>
            </w:r>
            <w:r>
              <w:rPr>
                <w:rFonts w:hint="eastAsia" w:ascii="宋体" w:hAnsi="宋体" w:eastAsia="宋体"/>
                <w:color w:val="000000" w:themeColor="text1"/>
                <w:sz w:val="24"/>
                <w:szCs w:val="24"/>
                <w:highlight w:val="none"/>
                <w14:textFill>
                  <w14:solidFill>
                    <w14:schemeClr w14:val="tx1"/>
                  </w14:solidFill>
                </w14:textFill>
              </w:rPr>
              <w:t>类份额】：认购起点为人民币【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元】，超过认购起点部分以人民币【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元】整数倍递增。</w:t>
            </w:r>
            <w:r>
              <w:rPr>
                <w:rFonts w:ascii="宋体" w:hAnsi="宋体" w:eastAsia="宋体"/>
                <w:color w:val="000000" w:themeColor="text1"/>
                <w:sz w:val="24"/>
                <w:szCs w:val="24"/>
                <w:highlight w:val="none"/>
                <w14:textFill>
                  <w14:solidFill>
                    <w14:schemeClr w14:val="tx1"/>
                  </w14:solidFill>
                </w14:textFill>
              </w:rPr>
              <w:t>追加</w:t>
            </w:r>
            <w:r>
              <w:rPr>
                <w:rFonts w:hint="eastAsia" w:ascii="宋体" w:hAnsi="宋体" w:eastAsia="宋体"/>
                <w:color w:val="000000" w:themeColor="text1"/>
                <w:sz w:val="24"/>
                <w:szCs w:val="24"/>
                <w:highlight w:val="none"/>
                <w14:textFill>
                  <w14:solidFill>
                    <w14:schemeClr w14:val="tx1"/>
                  </w14:solidFill>
                </w14:textFill>
              </w:rPr>
              <w:t>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整数倍递增。</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F</w:t>
            </w:r>
            <w:r>
              <w:rPr>
                <w:rFonts w:hint="eastAsia" w:ascii="宋体" w:hAnsi="宋体" w:eastAsia="宋体"/>
                <w:color w:val="000000" w:themeColor="text1"/>
                <w:sz w:val="24"/>
                <w:szCs w:val="24"/>
                <w:highlight w:val="none"/>
                <w14:textFill>
                  <w14:solidFill>
                    <w14:schemeClr w14:val="tx1"/>
                  </w14:solidFill>
                </w14:textFill>
              </w:rPr>
              <w:t>类份额】：认购起点为人民币【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元】，超过认购起点部分以人民币【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元】整数倍递增。</w:t>
            </w:r>
            <w:r>
              <w:rPr>
                <w:rFonts w:ascii="宋体" w:hAnsi="宋体" w:eastAsia="宋体"/>
                <w:color w:val="000000" w:themeColor="text1"/>
                <w:sz w:val="24"/>
                <w:szCs w:val="24"/>
                <w:highlight w:val="none"/>
                <w14:textFill>
                  <w14:solidFill>
                    <w14:schemeClr w14:val="tx1"/>
                  </w14:solidFill>
                </w14:textFill>
              </w:rPr>
              <w:t>追加</w:t>
            </w:r>
            <w:r>
              <w:rPr>
                <w:rFonts w:hint="eastAsia" w:ascii="宋体" w:hAnsi="宋体" w:eastAsia="宋体"/>
                <w:color w:val="000000" w:themeColor="text1"/>
                <w:sz w:val="24"/>
                <w:szCs w:val="24"/>
                <w:highlight w:val="none"/>
                <w14:textFill>
                  <w14:solidFill>
                    <w14:schemeClr w14:val="tx1"/>
                  </w14:solidFill>
                </w14:textFill>
              </w:rPr>
              <w:t>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整数倍递增。</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olor w:val="000000" w:themeColor="text1"/>
                <w:sz w:val="24"/>
                <w:szCs w:val="24"/>
                <w:highlight w:val="none"/>
                <w14:textFill>
                  <w14:solidFill>
                    <w14:schemeClr w14:val="tx1"/>
                  </w14:solidFill>
                </w14:textFill>
              </w:rPr>
              <w:t>类份额】：认购起点为人民币【</w:t>
            </w:r>
            <w:r>
              <w:rPr>
                <w:rFonts w:hint="eastAsia" w:ascii="宋体" w:hAnsi="宋体" w:eastAsia="宋体"/>
                <w:color w:val="000000" w:themeColor="text1"/>
                <w:sz w:val="24"/>
                <w:szCs w:val="24"/>
                <w:highlight w:val="none"/>
                <w:lang w:val="en-US" w:eastAsia="zh-CN"/>
                <w14:textFill>
                  <w14:solidFill>
                    <w14:schemeClr w14:val="tx1"/>
                  </w14:solidFill>
                </w14:textFill>
              </w:rPr>
              <w:t>100万</w:t>
            </w:r>
            <w:r>
              <w:rPr>
                <w:rFonts w:hint="eastAsia" w:ascii="宋体" w:hAnsi="宋体" w:eastAsia="宋体"/>
                <w:color w:val="000000" w:themeColor="text1"/>
                <w:sz w:val="24"/>
                <w:szCs w:val="24"/>
                <w:highlight w:val="none"/>
                <w14:textFill>
                  <w14:solidFill>
                    <w14:schemeClr w14:val="tx1"/>
                  </w14:solidFill>
                </w14:textFill>
              </w:rPr>
              <w:t>元】，超过认购起点部分以人民币【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元】整数倍递增。</w:t>
            </w:r>
            <w:r>
              <w:rPr>
                <w:rFonts w:ascii="宋体" w:hAnsi="宋体" w:eastAsia="宋体"/>
                <w:color w:val="000000" w:themeColor="text1"/>
                <w:sz w:val="24"/>
                <w:szCs w:val="24"/>
                <w:highlight w:val="none"/>
                <w14:textFill>
                  <w14:solidFill>
                    <w14:schemeClr w14:val="tx1"/>
                  </w14:solidFill>
                </w14:textFill>
              </w:rPr>
              <w:t>追加</w:t>
            </w:r>
            <w:r>
              <w:rPr>
                <w:rFonts w:hint="eastAsia" w:ascii="宋体" w:hAnsi="宋体" w:eastAsia="宋体"/>
                <w:color w:val="000000" w:themeColor="text1"/>
                <w:sz w:val="24"/>
                <w:szCs w:val="24"/>
                <w:highlight w:val="none"/>
                <w14:textFill>
                  <w14:solidFill>
                    <w14:schemeClr w14:val="tx1"/>
                  </w14:solidFill>
                </w14:textFill>
              </w:rPr>
              <w:t>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整数倍递增。</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olor w:val="000000" w:themeColor="text1"/>
                <w:sz w:val="24"/>
                <w:szCs w:val="24"/>
                <w:highlight w:val="none"/>
                <w14:textFill>
                  <w14:solidFill>
                    <w14:schemeClr w14:val="tx1"/>
                  </w14:solidFill>
                </w14:textFill>
              </w:rPr>
              <w:t>类份额】：认购起点为人民币【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元】，超过认购起点部分以人民币【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元】整数倍递增。</w:t>
            </w:r>
            <w:r>
              <w:rPr>
                <w:rFonts w:ascii="宋体" w:hAnsi="宋体" w:eastAsia="宋体"/>
                <w:color w:val="000000" w:themeColor="text1"/>
                <w:sz w:val="24"/>
                <w:szCs w:val="24"/>
                <w:highlight w:val="none"/>
                <w14:textFill>
                  <w14:solidFill>
                    <w14:schemeClr w14:val="tx1"/>
                  </w14:solidFill>
                </w14:textFill>
              </w:rPr>
              <w:t>追加</w:t>
            </w:r>
            <w:r>
              <w:rPr>
                <w:rFonts w:hint="eastAsia" w:ascii="宋体" w:hAnsi="宋体" w:eastAsia="宋体"/>
                <w:color w:val="000000" w:themeColor="text1"/>
                <w:sz w:val="24"/>
                <w:szCs w:val="24"/>
                <w:highlight w:val="none"/>
                <w14:textFill>
                  <w14:solidFill>
                    <w14:schemeClr w14:val="tx1"/>
                  </w14:solidFill>
                </w14:textFill>
              </w:rPr>
              <w:t>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整数倍递增。</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J</w:t>
            </w:r>
            <w:r>
              <w:rPr>
                <w:rFonts w:hint="eastAsia" w:ascii="宋体" w:hAnsi="宋体" w:eastAsia="宋体"/>
                <w:color w:val="000000" w:themeColor="text1"/>
                <w:sz w:val="24"/>
                <w:szCs w:val="24"/>
                <w:highlight w:val="none"/>
                <w14:textFill>
                  <w14:solidFill>
                    <w14:schemeClr w14:val="tx1"/>
                  </w14:solidFill>
                </w14:textFill>
              </w:rPr>
              <w:t>类份额】：认购起点为人民币【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元】，超过认购起点部分以人民币【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元】整数倍递增。</w:t>
            </w:r>
            <w:r>
              <w:rPr>
                <w:rFonts w:ascii="宋体" w:hAnsi="宋体" w:eastAsia="宋体"/>
                <w:color w:val="000000" w:themeColor="text1"/>
                <w:sz w:val="24"/>
                <w:szCs w:val="24"/>
                <w:highlight w:val="none"/>
                <w14:textFill>
                  <w14:solidFill>
                    <w14:schemeClr w14:val="tx1"/>
                  </w14:solidFill>
                </w14:textFill>
              </w:rPr>
              <w:t>追加</w:t>
            </w:r>
            <w:r>
              <w:rPr>
                <w:rFonts w:hint="eastAsia" w:ascii="宋体" w:hAnsi="宋体" w:eastAsia="宋体"/>
                <w:color w:val="000000" w:themeColor="text1"/>
                <w:sz w:val="24"/>
                <w:szCs w:val="24"/>
                <w:highlight w:val="none"/>
                <w14:textFill>
                  <w14:solidFill>
                    <w14:schemeClr w14:val="tx1"/>
                  </w14:solidFill>
                </w14:textFill>
              </w:rPr>
              <w:t>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整数倍递增。</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olor w:val="000000" w:themeColor="text1"/>
                <w:sz w:val="24"/>
                <w:szCs w:val="24"/>
                <w:highlight w:val="none"/>
                <w14:textFill>
                  <w14:solidFill>
                    <w14:schemeClr w14:val="tx1"/>
                  </w14:solidFill>
                </w14:textFill>
              </w:rPr>
              <w:t>类份额】：认购起点为人民币【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元】，超过认购起点部分以人民币【</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元】整数倍递增。</w:t>
            </w:r>
            <w:r>
              <w:rPr>
                <w:rFonts w:ascii="宋体" w:hAnsi="宋体" w:eastAsia="宋体"/>
                <w:color w:val="000000" w:themeColor="text1"/>
                <w:sz w:val="24"/>
                <w:szCs w:val="24"/>
                <w:highlight w:val="none"/>
                <w14:textFill>
                  <w14:solidFill>
                    <w14:schemeClr w14:val="tx1"/>
                  </w14:solidFill>
                </w14:textFill>
              </w:rPr>
              <w:t>追加</w:t>
            </w:r>
            <w:r>
              <w:rPr>
                <w:rFonts w:hint="eastAsia" w:ascii="宋体" w:hAnsi="宋体" w:eastAsia="宋体"/>
                <w:color w:val="000000" w:themeColor="text1"/>
                <w:sz w:val="24"/>
                <w:szCs w:val="24"/>
                <w:highlight w:val="none"/>
                <w14:textFill>
                  <w14:solidFill>
                    <w14:schemeClr w14:val="tx1"/>
                  </w14:solidFill>
                </w14:textFill>
              </w:rPr>
              <w:t>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整数倍递增。</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管理人有权对不同产品份额设置不同的认购起点并进行调整，同时提前以公告形式披露具体的调整规则。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认购方式</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投资者可通过销售服务机构手机银行、网银或者产品管理人认可的其他方式办理认购本理财产品份额。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单笔认购上限</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A类份额】：个人</w:t>
            </w:r>
            <w:r>
              <w:rPr>
                <w:rFonts w:ascii="宋体" w:hAnsi="宋体" w:eastAsia="宋体"/>
                <w:sz w:val="24"/>
                <w:szCs w:val="24"/>
                <w:highlight w:val="none"/>
              </w:rPr>
              <w:t>投资者</w:t>
            </w:r>
            <w:r>
              <w:rPr>
                <w:rFonts w:hint="eastAsia" w:ascii="宋体" w:hAnsi="宋体" w:eastAsia="宋体"/>
                <w:sz w:val="24"/>
                <w:szCs w:val="24"/>
                <w:highlight w:val="none"/>
              </w:rPr>
              <w:t>单笔认购上限为【</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；机构</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w:t>
            </w:r>
            <w:r>
              <w:rPr>
                <w:rFonts w:ascii="宋体" w:hAnsi="宋体" w:eastAsia="宋体"/>
                <w:sz w:val="24"/>
                <w:szCs w:val="24"/>
                <w:highlight w:val="none"/>
              </w:rPr>
              <w:t>元。</w:t>
            </w:r>
          </w:p>
          <w:p>
            <w:pPr>
              <w:spacing w:line="300" w:lineRule="auto"/>
              <w:rPr>
                <w:rFonts w:ascii="宋体" w:hAnsi="宋体" w:eastAsia="宋体"/>
                <w:sz w:val="24"/>
                <w:szCs w:val="24"/>
                <w:highlight w:val="none"/>
              </w:rPr>
            </w:pPr>
            <w:r>
              <w:rPr>
                <w:rFonts w:hint="eastAsia" w:ascii="宋体" w:hAnsi="宋体" w:eastAsia="宋体" w:cs="宋体"/>
                <w:sz w:val="24"/>
                <w:szCs w:val="24"/>
                <w:highlight w:val="none"/>
              </w:rPr>
              <w:t>★【B</w:t>
            </w:r>
            <w:r>
              <w:rPr>
                <w:rFonts w:hint="eastAsia" w:ascii="宋体" w:hAnsi="宋体" w:eastAsia="宋体"/>
                <w:sz w:val="24"/>
                <w:szCs w:val="24"/>
                <w:highlight w:val="none"/>
              </w:rPr>
              <w:t>类份额】：个人</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；机构</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w:t>
            </w:r>
            <w:r>
              <w:rPr>
                <w:rFonts w:ascii="宋体" w:hAnsi="宋体" w:eastAsia="宋体"/>
                <w:sz w:val="24"/>
                <w:szCs w:val="24"/>
                <w:highlight w:val="none"/>
              </w:rPr>
              <w:t>元。</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C</w:t>
            </w:r>
            <w:r>
              <w:rPr>
                <w:rFonts w:hint="eastAsia" w:ascii="宋体" w:hAnsi="宋体" w:eastAsia="宋体"/>
                <w:color w:val="000000" w:themeColor="text1"/>
                <w:sz w:val="24"/>
                <w:szCs w:val="24"/>
                <w:highlight w:val="none"/>
                <w14:textFill>
                  <w14:solidFill>
                    <w14:schemeClr w14:val="tx1"/>
                  </w14:solidFill>
                </w14:textFill>
              </w:rPr>
              <w:t>类份额】：个人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D</w:t>
            </w:r>
            <w:r>
              <w:rPr>
                <w:rFonts w:hint="eastAsia" w:ascii="宋体" w:hAnsi="宋体" w:eastAsia="宋体"/>
                <w:color w:val="000000" w:themeColor="text1"/>
                <w:sz w:val="24"/>
                <w:szCs w:val="24"/>
                <w:highlight w:val="none"/>
                <w14:textFill>
                  <w14:solidFill>
                    <w14:schemeClr w14:val="tx1"/>
                  </w14:solidFill>
                </w14:textFill>
              </w:rPr>
              <w:t>类份额】：个人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E</w:t>
            </w:r>
            <w:r>
              <w:rPr>
                <w:rFonts w:hint="eastAsia" w:ascii="宋体" w:hAnsi="宋体" w:eastAsia="宋体"/>
                <w:color w:val="000000" w:themeColor="text1"/>
                <w:sz w:val="24"/>
                <w:szCs w:val="24"/>
                <w:highlight w:val="none"/>
                <w14:textFill>
                  <w14:solidFill>
                    <w14:schemeClr w14:val="tx1"/>
                  </w14:solidFill>
                </w14:textFill>
              </w:rPr>
              <w:t>类份额】：个人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F</w:t>
            </w:r>
            <w:r>
              <w:rPr>
                <w:rFonts w:hint="eastAsia" w:ascii="宋体" w:hAnsi="宋体" w:eastAsia="宋体"/>
                <w:color w:val="000000" w:themeColor="text1"/>
                <w:sz w:val="24"/>
                <w:szCs w:val="24"/>
                <w:highlight w:val="none"/>
                <w14:textFill>
                  <w14:solidFill>
                    <w14:schemeClr w14:val="tx1"/>
                  </w14:solidFill>
                </w14:textFill>
              </w:rPr>
              <w:t>类份额】：个人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olor w:val="000000" w:themeColor="text1"/>
                <w:sz w:val="24"/>
                <w:szCs w:val="24"/>
                <w:highlight w:val="none"/>
                <w14:textFill>
                  <w14:solidFill>
                    <w14:schemeClr w14:val="tx1"/>
                  </w14:solidFill>
                </w14:textFill>
              </w:rPr>
              <w:t>类份额】：个人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olor w:val="000000" w:themeColor="text1"/>
                <w:sz w:val="24"/>
                <w:szCs w:val="24"/>
                <w:highlight w:val="none"/>
                <w14:textFill>
                  <w14:solidFill>
                    <w14:schemeClr w14:val="tx1"/>
                  </w14:solidFill>
                </w14:textFill>
              </w:rPr>
              <w:t>类份额】：个人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J</w:t>
            </w:r>
            <w:r>
              <w:rPr>
                <w:rFonts w:hint="eastAsia" w:ascii="宋体" w:hAnsi="宋体" w:eastAsia="宋体"/>
                <w:color w:val="000000" w:themeColor="text1"/>
                <w:sz w:val="24"/>
                <w:szCs w:val="24"/>
                <w:highlight w:val="none"/>
                <w14:textFill>
                  <w14:solidFill>
                    <w14:schemeClr w14:val="tx1"/>
                  </w14:solidFill>
                </w14:textFill>
              </w:rPr>
              <w:t>类份额】：个人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p>
          <w:p>
            <w:pPr>
              <w:spacing w:line="30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olor w:val="000000" w:themeColor="text1"/>
                <w:sz w:val="24"/>
                <w:szCs w:val="24"/>
                <w:highlight w:val="none"/>
                <w14:textFill>
                  <w14:solidFill>
                    <w14:schemeClr w14:val="tx1"/>
                  </w14:solidFill>
                </w14:textFill>
              </w:rPr>
              <w:t>类份额】：个人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如发生超额申请，管理人有权根据实际情况决定拒绝或受理。管理人有权以公告形式调整单笔认购上限。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单一投资者持有上限</w:t>
            </w:r>
          </w:p>
        </w:tc>
        <w:tc>
          <w:tcPr>
            <w:tcW w:w="6030" w:type="dxa"/>
            <w:vAlign w:val="center"/>
          </w:tcPr>
          <w:p>
            <w:pPr>
              <w:spacing w:line="300" w:lineRule="auto"/>
              <w:jc w:val="left"/>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A类份额】：单一个人投资者持有上限为【</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】元，单一机构投资者持有上限为【</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w:t>
            </w:r>
            <w:r>
              <w:rPr>
                <w:rFonts w:ascii="宋体" w:hAnsi="宋体" w:eastAsia="宋体"/>
                <w:sz w:val="24"/>
                <w:szCs w:val="24"/>
                <w:highlight w:val="none"/>
              </w:rPr>
              <w:t>在产品运作过程中因收益分配、净值变动等被动超</w:t>
            </w:r>
            <w:r>
              <w:rPr>
                <w:rFonts w:hint="eastAsia" w:ascii="宋体" w:hAnsi="宋体" w:eastAsia="宋体"/>
                <w:sz w:val="24"/>
                <w:szCs w:val="24"/>
                <w:highlight w:val="none"/>
              </w:rPr>
              <w:t>上限的情形除外。</w:t>
            </w:r>
          </w:p>
          <w:p>
            <w:pPr>
              <w:spacing w:line="300" w:lineRule="auto"/>
              <w:jc w:val="left"/>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B</w:t>
            </w:r>
            <w:r>
              <w:rPr>
                <w:rFonts w:hint="eastAsia" w:ascii="宋体" w:hAnsi="宋体" w:eastAsia="宋体"/>
                <w:sz w:val="24"/>
                <w:szCs w:val="24"/>
                <w:highlight w:val="none"/>
              </w:rPr>
              <w:t>类份额】：单一个人投资者持有上限为【</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，单一机构投资者持有上限为【</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w:t>
            </w:r>
            <w:r>
              <w:rPr>
                <w:rFonts w:ascii="宋体" w:hAnsi="宋体" w:eastAsia="宋体"/>
                <w:sz w:val="24"/>
                <w:szCs w:val="24"/>
                <w:highlight w:val="none"/>
              </w:rPr>
              <w:t>在产品运作过程中因收益分配、净值变动等被动超</w:t>
            </w:r>
            <w:r>
              <w:rPr>
                <w:rFonts w:hint="eastAsia" w:ascii="宋体" w:hAnsi="宋体" w:eastAsia="宋体"/>
                <w:sz w:val="24"/>
                <w:szCs w:val="24"/>
                <w:highlight w:val="none"/>
              </w:rPr>
              <w:t>上限的情形除外。</w:t>
            </w:r>
          </w:p>
          <w:p>
            <w:pPr>
              <w:spacing w:line="300" w:lineRule="auto"/>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C</w:t>
            </w:r>
            <w:r>
              <w:rPr>
                <w:rFonts w:hint="eastAsia" w:ascii="宋体" w:hAnsi="宋体" w:eastAsia="宋体"/>
                <w:color w:val="000000" w:themeColor="text1"/>
                <w:sz w:val="24"/>
                <w:szCs w:val="24"/>
                <w:highlight w:val="none"/>
                <w14:textFill>
                  <w14:solidFill>
                    <w14:schemeClr w14:val="tx1"/>
                  </w14:solidFill>
                </w14:textFill>
              </w:rPr>
              <w:t>类份额】：单一个人投资者持有上限为【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，单一机构投资者持有上限为【</w:t>
            </w:r>
            <w:r>
              <w:rPr>
                <w:rFonts w:hint="eastAsia" w:ascii="宋体" w:hAnsi="宋体" w:eastAsia="宋体"/>
                <w:sz w:val="24"/>
                <w:szCs w:val="24"/>
                <w:highlight w:val="none"/>
                <w:lang w:val="en-US" w:eastAsia="zh-CN"/>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在产品运作过程中因收益分配、净值变动等被动超</w:t>
            </w:r>
            <w:r>
              <w:rPr>
                <w:rFonts w:hint="eastAsia" w:ascii="宋体" w:hAnsi="宋体" w:eastAsia="宋体"/>
                <w:color w:val="000000" w:themeColor="text1"/>
                <w:sz w:val="24"/>
                <w:szCs w:val="24"/>
                <w:highlight w:val="none"/>
                <w14:textFill>
                  <w14:solidFill>
                    <w14:schemeClr w14:val="tx1"/>
                  </w14:solidFill>
                </w14:textFill>
              </w:rPr>
              <w:t>上限的情形除外。</w:t>
            </w:r>
          </w:p>
          <w:p>
            <w:pPr>
              <w:spacing w:line="300" w:lineRule="auto"/>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D</w:t>
            </w:r>
            <w:r>
              <w:rPr>
                <w:rFonts w:hint="eastAsia" w:ascii="宋体" w:hAnsi="宋体" w:eastAsia="宋体"/>
                <w:color w:val="000000" w:themeColor="text1"/>
                <w:sz w:val="24"/>
                <w:szCs w:val="24"/>
                <w:highlight w:val="none"/>
                <w14:textFill>
                  <w14:solidFill>
                    <w14:schemeClr w14:val="tx1"/>
                  </w14:solidFill>
                </w14:textFill>
              </w:rPr>
              <w:t>类份额】：单一个人投资者持有上限为【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在产品运作过程中因收益分配、净值变动等被动超</w:t>
            </w:r>
            <w:r>
              <w:rPr>
                <w:rFonts w:hint="eastAsia" w:ascii="宋体" w:hAnsi="宋体" w:eastAsia="宋体"/>
                <w:color w:val="000000" w:themeColor="text1"/>
                <w:sz w:val="24"/>
                <w:szCs w:val="24"/>
                <w:highlight w:val="none"/>
                <w14:textFill>
                  <w14:solidFill>
                    <w14:schemeClr w14:val="tx1"/>
                  </w14:solidFill>
                </w14:textFill>
              </w:rPr>
              <w:t>上限的情形除外。</w:t>
            </w:r>
          </w:p>
          <w:p>
            <w:pPr>
              <w:spacing w:line="300" w:lineRule="auto"/>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E</w:t>
            </w:r>
            <w:r>
              <w:rPr>
                <w:rFonts w:hint="eastAsia" w:ascii="宋体" w:hAnsi="宋体" w:eastAsia="宋体"/>
                <w:color w:val="000000" w:themeColor="text1"/>
                <w:sz w:val="24"/>
                <w:szCs w:val="24"/>
                <w:highlight w:val="none"/>
                <w14:textFill>
                  <w14:solidFill>
                    <w14:schemeClr w14:val="tx1"/>
                  </w14:solidFill>
                </w14:textFill>
              </w:rPr>
              <w:t>类份额】：单一个人投资者持有上限为【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，单一机构投资者持有上限为【</w:t>
            </w:r>
            <w:r>
              <w:rPr>
                <w:rFonts w:hint="eastAsia" w:ascii="宋体" w:hAnsi="宋体" w:eastAsia="宋体"/>
                <w:sz w:val="24"/>
                <w:szCs w:val="24"/>
                <w:highlight w:val="none"/>
                <w:lang w:val="en-US" w:eastAsia="zh-CN"/>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在产品运作过程中因收益分配、净值变动等被动超</w:t>
            </w:r>
            <w:r>
              <w:rPr>
                <w:rFonts w:hint="eastAsia" w:ascii="宋体" w:hAnsi="宋体" w:eastAsia="宋体"/>
                <w:color w:val="000000" w:themeColor="text1"/>
                <w:sz w:val="24"/>
                <w:szCs w:val="24"/>
                <w:highlight w:val="none"/>
                <w14:textFill>
                  <w14:solidFill>
                    <w14:schemeClr w14:val="tx1"/>
                  </w14:solidFill>
                </w14:textFill>
              </w:rPr>
              <w:t>上限的情形除外。</w:t>
            </w:r>
          </w:p>
          <w:p>
            <w:pPr>
              <w:spacing w:line="300" w:lineRule="auto"/>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F</w:t>
            </w:r>
            <w:r>
              <w:rPr>
                <w:rFonts w:hint="eastAsia" w:ascii="宋体" w:hAnsi="宋体" w:eastAsia="宋体"/>
                <w:color w:val="000000" w:themeColor="text1"/>
                <w:sz w:val="24"/>
                <w:szCs w:val="24"/>
                <w:highlight w:val="none"/>
                <w14:textFill>
                  <w14:solidFill>
                    <w14:schemeClr w14:val="tx1"/>
                  </w14:solidFill>
                </w14:textFill>
              </w:rPr>
              <w:t>类份额】：单一个人投资者持有上限为【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，单一机构投资者持有上限为【</w:t>
            </w:r>
            <w:r>
              <w:rPr>
                <w:rFonts w:hint="eastAsia" w:ascii="宋体" w:hAnsi="宋体" w:eastAsia="宋体"/>
                <w:sz w:val="24"/>
                <w:szCs w:val="24"/>
                <w:highlight w:val="none"/>
                <w:lang w:val="en-US" w:eastAsia="zh-CN"/>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在产品运作过程中因收益分配、净值变动等被动超</w:t>
            </w:r>
            <w:r>
              <w:rPr>
                <w:rFonts w:hint="eastAsia" w:ascii="宋体" w:hAnsi="宋体" w:eastAsia="宋体"/>
                <w:color w:val="000000" w:themeColor="text1"/>
                <w:sz w:val="24"/>
                <w:szCs w:val="24"/>
                <w:highlight w:val="none"/>
                <w14:textFill>
                  <w14:solidFill>
                    <w14:schemeClr w14:val="tx1"/>
                  </w14:solidFill>
                </w14:textFill>
              </w:rPr>
              <w:t>上限的情形除外。</w:t>
            </w:r>
          </w:p>
          <w:p>
            <w:pPr>
              <w:spacing w:line="300" w:lineRule="auto"/>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G</w:t>
            </w:r>
            <w:r>
              <w:rPr>
                <w:rFonts w:hint="eastAsia" w:ascii="宋体" w:hAnsi="宋体" w:eastAsia="宋体"/>
                <w:color w:val="000000" w:themeColor="text1"/>
                <w:sz w:val="24"/>
                <w:szCs w:val="24"/>
                <w:highlight w:val="none"/>
                <w14:textFill>
                  <w14:solidFill>
                    <w14:schemeClr w14:val="tx1"/>
                  </w14:solidFill>
                </w14:textFill>
              </w:rPr>
              <w:t>类份额】：单一个人投资者持有上限为【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在产品运作过程中因收益分配、净值变动等被动超</w:t>
            </w:r>
            <w:r>
              <w:rPr>
                <w:rFonts w:hint="eastAsia" w:ascii="宋体" w:hAnsi="宋体" w:eastAsia="宋体"/>
                <w:color w:val="000000" w:themeColor="text1"/>
                <w:sz w:val="24"/>
                <w:szCs w:val="24"/>
                <w:highlight w:val="none"/>
                <w14:textFill>
                  <w14:solidFill>
                    <w14:schemeClr w14:val="tx1"/>
                  </w14:solidFill>
                </w14:textFill>
              </w:rPr>
              <w:t>上限的情形除外。</w:t>
            </w:r>
          </w:p>
          <w:p>
            <w:pPr>
              <w:spacing w:line="300" w:lineRule="auto"/>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H</w:t>
            </w:r>
            <w:r>
              <w:rPr>
                <w:rFonts w:hint="eastAsia" w:ascii="宋体" w:hAnsi="宋体" w:eastAsia="宋体"/>
                <w:color w:val="000000" w:themeColor="text1"/>
                <w:sz w:val="24"/>
                <w:szCs w:val="24"/>
                <w:highlight w:val="none"/>
                <w14:textFill>
                  <w14:solidFill>
                    <w14:schemeClr w14:val="tx1"/>
                  </w14:solidFill>
                </w14:textFill>
              </w:rPr>
              <w:t>类份额】：单一个人投资者持有上限为【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在产品运作过程中因收益分配、净值变动等被动超</w:t>
            </w:r>
            <w:r>
              <w:rPr>
                <w:rFonts w:hint="eastAsia" w:ascii="宋体" w:hAnsi="宋体" w:eastAsia="宋体"/>
                <w:color w:val="000000" w:themeColor="text1"/>
                <w:sz w:val="24"/>
                <w:szCs w:val="24"/>
                <w:highlight w:val="none"/>
                <w14:textFill>
                  <w14:solidFill>
                    <w14:schemeClr w14:val="tx1"/>
                  </w14:solidFill>
                </w14:textFill>
              </w:rPr>
              <w:t>上限的情形除外。</w:t>
            </w:r>
          </w:p>
          <w:p>
            <w:pPr>
              <w:spacing w:line="300" w:lineRule="auto"/>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J</w:t>
            </w:r>
            <w:r>
              <w:rPr>
                <w:rFonts w:hint="eastAsia" w:ascii="宋体" w:hAnsi="宋体" w:eastAsia="宋体"/>
                <w:color w:val="000000" w:themeColor="text1"/>
                <w:sz w:val="24"/>
                <w:szCs w:val="24"/>
                <w:highlight w:val="none"/>
                <w14:textFill>
                  <w14:solidFill>
                    <w14:schemeClr w14:val="tx1"/>
                  </w14:solidFill>
                </w14:textFill>
              </w:rPr>
              <w:t>类份额】：单一个人投资者持有上限为【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在产品运作过程中因收益分配、净值变动等被动超</w:t>
            </w:r>
            <w:r>
              <w:rPr>
                <w:rFonts w:hint="eastAsia" w:ascii="宋体" w:hAnsi="宋体" w:eastAsia="宋体"/>
                <w:color w:val="000000" w:themeColor="text1"/>
                <w:sz w:val="24"/>
                <w:szCs w:val="24"/>
                <w:highlight w:val="none"/>
                <w14:textFill>
                  <w14:solidFill>
                    <w14:schemeClr w14:val="tx1"/>
                  </w14:solidFill>
                </w14:textFill>
              </w:rPr>
              <w:t>上限的情形除外。</w:t>
            </w:r>
          </w:p>
          <w:p>
            <w:pPr>
              <w:spacing w:line="300" w:lineRule="auto"/>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K</w:t>
            </w:r>
            <w:r>
              <w:rPr>
                <w:rFonts w:hint="eastAsia" w:ascii="宋体" w:hAnsi="宋体" w:eastAsia="宋体"/>
                <w:color w:val="000000" w:themeColor="text1"/>
                <w:sz w:val="24"/>
                <w:szCs w:val="24"/>
                <w:highlight w:val="none"/>
                <w14:textFill>
                  <w14:solidFill>
                    <w14:schemeClr w14:val="tx1"/>
                  </w14:solidFill>
                </w14:textFill>
              </w:rPr>
              <w:t>类份额】：单一个人投资者持有上限为【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，单一机构投资者持有上限为【</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在产品运作过程中因收益分配、净值变动等被动超</w:t>
            </w:r>
            <w:r>
              <w:rPr>
                <w:rFonts w:hint="eastAsia" w:ascii="宋体" w:hAnsi="宋体" w:eastAsia="宋体"/>
                <w:color w:val="000000" w:themeColor="text1"/>
                <w:sz w:val="24"/>
                <w:szCs w:val="24"/>
                <w:highlight w:val="none"/>
                <w14:textFill>
                  <w14:solidFill>
                    <w14:schemeClr w14:val="tx1"/>
                  </w14:solidFill>
                </w14:textFill>
              </w:rPr>
              <w:t>上限的情形除外。</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管理人有权以公告形式调整单一投资者持有上限。如发生超额申请，管理人有权根据实际情况决定拒绝或受理。</w:t>
            </w:r>
          </w:p>
          <w:p>
            <w:pPr>
              <w:spacing w:line="300" w:lineRule="auto"/>
              <w:rPr>
                <w:rFonts w:hint="eastAsia" w:ascii="宋体" w:hAnsi="宋体" w:eastAsia="宋体"/>
                <w:sz w:val="24"/>
                <w:szCs w:val="24"/>
                <w:highlight w:val="none"/>
              </w:rPr>
            </w:pPr>
            <w:r>
              <w:rPr>
                <w:rFonts w:hint="eastAsia" w:ascii="宋体" w:hAnsi="宋体" w:eastAsia="宋体"/>
                <w:b/>
                <w:bCs/>
                <w:sz w:val="24"/>
                <w:szCs w:val="24"/>
                <w:highlight w:val="none"/>
              </w:rPr>
              <w:t>注：产品管理人不得接受单一投资者持有份额超过理财产品份额总数50%的申请，对于单一投资者认购申请可能导致其持有份额比例超过50%的情形，产品管理人有权采取控制措施包括但不限于按比例部分确认或全部拒绝等方式进行认购申请限制，本理财产品若发生非因产品管理人主观因素导致单一投资者持有份额超过本理财产品总份额50%的情况，在单一投资者持有比例降至50%以下之前，产品管理人不再接受该投资者认购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认购期</w:t>
            </w:r>
          </w:p>
        </w:tc>
        <w:tc>
          <w:tcPr>
            <w:tcW w:w="6030" w:type="dxa"/>
            <w:vAlign w:val="center"/>
          </w:tcPr>
          <w:p>
            <w:pPr>
              <w:spacing w:line="300" w:lineRule="auto"/>
              <w:rPr>
                <w:rFonts w:hint="eastAsia" w:ascii="宋体" w:hAnsi="宋体" w:eastAsia="宋体"/>
                <w:sz w:val="24"/>
                <w:szCs w:val="24"/>
                <w:highlight w:val="none"/>
              </w:rPr>
            </w:pPr>
            <w:r>
              <w:rPr>
                <w:rFonts w:ascii="宋体" w:hAnsi="宋体" w:eastAsia="宋体"/>
                <w:sz w:val="24"/>
                <w:szCs w:val="24"/>
                <w:highlight w:val="none"/>
              </w:rPr>
              <w:t>1.本产品</w:t>
            </w:r>
            <w:r>
              <w:rPr>
                <w:rFonts w:hint="eastAsia" w:ascii="宋体" w:hAnsi="宋体" w:eastAsia="宋体"/>
                <w:sz w:val="24"/>
                <w:szCs w:val="24"/>
                <w:highlight w:val="none"/>
              </w:rPr>
              <w:t>认购期</w:t>
            </w:r>
            <w:r>
              <w:rPr>
                <w:rFonts w:ascii="宋体" w:hAnsi="宋体" w:eastAsia="宋体"/>
                <w:sz w:val="24"/>
                <w:szCs w:val="24"/>
                <w:highlight w:val="none"/>
              </w:rPr>
              <w:t>为</w:t>
            </w:r>
            <w:r>
              <w:rPr>
                <w:rFonts w:hint="eastAsia" w:ascii="宋体" w:hAnsi="宋体" w:eastAsia="宋体"/>
                <w:sz w:val="24"/>
                <w:szCs w:val="24"/>
                <w:highlight w:val="none"/>
                <w:lang w:val="en-US" w:eastAsia="zh-CN"/>
              </w:rPr>
              <w:t>2026年6月22日9</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00</w:t>
            </w:r>
            <w:r>
              <w:rPr>
                <w:rFonts w:ascii="宋体" w:hAnsi="宋体" w:eastAsia="宋体"/>
                <w:sz w:val="24"/>
                <w:szCs w:val="24"/>
                <w:highlight w:val="none"/>
              </w:rPr>
              <w:t>至</w:t>
            </w:r>
            <w:r>
              <w:rPr>
                <w:rFonts w:hint="eastAsia" w:ascii="宋体" w:hAnsi="宋体" w:eastAsia="宋体"/>
                <w:sz w:val="24"/>
                <w:szCs w:val="24"/>
                <w:highlight w:val="none"/>
                <w:lang w:val="en-US" w:eastAsia="zh-CN"/>
              </w:rPr>
              <w:t>2026年6月29日17</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00</w:t>
            </w:r>
            <w:r>
              <w:rPr>
                <w:rFonts w:hint="eastAsia" w:ascii="宋体" w:hAnsi="宋体" w:eastAsia="宋体"/>
                <w:sz w:val="24"/>
                <w:szCs w:val="24"/>
                <w:highlight w:val="none"/>
              </w:rPr>
              <w:t>，实际认购期以管理人或销售服务机构公布的时间为准；</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w:t>
            </w:r>
            <w:r>
              <w:rPr>
                <w:rFonts w:hint="eastAsia" w:ascii="宋体" w:hAnsi="宋体" w:eastAsia="宋体"/>
                <w:sz w:val="24"/>
                <w:szCs w:val="24"/>
                <w:highlight w:val="none"/>
              </w:rPr>
              <w:t>投资者在认购期内提交认购申请后，为尽量确保投资者认购申请成功确认，</w:t>
            </w:r>
            <w:r>
              <w:rPr>
                <w:rFonts w:hint="eastAsia" w:ascii="宋体" w:hAnsi="宋体" w:eastAsia="宋体"/>
                <w:b/>
                <w:bCs/>
                <w:sz w:val="24"/>
                <w:szCs w:val="24"/>
                <w:highlight w:val="none"/>
              </w:rPr>
              <w:t>销售服务机构有权冻结或预扣认购资金，是否计付利息以销售服务机构为准；冻结或预扣期间管理人不向投资者计付利息；</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3.是否允许撤单：投资者在销售服务机构购买理财产品的，认购期内是否可以撤单以及撤单规则，以销售服务机构说明或公布的操作方式为准。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认购登记日</w:t>
            </w:r>
          </w:p>
        </w:tc>
        <w:tc>
          <w:tcPr>
            <w:tcW w:w="6030" w:type="dxa"/>
            <w:vAlign w:val="center"/>
          </w:tcPr>
          <w:p>
            <w:pPr>
              <w:spacing w:line="300" w:lineRule="auto"/>
              <w:rPr>
                <w:rFonts w:hint="eastAsia" w:ascii="宋体" w:hAnsi="宋体" w:eastAsia="宋体"/>
                <w:sz w:val="24"/>
                <w:szCs w:val="24"/>
                <w:highlight w:val="none"/>
              </w:rPr>
            </w:pPr>
            <w:r>
              <w:rPr>
                <w:rFonts w:ascii="宋体" w:hAnsi="宋体" w:eastAsia="宋体"/>
                <w:sz w:val="24"/>
                <w:szCs w:val="24"/>
                <w:highlight w:val="none"/>
              </w:rPr>
              <w:t>1.本</w:t>
            </w:r>
            <w:r>
              <w:rPr>
                <w:rFonts w:hint="eastAsia" w:ascii="宋体" w:hAnsi="宋体" w:eastAsia="宋体"/>
                <w:sz w:val="24"/>
                <w:szCs w:val="24"/>
                <w:highlight w:val="none"/>
              </w:rPr>
              <w:t>理财</w:t>
            </w:r>
            <w:r>
              <w:rPr>
                <w:rFonts w:ascii="宋体" w:hAnsi="宋体" w:eastAsia="宋体"/>
                <w:sz w:val="24"/>
                <w:szCs w:val="24"/>
                <w:highlight w:val="none"/>
              </w:rPr>
              <w:t>产品的计划</w:t>
            </w:r>
            <w:r>
              <w:rPr>
                <w:rFonts w:hint="eastAsia" w:ascii="宋体" w:hAnsi="宋体" w:eastAsia="宋体"/>
                <w:sz w:val="24"/>
                <w:szCs w:val="24"/>
                <w:highlight w:val="none"/>
              </w:rPr>
              <w:t>认购登记日</w:t>
            </w:r>
            <w:r>
              <w:rPr>
                <w:rFonts w:ascii="宋体" w:hAnsi="宋体" w:eastAsia="宋体"/>
                <w:sz w:val="24"/>
                <w:szCs w:val="24"/>
                <w:highlight w:val="none"/>
              </w:rPr>
              <w:t>为</w:t>
            </w:r>
            <w:r>
              <w:rPr>
                <w:rFonts w:hint="eastAsia" w:ascii="宋体" w:hAnsi="宋体" w:eastAsia="宋体"/>
                <w:sz w:val="24"/>
                <w:szCs w:val="24"/>
                <w:highlight w:val="none"/>
                <w:lang w:val="en-US" w:eastAsia="zh-CN"/>
              </w:rPr>
              <w:t>2026年6月30日</w:t>
            </w:r>
            <w:r>
              <w:rPr>
                <w:rFonts w:hint="eastAsia" w:ascii="宋体" w:hAnsi="宋体" w:eastAsia="宋体"/>
                <w:sz w:val="24"/>
                <w:szCs w:val="24"/>
                <w:highlight w:val="none"/>
              </w:rPr>
              <w:t>（遇非交易日顺延至下一交易日）；</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2.产品管理人有权根据实际募集情况提前或延后产品</w:t>
            </w:r>
            <w:r>
              <w:rPr>
                <w:rFonts w:hint="eastAsia" w:ascii="宋体" w:hAnsi="宋体" w:eastAsia="宋体"/>
                <w:sz w:val="24"/>
                <w:szCs w:val="24"/>
                <w:highlight w:val="none"/>
              </w:rPr>
              <w:t>认购登记日期，并相应调整其他产品要素，将依约定进行公告。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成立日</w:t>
            </w:r>
          </w:p>
        </w:tc>
        <w:tc>
          <w:tcPr>
            <w:tcW w:w="6030" w:type="dxa"/>
            <w:vAlign w:val="center"/>
          </w:tcPr>
          <w:p>
            <w:pPr>
              <w:spacing w:line="300" w:lineRule="auto"/>
              <w:rPr>
                <w:rFonts w:hint="eastAsia" w:ascii="宋体" w:hAnsi="宋体" w:eastAsia="宋体"/>
                <w:sz w:val="24"/>
                <w:szCs w:val="24"/>
                <w:highlight w:val="none"/>
              </w:rPr>
            </w:pPr>
            <w:r>
              <w:rPr>
                <w:rFonts w:ascii="宋体" w:hAnsi="宋体" w:eastAsia="宋体"/>
                <w:sz w:val="24"/>
                <w:szCs w:val="24"/>
                <w:highlight w:val="none"/>
              </w:rPr>
              <w:t>1.本</w:t>
            </w:r>
            <w:r>
              <w:rPr>
                <w:rFonts w:hint="eastAsia" w:ascii="宋体" w:hAnsi="宋体" w:eastAsia="宋体"/>
                <w:sz w:val="24"/>
                <w:szCs w:val="24"/>
                <w:highlight w:val="none"/>
              </w:rPr>
              <w:t>理财</w:t>
            </w:r>
            <w:r>
              <w:rPr>
                <w:rFonts w:ascii="宋体" w:hAnsi="宋体" w:eastAsia="宋体"/>
                <w:sz w:val="24"/>
                <w:szCs w:val="24"/>
                <w:highlight w:val="none"/>
              </w:rPr>
              <w:t>产品的计划成立日为</w:t>
            </w:r>
            <w:r>
              <w:rPr>
                <w:rFonts w:hint="eastAsia" w:ascii="宋体" w:hAnsi="宋体" w:eastAsia="宋体"/>
                <w:sz w:val="24"/>
                <w:szCs w:val="24"/>
                <w:highlight w:val="none"/>
                <w:lang w:val="en-US" w:eastAsia="zh-CN"/>
              </w:rPr>
              <w:t>2026年6月30日</w:t>
            </w:r>
            <w:r>
              <w:rPr>
                <w:rFonts w:hint="eastAsia" w:ascii="宋体" w:hAnsi="宋体" w:eastAsia="宋体"/>
                <w:sz w:val="24"/>
                <w:szCs w:val="24"/>
                <w:highlight w:val="none"/>
              </w:rPr>
              <w:t>（遇非交易日顺延至下一交易日）；</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2.产品管理人有权根据实际募集情况提前或延后产品成立</w:t>
            </w:r>
            <w:r>
              <w:rPr>
                <w:rFonts w:hint="eastAsia" w:ascii="宋体" w:hAnsi="宋体" w:eastAsia="宋体"/>
                <w:sz w:val="24"/>
                <w:szCs w:val="24"/>
                <w:highlight w:val="none"/>
              </w:rPr>
              <w:t>日期，并相应调整其他产品要素，将依约定进行公告。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产品成立</w:t>
            </w:r>
          </w:p>
        </w:tc>
        <w:tc>
          <w:tcPr>
            <w:tcW w:w="6030" w:type="dxa"/>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为保护投资者利益，渤银理财有权根据市场情况缩短或延长认购期，根据认购期调整成立日。</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若出现如下情况之一，本产品管理人有权利但无义务决定本产品不成立：（</w:t>
            </w:r>
            <w:r>
              <w:rPr>
                <w:rFonts w:ascii="宋体" w:hAnsi="宋体" w:eastAsia="宋体"/>
                <w:sz w:val="24"/>
                <w:szCs w:val="24"/>
                <w:highlight w:val="none"/>
              </w:rPr>
              <w:t>1）认购总金额未达规模下限；（2）相关法律法规或监管规定或政策发生变化；（3）可能影响产品正常成立或运作的其他情况；（4）本产品管理人根据实际情况合理判断不适宜产品成立或运作的；</w:t>
            </w:r>
            <w:r>
              <w:rPr>
                <w:rFonts w:hint="eastAsia" w:ascii="宋体" w:hAnsi="宋体" w:eastAsia="宋体"/>
                <w:sz w:val="24"/>
                <w:szCs w:val="24"/>
                <w:highlight w:val="none"/>
              </w:rPr>
              <w:t>若有投资者购买了本产品且本产品不成立，本产品管理人最晚于产品计划成立日对产品不成立进行信息披露，在认购期结束后5个工作日内，投资者认购资金将由销售服务机构返还至投资者原认购账户。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到期日</w:t>
            </w:r>
          </w:p>
        </w:tc>
        <w:tc>
          <w:tcPr>
            <w:tcW w:w="6030" w:type="dxa"/>
            <w:vAlign w:val="center"/>
          </w:tcPr>
          <w:p>
            <w:pPr>
              <w:spacing w:line="300" w:lineRule="auto"/>
              <w:rPr>
                <w:rFonts w:hint="eastAsia" w:ascii="宋体" w:hAnsi="宋体" w:eastAsia="宋体"/>
                <w:sz w:val="24"/>
                <w:szCs w:val="24"/>
                <w:highlight w:val="none"/>
              </w:rPr>
            </w:pPr>
            <w:r>
              <w:rPr>
                <w:rFonts w:ascii="宋体" w:hAnsi="宋体" w:eastAsia="宋体"/>
                <w:sz w:val="24"/>
                <w:szCs w:val="24"/>
                <w:highlight w:val="none"/>
              </w:rPr>
              <w:t>1.本</w:t>
            </w:r>
            <w:r>
              <w:rPr>
                <w:rFonts w:hint="eastAsia" w:ascii="宋体" w:hAnsi="宋体" w:eastAsia="宋体"/>
                <w:sz w:val="24"/>
                <w:szCs w:val="24"/>
                <w:highlight w:val="none"/>
              </w:rPr>
              <w:t>理财</w:t>
            </w:r>
            <w:r>
              <w:rPr>
                <w:rFonts w:ascii="宋体" w:hAnsi="宋体" w:eastAsia="宋体"/>
                <w:sz w:val="24"/>
                <w:szCs w:val="24"/>
                <w:highlight w:val="none"/>
              </w:rPr>
              <w:t>产品的计划</w:t>
            </w:r>
            <w:r>
              <w:rPr>
                <w:rFonts w:hint="eastAsia" w:ascii="宋体" w:hAnsi="宋体" w:eastAsia="宋体"/>
                <w:sz w:val="24"/>
                <w:szCs w:val="24"/>
                <w:highlight w:val="none"/>
              </w:rPr>
              <w:t>到期日</w:t>
            </w:r>
            <w:r>
              <w:rPr>
                <w:rFonts w:ascii="宋体" w:hAnsi="宋体" w:eastAsia="宋体"/>
                <w:sz w:val="24"/>
                <w:szCs w:val="24"/>
                <w:highlight w:val="none"/>
              </w:rPr>
              <w:t>为</w:t>
            </w:r>
            <w:r>
              <w:rPr>
                <w:rFonts w:hint="eastAsia" w:ascii="宋体" w:hAnsi="宋体" w:eastAsia="宋体"/>
                <w:sz w:val="24"/>
                <w:szCs w:val="24"/>
                <w:highlight w:val="none"/>
                <w:lang w:val="en-US" w:eastAsia="zh-CN"/>
              </w:rPr>
              <w:t>2027年7月29日</w:t>
            </w:r>
            <w:r>
              <w:rPr>
                <w:rFonts w:hint="eastAsia" w:ascii="宋体" w:hAnsi="宋体" w:eastAsia="宋体"/>
                <w:sz w:val="24"/>
                <w:szCs w:val="24"/>
                <w:highlight w:val="none"/>
              </w:rPr>
              <w:t>（遇非交易日顺延至下一交易日）</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本</w:t>
            </w:r>
            <w:r>
              <w:rPr>
                <w:rFonts w:hint="eastAsia" w:ascii="宋体" w:hAnsi="宋体" w:eastAsia="宋体"/>
                <w:sz w:val="24"/>
                <w:szCs w:val="24"/>
                <w:highlight w:val="none"/>
              </w:rPr>
              <w:t>理财</w:t>
            </w:r>
            <w:r>
              <w:rPr>
                <w:rFonts w:ascii="宋体" w:hAnsi="宋体" w:eastAsia="宋体"/>
                <w:sz w:val="24"/>
                <w:szCs w:val="24"/>
                <w:highlight w:val="none"/>
              </w:rPr>
              <w:t>产品的实际</w:t>
            </w:r>
            <w:r>
              <w:rPr>
                <w:rFonts w:hint="eastAsia" w:ascii="宋体" w:hAnsi="宋体" w:eastAsia="宋体"/>
                <w:sz w:val="24"/>
                <w:szCs w:val="24"/>
                <w:highlight w:val="none"/>
              </w:rPr>
              <w:t>到期日</w:t>
            </w:r>
            <w:r>
              <w:rPr>
                <w:rFonts w:ascii="宋体" w:hAnsi="宋体" w:eastAsia="宋体"/>
                <w:sz w:val="24"/>
                <w:szCs w:val="24"/>
                <w:highlight w:val="none"/>
              </w:rPr>
              <w:t>受制于本理财产品销售文件“提前</w:t>
            </w:r>
            <w:r>
              <w:rPr>
                <w:rFonts w:hint="eastAsia" w:ascii="宋体" w:hAnsi="宋体" w:eastAsia="宋体"/>
                <w:sz w:val="24"/>
                <w:szCs w:val="24"/>
                <w:highlight w:val="none"/>
              </w:rPr>
              <w:t>终止”及“延期终止”情形。管理人有权根据实际情况提前终止本理财产品。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实际到期日</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本理财产品的实际到期日是指本理财产品实际终止之日，包括理财产品计划到期日，或在理财产品存续期内管理人根据本产品说明书约定宣布本理财产品提前到期而终止之日，或宣布本理财产品延长后的实际到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产品预计存续期限</w:t>
            </w:r>
          </w:p>
        </w:tc>
        <w:tc>
          <w:tcPr>
            <w:tcW w:w="6030" w:type="dxa"/>
            <w:vAlign w:val="center"/>
          </w:tcPr>
          <w:p>
            <w:pPr>
              <w:numPr>
                <w:ilvl w:val="255"/>
                <w:numId w:val="0"/>
              </w:num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本理财产品预计存续期限</w:t>
            </w:r>
            <w:r>
              <w:rPr>
                <w:rFonts w:ascii="宋体" w:hAnsi="宋体" w:eastAsia="宋体"/>
                <w:sz w:val="24"/>
                <w:szCs w:val="24"/>
                <w:highlight w:val="none"/>
              </w:rPr>
              <w:t>【</w:t>
            </w:r>
            <w:r>
              <w:rPr>
                <w:rFonts w:hint="eastAsia" w:ascii="宋体" w:hAnsi="宋体" w:eastAsia="宋体"/>
                <w:sz w:val="24"/>
                <w:szCs w:val="24"/>
                <w:highlight w:val="none"/>
                <w:lang w:val="en-US" w:eastAsia="zh-CN"/>
              </w:rPr>
              <w:t>394</w:t>
            </w:r>
            <w:r>
              <w:rPr>
                <w:rFonts w:ascii="宋体" w:hAnsi="宋体" w:eastAsia="宋体"/>
                <w:sz w:val="24"/>
                <w:szCs w:val="24"/>
                <w:highlight w:val="none"/>
              </w:rPr>
              <w:t>】天</w:t>
            </w:r>
            <w:r>
              <w:rPr>
                <w:rFonts w:hint="eastAsia" w:ascii="宋体" w:hAnsi="宋体" w:eastAsia="宋体"/>
                <w:sz w:val="24"/>
                <w:szCs w:val="24"/>
                <w:highlight w:val="none"/>
              </w:rPr>
              <w:t>，具体存续期限将受到产品成立日及到期日可能变动的影响，相应缩短或者延长。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业绩比较基准</w:t>
            </w:r>
          </w:p>
        </w:tc>
        <w:tc>
          <w:tcPr>
            <w:tcW w:w="6030" w:type="dxa"/>
            <w:vAlign w:val="center"/>
          </w:tcPr>
          <w:p>
            <w:pPr>
              <w:numPr>
                <w:ilvl w:val="0"/>
                <w:numId w:val="5"/>
              </w:numPr>
              <w:spacing w:line="300" w:lineRule="auto"/>
              <w:rPr>
                <w:rFonts w:hint="eastAsia" w:ascii="宋体" w:hAnsi="宋体" w:eastAsia="宋体"/>
                <w:b/>
                <w:bCs/>
                <w:sz w:val="24"/>
                <w:szCs w:val="24"/>
                <w:highlight w:val="none"/>
              </w:rPr>
            </w:pPr>
            <w:r>
              <w:rPr>
                <w:rFonts w:hint="eastAsia" w:ascii="宋体" w:hAnsi="宋体" w:eastAsia="宋体"/>
                <w:b/>
                <w:bCs/>
                <w:sz w:val="24"/>
                <w:szCs w:val="24"/>
                <w:highlight w:val="none"/>
              </w:rPr>
              <w:t>本理财产品业绩比较基准为：</w:t>
            </w:r>
          </w:p>
          <w:p>
            <w:pPr>
              <w:numPr>
                <w:ilvl w:val="255"/>
                <w:numId w:val="0"/>
              </w:numPr>
              <w:spacing w:line="300" w:lineRule="auto"/>
              <w:rPr>
                <w:rFonts w:hint="eastAsia" w:ascii="宋体" w:hAnsi="宋体" w:eastAsia="宋体"/>
                <w:b/>
                <w:bCs/>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w:t>
            </w:r>
            <w:r>
              <w:rPr>
                <w:rFonts w:hint="eastAsia" w:ascii="宋体" w:hAnsi="宋体" w:eastAsia="宋体"/>
                <w:b/>
                <w:bCs/>
                <w:sz w:val="24"/>
                <w:szCs w:val="24"/>
                <w:highlight w:val="none"/>
              </w:rPr>
              <w:t>年化【</w:t>
            </w:r>
            <w:r>
              <w:rPr>
                <w:rFonts w:hint="eastAsia" w:ascii="宋体" w:hAnsi="宋体" w:eastAsia="宋体"/>
                <w:b/>
                <w:bCs/>
                <w:sz w:val="24"/>
                <w:szCs w:val="24"/>
                <w:highlight w:val="none"/>
                <w:lang w:val="en-US" w:eastAsia="zh-CN"/>
              </w:rPr>
              <w:t>2.50%-3.00%</w:t>
            </w:r>
            <w:r>
              <w:rPr>
                <w:rFonts w:hint="eastAsia" w:ascii="宋体" w:hAnsi="宋体" w:eastAsia="宋体"/>
                <w:b/>
                <w:bCs/>
                <w:sz w:val="24"/>
                <w:szCs w:val="24"/>
                <w:highlight w:val="none"/>
              </w:rPr>
              <w:t>】</w:t>
            </w:r>
          </w:p>
          <w:p>
            <w:pPr>
              <w:numPr>
                <w:ilvl w:val="255"/>
                <w:numId w:val="0"/>
              </w:numPr>
              <w:spacing w:line="300" w:lineRule="auto"/>
              <w:rPr>
                <w:rFonts w:hint="eastAsia" w:ascii="宋体" w:hAnsi="宋体" w:eastAsia="宋体"/>
                <w:b/>
                <w:bCs/>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B类份额】：</w:t>
            </w:r>
            <w:r>
              <w:rPr>
                <w:rFonts w:hint="eastAsia" w:ascii="宋体" w:hAnsi="宋体" w:eastAsia="宋体"/>
                <w:b/>
                <w:bCs/>
                <w:sz w:val="24"/>
                <w:szCs w:val="24"/>
                <w:highlight w:val="none"/>
              </w:rPr>
              <w:t>年化【</w:t>
            </w:r>
            <w:r>
              <w:rPr>
                <w:rFonts w:hint="eastAsia" w:ascii="宋体" w:hAnsi="宋体" w:eastAsia="宋体"/>
                <w:b/>
                <w:bCs/>
                <w:sz w:val="24"/>
                <w:szCs w:val="24"/>
                <w:highlight w:val="none"/>
                <w:lang w:val="en-US" w:eastAsia="zh-CN"/>
              </w:rPr>
              <w:t>2.45%-2.95%</w:t>
            </w:r>
            <w:r>
              <w:rPr>
                <w:rFonts w:hint="eastAsia" w:ascii="宋体" w:hAnsi="宋体" w:eastAsia="宋体"/>
                <w:b/>
                <w:bCs/>
                <w:sz w:val="24"/>
                <w:szCs w:val="24"/>
                <w:highlight w:val="none"/>
              </w:rPr>
              <w:t>】</w:t>
            </w:r>
          </w:p>
          <w:p>
            <w:pPr>
              <w:numPr>
                <w:ilvl w:val="255"/>
                <w:numId w:val="0"/>
              </w:numPr>
              <w:spacing w:line="30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C</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2.55%-3.05%</w:t>
            </w:r>
            <w:r>
              <w:rPr>
                <w:rFonts w:hint="eastAsia" w:ascii="宋体" w:hAnsi="宋体" w:eastAsia="宋体"/>
                <w:b/>
                <w:bCs/>
                <w:color w:val="000000" w:themeColor="text1"/>
                <w:sz w:val="24"/>
                <w:szCs w:val="24"/>
                <w:highlight w:val="none"/>
                <w14:textFill>
                  <w14:solidFill>
                    <w14:schemeClr w14:val="tx1"/>
                  </w14:solidFill>
                </w14:textFill>
              </w:rPr>
              <w:t>】</w:t>
            </w:r>
          </w:p>
          <w:p>
            <w:pPr>
              <w:numPr>
                <w:ilvl w:val="255"/>
                <w:numId w:val="0"/>
              </w:numPr>
              <w:spacing w:line="30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D</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2.40%-2.90%</w:t>
            </w:r>
            <w:r>
              <w:rPr>
                <w:rFonts w:hint="eastAsia" w:ascii="宋体" w:hAnsi="宋体" w:eastAsia="宋体"/>
                <w:b/>
                <w:bCs/>
                <w:color w:val="000000" w:themeColor="text1"/>
                <w:sz w:val="24"/>
                <w:szCs w:val="24"/>
                <w:highlight w:val="none"/>
                <w14:textFill>
                  <w14:solidFill>
                    <w14:schemeClr w14:val="tx1"/>
                  </w14:solidFill>
                </w14:textFill>
              </w:rPr>
              <w:t>】</w:t>
            </w:r>
          </w:p>
          <w:p>
            <w:pPr>
              <w:numPr>
                <w:ilvl w:val="255"/>
                <w:numId w:val="0"/>
              </w:numPr>
              <w:spacing w:line="300" w:lineRule="auto"/>
              <w:rPr>
                <w:rFonts w:hint="eastAsia" w:ascii="宋体" w:hAnsi="宋体" w:eastAsia="宋体"/>
                <w:b/>
                <w:bCs/>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E</w:t>
            </w:r>
            <w:r>
              <w:rPr>
                <w:rFonts w:hint="eastAsia" w:ascii="宋体" w:hAnsi="宋体" w:eastAsia="宋体"/>
                <w:sz w:val="24"/>
                <w:szCs w:val="24"/>
                <w:highlight w:val="none"/>
              </w:rPr>
              <w:t>类份额】：</w:t>
            </w:r>
            <w:r>
              <w:rPr>
                <w:rFonts w:hint="eastAsia" w:ascii="宋体" w:hAnsi="宋体" w:eastAsia="宋体"/>
                <w:b/>
                <w:bCs/>
                <w:sz w:val="24"/>
                <w:szCs w:val="24"/>
                <w:highlight w:val="none"/>
              </w:rPr>
              <w:t>年化【</w:t>
            </w:r>
            <w:r>
              <w:rPr>
                <w:rFonts w:hint="eastAsia" w:ascii="宋体" w:hAnsi="宋体" w:eastAsia="宋体"/>
                <w:b/>
                <w:bCs/>
                <w:sz w:val="24"/>
                <w:szCs w:val="24"/>
                <w:highlight w:val="none"/>
                <w:lang w:val="en-US" w:eastAsia="zh-CN"/>
              </w:rPr>
              <w:t>2.35%-2.85%</w:t>
            </w:r>
            <w:r>
              <w:rPr>
                <w:rFonts w:hint="eastAsia" w:ascii="宋体" w:hAnsi="宋体" w:eastAsia="宋体"/>
                <w:b/>
                <w:bCs/>
                <w:sz w:val="24"/>
                <w:szCs w:val="24"/>
                <w:highlight w:val="none"/>
              </w:rPr>
              <w:t>】</w:t>
            </w:r>
          </w:p>
          <w:p>
            <w:pPr>
              <w:numPr>
                <w:ilvl w:val="255"/>
                <w:numId w:val="0"/>
              </w:numPr>
              <w:spacing w:line="30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F</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2.45%-2.95%</w:t>
            </w:r>
            <w:r>
              <w:rPr>
                <w:rFonts w:hint="eastAsia" w:ascii="宋体" w:hAnsi="宋体" w:eastAsia="宋体"/>
                <w:b/>
                <w:bCs/>
                <w:color w:val="000000" w:themeColor="text1"/>
                <w:sz w:val="24"/>
                <w:szCs w:val="24"/>
                <w:highlight w:val="none"/>
                <w14:textFill>
                  <w14:solidFill>
                    <w14:schemeClr w14:val="tx1"/>
                  </w14:solidFill>
                </w14:textFill>
              </w:rPr>
              <w:t>】</w:t>
            </w:r>
          </w:p>
          <w:p>
            <w:pPr>
              <w:numPr>
                <w:ilvl w:val="255"/>
                <w:numId w:val="0"/>
              </w:numPr>
              <w:spacing w:line="30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G</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2.60%-3.10%</w:t>
            </w:r>
            <w:r>
              <w:rPr>
                <w:rFonts w:hint="eastAsia" w:ascii="宋体" w:hAnsi="宋体" w:eastAsia="宋体"/>
                <w:b/>
                <w:bCs/>
                <w:color w:val="000000" w:themeColor="text1"/>
                <w:sz w:val="24"/>
                <w:szCs w:val="24"/>
                <w:highlight w:val="none"/>
                <w14:textFill>
                  <w14:solidFill>
                    <w14:schemeClr w14:val="tx1"/>
                  </w14:solidFill>
                </w14:textFill>
              </w:rPr>
              <w:t>】</w:t>
            </w:r>
          </w:p>
          <w:p>
            <w:pPr>
              <w:numPr>
                <w:ilvl w:val="255"/>
                <w:numId w:val="0"/>
              </w:numPr>
              <w:spacing w:line="300" w:lineRule="auto"/>
              <w:rPr>
                <w:rFonts w:hint="eastAsia" w:ascii="宋体" w:hAnsi="宋体" w:eastAsia="宋体"/>
                <w:b/>
                <w:bCs/>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H</w:t>
            </w:r>
            <w:r>
              <w:rPr>
                <w:rFonts w:hint="eastAsia" w:ascii="宋体" w:hAnsi="宋体" w:eastAsia="宋体"/>
                <w:sz w:val="24"/>
                <w:szCs w:val="24"/>
                <w:highlight w:val="none"/>
              </w:rPr>
              <w:t>类份额】：</w:t>
            </w:r>
            <w:r>
              <w:rPr>
                <w:rFonts w:hint="eastAsia" w:ascii="宋体" w:hAnsi="宋体" w:eastAsia="宋体"/>
                <w:b/>
                <w:bCs/>
                <w:sz w:val="24"/>
                <w:szCs w:val="24"/>
                <w:highlight w:val="none"/>
              </w:rPr>
              <w:t>年化【</w:t>
            </w:r>
            <w:r>
              <w:rPr>
                <w:rFonts w:hint="eastAsia" w:ascii="宋体" w:hAnsi="宋体" w:eastAsia="宋体"/>
                <w:b/>
                <w:bCs/>
                <w:sz w:val="24"/>
                <w:szCs w:val="24"/>
                <w:highlight w:val="none"/>
                <w:lang w:val="en-US" w:eastAsia="zh-CN"/>
              </w:rPr>
              <w:t>2.60%-3.10%</w:t>
            </w:r>
            <w:r>
              <w:rPr>
                <w:rFonts w:hint="eastAsia" w:ascii="宋体" w:hAnsi="宋体" w:eastAsia="宋体"/>
                <w:b/>
                <w:bCs/>
                <w:sz w:val="24"/>
                <w:szCs w:val="24"/>
                <w:highlight w:val="none"/>
              </w:rPr>
              <w:t>】</w:t>
            </w:r>
          </w:p>
          <w:p>
            <w:pPr>
              <w:numPr>
                <w:ilvl w:val="255"/>
                <w:numId w:val="0"/>
              </w:numPr>
              <w:spacing w:line="30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J</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2.45%-2.95%</w:t>
            </w:r>
            <w:r>
              <w:rPr>
                <w:rFonts w:hint="eastAsia" w:ascii="宋体" w:hAnsi="宋体" w:eastAsia="宋体"/>
                <w:b/>
                <w:bCs/>
                <w:color w:val="000000" w:themeColor="text1"/>
                <w:sz w:val="24"/>
                <w:szCs w:val="24"/>
                <w:highlight w:val="none"/>
                <w14:textFill>
                  <w14:solidFill>
                    <w14:schemeClr w14:val="tx1"/>
                  </w14:solidFill>
                </w14:textFill>
              </w:rPr>
              <w:t>】</w:t>
            </w:r>
          </w:p>
          <w:p>
            <w:pPr>
              <w:numPr>
                <w:ilvl w:val="255"/>
                <w:numId w:val="0"/>
              </w:numPr>
              <w:spacing w:line="30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K</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2.45%-2.95%</w:t>
            </w:r>
            <w:r>
              <w:rPr>
                <w:rFonts w:hint="eastAsia" w:ascii="宋体" w:hAnsi="宋体" w:eastAsia="宋体"/>
                <w:b/>
                <w:bCs/>
                <w:color w:val="000000" w:themeColor="text1"/>
                <w:sz w:val="24"/>
                <w:szCs w:val="24"/>
                <w:highlight w:val="none"/>
                <w14:textFill>
                  <w14:solidFill>
                    <w14:schemeClr w14:val="tx1"/>
                  </w14:solidFill>
                </w14:textFill>
              </w:rPr>
              <w:t>】</w:t>
            </w:r>
          </w:p>
          <w:p>
            <w:pPr>
              <w:numPr>
                <w:ilvl w:val="255"/>
                <w:numId w:val="0"/>
              </w:num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业绩比较基准测算依据：本理财产品为固定收益类产品，以产品投资固定收益类资产仓位80%-100%，其中，非标准化债权类资产仓位0-49%，权益类、商品及金融衍生品类资产仓位合计0%-20%为例，根据当前市场环境下大类资产配置比例及大类资产收益情况，考虑杠杆和费率等因素，并结合产品投资策略进行测算，确定业绩比较基准。</w:t>
            </w:r>
          </w:p>
          <w:p>
            <w:pPr>
              <w:numPr>
                <w:ilvl w:val="255"/>
                <w:numId w:val="0"/>
              </w:num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2.关于</w:t>
            </w:r>
            <w:r>
              <w:rPr>
                <w:rFonts w:ascii="宋体" w:hAnsi="宋体" w:eastAsia="宋体"/>
                <w:sz w:val="24"/>
                <w:szCs w:val="24"/>
                <w:highlight w:val="none"/>
              </w:rPr>
              <w:t>业绩比较基准的</w:t>
            </w:r>
            <w:r>
              <w:rPr>
                <w:rFonts w:hint="eastAsia" w:ascii="宋体" w:hAnsi="宋体" w:eastAsia="宋体"/>
                <w:sz w:val="24"/>
                <w:szCs w:val="24"/>
                <w:highlight w:val="none"/>
              </w:rPr>
              <w:t>重要</w:t>
            </w:r>
            <w:r>
              <w:rPr>
                <w:rFonts w:ascii="宋体" w:hAnsi="宋体" w:eastAsia="宋体"/>
                <w:sz w:val="24"/>
                <w:szCs w:val="24"/>
                <w:highlight w:val="none"/>
              </w:rPr>
              <w:t>提示：</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1）</w:t>
            </w:r>
            <w:r>
              <w:rPr>
                <w:rFonts w:hint="eastAsia" w:ascii="宋体" w:hAnsi="宋体" w:eastAsia="宋体"/>
                <w:b/>
                <w:bCs/>
                <w:sz w:val="24"/>
                <w:szCs w:val="24"/>
                <w:highlight w:val="none"/>
              </w:rPr>
              <w:t>业绩比较基准不是预期收益率，不代表产品的未来表现和实际收益，不构成对产品收益的承诺；</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2）</w:t>
            </w:r>
            <w:r>
              <w:rPr>
                <w:rFonts w:hint="eastAsia" w:ascii="宋体" w:hAnsi="宋体" w:eastAsia="宋体"/>
                <w:sz w:val="24"/>
                <w:szCs w:val="24"/>
                <w:highlight w:val="none"/>
              </w:rPr>
              <w:t>理财产品认购及存续期间，管理人有权根据市场情况的变化或投资配置方案的调整等原因，对业绩比较基准进行调整，如有调整，具体以管理人公告为准。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超额业绩报酬计提基准</w:t>
            </w:r>
          </w:p>
        </w:tc>
        <w:tc>
          <w:tcPr>
            <w:tcW w:w="6030" w:type="dxa"/>
            <w:vAlign w:val="center"/>
          </w:tcPr>
          <w:p>
            <w:pPr>
              <w:numPr>
                <w:ilvl w:val="255"/>
                <w:numId w:val="0"/>
              </w:numPr>
              <w:spacing w:line="300" w:lineRule="auto"/>
              <w:rPr>
                <w:rFonts w:hint="eastAsia" w:ascii="宋体" w:hAnsi="宋体" w:eastAsia="宋体"/>
                <w:b/>
                <w:bCs/>
                <w:sz w:val="24"/>
                <w:szCs w:val="24"/>
                <w:highlight w:val="none"/>
              </w:rPr>
            </w:pPr>
            <w:r>
              <w:rPr>
                <w:rFonts w:hint="eastAsia" w:ascii="宋体" w:hAnsi="宋体" w:eastAsia="宋体"/>
                <w:b/>
                <w:bCs/>
                <w:sz w:val="24"/>
                <w:szCs w:val="24"/>
                <w:highlight w:val="none"/>
              </w:rPr>
              <w:t>1.本理财产品</w:t>
            </w:r>
            <w:r>
              <w:rPr>
                <w:rFonts w:hint="eastAsia" w:ascii="宋体" w:hAnsi="宋体" w:eastAsia="宋体" w:cs="宋体"/>
                <w:b/>
                <w:bCs/>
                <w:sz w:val="24"/>
                <w:szCs w:val="24"/>
                <w:highlight w:val="none"/>
              </w:rPr>
              <w:t>收取</w:t>
            </w:r>
            <w:r>
              <w:rPr>
                <w:rFonts w:hint="eastAsia" w:ascii="宋体" w:hAnsi="宋体" w:eastAsia="宋体"/>
                <w:b/>
                <w:bCs/>
                <w:sz w:val="24"/>
                <w:szCs w:val="24"/>
                <w:highlight w:val="none"/>
              </w:rPr>
              <w:t>超额业绩报酬</w:t>
            </w:r>
            <w:r>
              <w:rPr>
                <w:rFonts w:ascii="宋体" w:hAnsi="宋体" w:eastAsia="宋体"/>
                <w:b/>
                <w:bCs/>
                <w:sz w:val="24"/>
                <w:szCs w:val="24"/>
                <w:highlight w:val="none"/>
              </w:rPr>
              <w:t>,</w:t>
            </w:r>
            <w:r>
              <w:rPr>
                <w:rFonts w:hint="eastAsia" w:ascii="宋体" w:hAnsi="宋体" w:eastAsia="宋体"/>
                <w:b/>
                <w:bCs/>
                <w:sz w:val="24"/>
                <w:szCs w:val="24"/>
                <w:highlight w:val="none"/>
              </w:rPr>
              <w:t>超额业绩报酬计提基准为：</w:t>
            </w:r>
          </w:p>
          <w:p>
            <w:pPr>
              <w:numPr>
                <w:ilvl w:val="255"/>
                <w:numId w:val="0"/>
              </w:numPr>
              <w:spacing w:line="300" w:lineRule="auto"/>
              <w:rPr>
                <w:rFonts w:hint="eastAsia" w:ascii="宋体" w:hAnsi="宋体" w:eastAsia="宋体"/>
                <w:sz w:val="24"/>
                <w:szCs w:val="24"/>
                <w:highlight w:val="none"/>
              </w:rPr>
            </w:pPr>
            <w:r>
              <w:rPr>
                <w:rFonts w:hint="eastAsia" w:ascii="宋体" w:hAnsi="宋体" w:eastAsia="宋体" w:cs="宋体"/>
                <w:b/>
                <w:bCs/>
                <w:sz w:val="24"/>
                <w:szCs w:val="24"/>
                <w:highlight w:val="none"/>
              </w:rPr>
              <w:t>★【A类份额】：</w:t>
            </w:r>
            <w:r>
              <w:rPr>
                <w:rFonts w:hint="eastAsia" w:ascii="宋体" w:hAnsi="宋体" w:eastAsia="宋体"/>
                <w:b/>
                <w:bCs/>
                <w:sz w:val="24"/>
                <w:szCs w:val="24"/>
                <w:highlight w:val="none"/>
              </w:rPr>
              <w:t>年化【</w:t>
            </w:r>
            <w:r>
              <w:rPr>
                <w:rFonts w:hint="eastAsia" w:ascii="宋体" w:hAnsi="宋体" w:eastAsia="宋体"/>
                <w:b/>
                <w:bCs/>
                <w:sz w:val="24"/>
                <w:szCs w:val="24"/>
                <w:highlight w:val="none"/>
                <w:lang w:val="en-US" w:eastAsia="zh-CN"/>
              </w:rPr>
              <w:t>2.75%</w:t>
            </w:r>
            <w:r>
              <w:rPr>
                <w:rFonts w:hint="eastAsia" w:ascii="宋体" w:hAnsi="宋体" w:eastAsia="宋体"/>
                <w:b/>
                <w:bCs/>
                <w:sz w:val="24"/>
                <w:szCs w:val="24"/>
                <w:highlight w:val="none"/>
              </w:rPr>
              <w:t>】</w:t>
            </w:r>
          </w:p>
          <w:p>
            <w:pPr>
              <w:spacing w:line="300" w:lineRule="auto"/>
              <w:jc w:val="left"/>
              <w:rPr>
                <w:rFonts w:hint="eastAsia" w:ascii="宋体" w:hAnsi="宋体" w:eastAsia="宋体"/>
                <w:b/>
                <w:bCs/>
                <w:sz w:val="24"/>
                <w:szCs w:val="24"/>
                <w:highlight w:val="none"/>
              </w:rPr>
            </w:pPr>
            <w:r>
              <w:rPr>
                <w:rFonts w:hint="eastAsia" w:ascii="宋体" w:hAnsi="宋体" w:eastAsia="宋体" w:cs="宋体"/>
                <w:b/>
                <w:bCs/>
                <w:sz w:val="24"/>
                <w:szCs w:val="24"/>
                <w:highlight w:val="none"/>
              </w:rPr>
              <w:t>★【B类份额】：</w:t>
            </w:r>
            <w:r>
              <w:rPr>
                <w:rFonts w:hint="eastAsia" w:ascii="宋体" w:hAnsi="宋体" w:eastAsia="宋体"/>
                <w:b/>
                <w:bCs/>
                <w:sz w:val="24"/>
                <w:szCs w:val="24"/>
                <w:highlight w:val="none"/>
              </w:rPr>
              <w:t>年化【</w:t>
            </w:r>
            <w:r>
              <w:rPr>
                <w:rFonts w:hint="eastAsia" w:ascii="宋体" w:hAnsi="宋体" w:eastAsia="宋体"/>
                <w:b/>
                <w:bCs/>
                <w:sz w:val="24"/>
                <w:szCs w:val="24"/>
                <w:highlight w:val="none"/>
                <w:lang w:val="en-US" w:eastAsia="zh-CN"/>
              </w:rPr>
              <w:t>2.70%</w:t>
            </w:r>
            <w:r>
              <w:rPr>
                <w:rFonts w:hint="eastAsia" w:ascii="宋体" w:hAnsi="宋体" w:eastAsia="宋体"/>
                <w:b/>
                <w:bCs/>
                <w:sz w:val="24"/>
                <w:szCs w:val="24"/>
                <w:highlight w:val="none"/>
              </w:rPr>
              <w:t>】</w:t>
            </w:r>
          </w:p>
          <w:p>
            <w:pPr>
              <w:spacing w:line="300" w:lineRule="auto"/>
              <w:jc w:val="left"/>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C</w:t>
            </w:r>
            <w:r>
              <w:rPr>
                <w:rFonts w:hint="eastAsia" w:ascii="宋体" w:hAnsi="宋体" w:eastAsia="宋体" w:cs="宋体"/>
                <w:b/>
                <w:bCs/>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2.80%</w:t>
            </w:r>
            <w:r>
              <w:rPr>
                <w:rFonts w:hint="eastAsia" w:ascii="宋体" w:hAnsi="宋体" w:eastAsia="宋体"/>
                <w:b/>
                <w:bCs/>
                <w:color w:val="000000" w:themeColor="text1"/>
                <w:sz w:val="24"/>
                <w:szCs w:val="24"/>
                <w:highlight w:val="none"/>
                <w14:textFill>
                  <w14:solidFill>
                    <w14:schemeClr w14:val="tx1"/>
                  </w14:solidFill>
                </w14:textFill>
              </w:rPr>
              <w:t>】</w:t>
            </w:r>
          </w:p>
          <w:p>
            <w:pPr>
              <w:spacing w:line="300" w:lineRule="auto"/>
              <w:jc w:val="left"/>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D</w:t>
            </w:r>
            <w:r>
              <w:rPr>
                <w:rFonts w:hint="eastAsia" w:ascii="宋体" w:hAnsi="宋体" w:eastAsia="宋体" w:cs="宋体"/>
                <w:b/>
                <w:bCs/>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2.65%</w:t>
            </w:r>
            <w:r>
              <w:rPr>
                <w:rFonts w:hint="eastAsia" w:ascii="宋体" w:hAnsi="宋体" w:eastAsia="宋体"/>
                <w:b/>
                <w:bCs/>
                <w:color w:val="000000" w:themeColor="text1"/>
                <w:sz w:val="24"/>
                <w:szCs w:val="24"/>
                <w:highlight w:val="none"/>
                <w14:textFill>
                  <w14:solidFill>
                    <w14:schemeClr w14:val="tx1"/>
                  </w14:solidFill>
                </w14:textFill>
              </w:rPr>
              <w:t>】</w:t>
            </w:r>
          </w:p>
          <w:p>
            <w:pPr>
              <w:spacing w:line="300" w:lineRule="auto"/>
              <w:jc w:val="left"/>
              <w:rPr>
                <w:rFonts w:hint="eastAsia" w:ascii="宋体" w:hAnsi="宋体" w:eastAsia="宋体"/>
                <w:b/>
                <w:bCs/>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E</w:t>
            </w:r>
            <w:r>
              <w:rPr>
                <w:rFonts w:hint="eastAsia" w:ascii="宋体" w:hAnsi="宋体" w:eastAsia="宋体" w:cs="宋体"/>
                <w:b/>
                <w:bCs/>
                <w:sz w:val="24"/>
                <w:szCs w:val="24"/>
                <w:highlight w:val="none"/>
              </w:rPr>
              <w:t>类份额】：</w:t>
            </w:r>
            <w:r>
              <w:rPr>
                <w:rFonts w:hint="eastAsia" w:ascii="宋体" w:hAnsi="宋体" w:eastAsia="宋体"/>
                <w:b/>
                <w:bCs/>
                <w:sz w:val="24"/>
                <w:szCs w:val="24"/>
                <w:highlight w:val="none"/>
              </w:rPr>
              <w:t>年化【</w:t>
            </w:r>
            <w:r>
              <w:rPr>
                <w:rFonts w:hint="eastAsia" w:ascii="宋体" w:hAnsi="宋体" w:eastAsia="宋体"/>
                <w:b/>
                <w:bCs/>
                <w:sz w:val="24"/>
                <w:szCs w:val="24"/>
                <w:highlight w:val="none"/>
                <w:lang w:val="en-US" w:eastAsia="zh-CN"/>
              </w:rPr>
              <w:t>2.60%</w:t>
            </w:r>
            <w:r>
              <w:rPr>
                <w:rFonts w:hint="eastAsia" w:ascii="宋体" w:hAnsi="宋体" w:eastAsia="宋体"/>
                <w:b/>
                <w:bCs/>
                <w:sz w:val="24"/>
                <w:szCs w:val="24"/>
                <w:highlight w:val="none"/>
              </w:rPr>
              <w:t>】</w:t>
            </w:r>
          </w:p>
          <w:p>
            <w:pPr>
              <w:spacing w:line="300" w:lineRule="auto"/>
              <w:jc w:val="left"/>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F</w:t>
            </w:r>
            <w:r>
              <w:rPr>
                <w:rFonts w:hint="eastAsia" w:ascii="宋体" w:hAnsi="宋体" w:eastAsia="宋体" w:cs="宋体"/>
                <w:b/>
                <w:bCs/>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2.70%</w:t>
            </w:r>
            <w:r>
              <w:rPr>
                <w:rFonts w:hint="eastAsia" w:ascii="宋体" w:hAnsi="宋体" w:eastAsia="宋体"/>
                <w:b/>
                <w:bCs/>
                <w:color w:val="000000" w:themeColor="text1"/>
                <w:sz w:val="24"/>
                <w:szCs w:val="24"/>
                <w:highlight w:val="none"/>
                <w14:textFill>
                  <w14:solidFill>
                    <w14:schemeClr w14:val="tx1"/>
                  </w14:solidFill>
                </w14:textFill>
              </w:rPr>
              <w:t>】</w:t>
            </w:r>
          </w:p>
          <w:p>
            <w:pPr>
              <w:spacing w:line="300" w:lineRule="auto"/>
              <w:jc w:val="left"/>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G</w:t>
            </w:r>
            <w:r>
              <w:rPr>
                <w:rFonts w:hint="eastAsia" w:ascii="宋体" w:hAnsi="宋体" w:eastAsia="宋体" w:cs="宋体"/>
                <w:b/>
                <w:bCs/>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2.85%</w:t>
            </w:r>
            <w:r>
              <w:rPr>
                <w:rFonts w:hint="eastAsia" w:ascii="宋体" w:hAnsi="宋体" w:eastAsia="宋体"/>
                <w:b/>
                <w:bCs/>
                <w:color w:val="000000" w:themeColor="text1"/>
                <w:sz w:val="24"/>
                <w:szCs w:val="24"/>
                <w:highlight w:val="none"/>
                <w14:textFill>
                  <w14:solidFill>
                    <w14:schemeClr w14:val="tx1"/>
                  </w14:solidFill>
                </w14:textFill>
              </w:rPr>
              <w:t>】</w:t>
            </w:r>
          </w:p>
          <w:p>
            <w:pPr>
              <w:spacing w:line="300" w:lineRule="auto"/>
              <w:jc w:val="left"/>
              <w:rPr>
                <w:rFonts w:hint="eastAsia" w:ascii="宋体" w:hAnsi="宋体" w:eastAsia="宋体"/>
                <w:b/>
                <w:bCs/>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H</w:t>
            </w:r>
            <w:r>
              <w:rPr>
                <w:rFonts w:hint="eastAsia" w:ascii="宋体" w:hAnsi="宋体" w:eastAsia="宋体" w:cs="宋体"/>
                <w:b/>
                <w:bCs/>
                <w:sz w:val="24"/>
                <w:szCs w:val="24"/>
                <w:highlight w:val="none"/>
              </w:rPr>
              <w:t>类份额】：</w:t>
            </w:r>
            <w:r>
              <w:rPr>
                <w:rFonts w:hint="eastAsia" w:ascii="宋体" w:hAnsi="宋体" w:eastAsia="宋体"/>
                <w:b/>
                <w:bCs/>
                <w:sz w:val="24"/>
                <w:szCs w:val="24"/>
                <w:highlight w:val="none"/>
              </w:rPr>
              <w:t>年化【</w:t>
            </w:r>
            <w:r>
              <w:rPr>
                <w:rFonts w:hint="eastAsia" w:ascii="宋体" w:hAnsi="宋体" w:eastAsia="宋体"/>
                <w:b/>
                <w:bCs/>
                <w:sz w:val="24"/>
                <w:szCs w:val="24"/>
                <w:highlight w:val="none"/>
                <w:lang w:val="en-US" w:eastAsia="zh-CN"/>
              </w:rPr>
              <w:t>2.85%</w:t>
            </w:r>
            <w:r>
              <w:rPr>
                <w:rFonts w:hint="eastAsia" w:ascii="宋体" w:hAnsi="宋体" w:eastAsia="宋体"/>
                <w:b/>
                <w:bCs/>
                <w:sz w:val="24"/>
                <w:szCs w:val="24"/>
                <w:highlight w:val="none"/>
              </w:rPr>
              <w:t>】</w:t>
            </w:r>
          </w:p>
          <w:p>
            <w:pPr>
              <w:spacing w:line="300" w:lineRule="auto"/>
              <w:jc w:val="left"/>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J</w:t>
            </w:r>
            <w:r>
              <w:rPr>
                <w:rFonts w:hint="eastAsia" w:ascii="宋体" w:hAnsi="宋体" w:eastAsia="宋体" w:cs="宋体"/>
                <w:b/>
                <w:bCs/>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2.70%</w:t>
            </w:r>
            <w:r>
              <w:rPr>
                <w:rFonts w:hint="eastAsia" w:ascii="宋体" w:hAnsi="宋体" w:eastAsia="宋体"/>
                <w:b/>
                <w:bCs/>
                <w:color w:val="000000" w:themeColor="text1"/>
                <w:sz w:val="24"/>
                <w:szCs w:val="24"/>
                <w:highlight w:val="none"/>
                <w14:textFill>
                  <w14:solidFill>
                    <w14:schemeClr w14:val="tx1"/>
                  </w14:solidFill>
                </w14:textFill>
              </w:rPr>
              <w:t>】</w:t>
            </w:r>
          </w:p>
          <w:p>
            <w:pPr>
              <w:spacing w:line="300" w:lineRule="auto"/>
              <w:jc w:val="left"/>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K</w:t>
            </w:r>
            <w:r>
              <w:rPr>
                <w:rFonts w:hint="eastAsia" w:ascii="宋体" w:hAnsi="宋体" w:eastAsia="宋体" w:cs="宋体"/>
                <w:b/>
                <w:bCs/>
                <w:color w:val="000000" w:themeColor="text1"/>
                <w:sz w:val="24"/>
                <w:szCs w:val="24"/>
                <w:highlight w:val="none"/>
                <w14:textFill>
                  <w14:solidFill>
                    <w14:schemeClr w14:val="tx1"/>
                  </w14:solidFill>
                </w14:textFill>
              </w:rPr>
              <w:t>类份额】：</w:t>
            </w:r>
            <w:r>
              <w:rPr>
                <w:rFonts w:hint="eastAsia" w:ascii="宋体" w:hAnsi="宋体" w:eastAsia="宋体"/>
                <w:b/>
                <w:bCs/>
                <w:color w:val="000000" w:themeColor="text1"/>
                <w:sz w:val="24"/>
                <w:szCs w:val="24"/>
                <w:highlight w:val="none"/>
                <w14:textFill>
                  <w14:solidFill>
                    <w14:schemeClr w14:val="tx1"/>
                  </w14:solidFill>
                </w14:textFill>
              </w:rPr>
              <w:t>年化【</w:t>
            </w:r>
            <w:r>
              <w:rPr>
                <w:rFonts w:hint="eastAsia" w:ascii="宋体" w:hAnsi="宋体" w:eastAsia="宋体"/>
                <w:b/>
                <w:bCs/>
                <w:sz w:val="24"/>
                <w:szCs w:val="24"/>
                <w:highlight w:val="none"/>
                <w:lang w:val="en-US" w:eastAsia="zh-CN"/>
              </w:rPr>
              <w:t>2.70%</w:t>
            </w:r>
            <w:r>
              <w:rPr>
                <w:rFonts w:hint="eastAsia" w:ascii="宋体" w:hAnsi="宋体" w:eastAsia="宋体"/>
                <w:b/>
                <w:bCs/>
                <w:color w:val="000000" w:themeColor="text1"/>
                <w:sz w:val="24"/>
                <w:szCs w:val="24"/>
                <w:highlight w:val="none"/>
                <w14:textFill>
                  <w14:solidFill>
                    <w14:schemeClr w14:val="tx1"/>
                  </w14:solidFill>
                </w14:textFill>
              </w:rPr>
              <w:t>】</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关于超额</w:t>
            </w:r>
            <w:r>
              <w:rPr>
                <w:rFonts w:ascii="宋体" w:hAnsi="宋体" w:eastAsia="宋体"/>
                <w:sz w:val="24"/>
                <w:szCs w:val="24"/>
                <w:highlight w:val="none"/>
              </w:rPr>
              <w:t>业绩报酬计提基准的</w:t>
            </w:r>
            <w:r>
              <w:rPr>
                <w:rFonts w:hint="eastAsia" w:ascii="宋体" w:hAnsi="宋体" w:eastAsia="宋体"/>
                <w:sz w:val="24"/>
                <w:szCs w:val="24"/>
                <w:highlight w:val="none"/>
              </w:rPr>
              <w:t>重点</w:t>
            </w:r>
            <w:r>
              <w:rPr>
                <w:rFonts w:ascii="宋体" w:hAnsi="宋体" w:eastAsia="宋体"/>
                <w:sz w:val="24"/>
                <w:szCs w:val="24"/>
                <w:highlight w:val="none"/>
              </w:rPr>
              <w:t>提示：</w:t>
            </w:r>
          </w:p>
          <w:p>
            <w:pPr>
              <w:spacing w:line="300" w:lineRule="auto"/>
              <w:rPr>
                <w:rFonts w:hint="eastAsia" w:ascii="宋体" w:hAnsi="宋体" w:eastAsia="宋体"/>
                <w:b/>
                <w:bCs/>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1）</w:t>
            </w:r>
            <w:r>
              <w:rPr>
                <w:rFonts w:hint="eastAsia" w:ascii="宋体" w:hAnsi="宋体" w:eastAsia="宋体"/>
                <w:b/>
                <w:bCs/>
                <w:sz w:val="24"/>
                <w:szCs w:val="24"/>
                <w:highlight w:val="none"/>
              </w:rPr>
              <w:t>超额</w:t>
            </w:r>
            <w:r>
              <w:rPr>
                <w:rFonts w:ascii="宋体" w:hAnsi="宋体" w:eastAsia="宋体"/>
                <w:b/>
                <w:bCs/>
                <w:sz w:val="24"/>
                <w:szCs w:val="24"/>
                <w:highlight w:val="none"/>
              </w:rPr>
              <w:t>业绩报酬计提基准仅作为</w:t>
            </w:r>
            <w:r>
              <w:rPr>
                <w:rFonts w:hint="eastAsia" w:ascii="宋体" w:hAnsi="宋体" w:eastAsia="宋体"/>
                <w:b/>
                <w:bCs/>
                <w:sz w:val="24"/>
                <w:szCs w:val="24"/>
                <w:highlight w:val="none"/>
              </w:rPr>
              <w:t>产品</w:t>
            </w:r>
            <w:r>
              <w:rPr>
                <w:rFonts w:ascii="宋体" w:hAnsi="宋体" w:eastAsia="宋体"/>
                <w:b/>
                <w:bCs/>
                <w:sz w:val="24"/>
                <w:szCs w:val="24"/>
                <w:highlight w:val="none"/>
              </w:rPr>
              <w:t>管理人收取超额业绩报酬</w:t>
            </w:r>
            <w:r>
              <w:rPr>
                <w:rFonts w:hint="eastAsia" w:ascii="宋体" w:hAnsi="宋体" w:eastAsia="宋体"/>
                <w:b/>
                <w:bCs/>
                <w:sz w:val="24"/>
                <w:szCs w:val="24"/>
                <w:highlight w:val="none"/>
              </w:rPr>
              <w:t>的参照数值标准，不代表理财产品未来表现，不等于理财产品实际收益，不作为产品收益的业绩保证，投资须谨慎。</w:t>
            </w:r>
          </w:p>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2）</w:t>
            </w:r>
            <w:r>
              <w:rPr>
                <w:rFonts w:hint="eastAsia" w:ascii="宋体" w:hAnsi="宋体" w:eastAsia="宋体"/>
                <w:sz w:val="24"/>
                <w:szCs w:val="24"/>
                <w:highlight w:val="none"/>
              </w:rPr>
              <w:t>理财产品认购及存续期间，管理人有权根据市场情况的变化或投资配置方案的调整等原因，对超额业绩报酬计提基准进行调整，如有调整，具体以管理人公告为准。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理财产品利益分配</w:t>
            </w:r>
          </w:p>
        </w:tc>
        <w:tc>
          <w:tcPr>
            <w:tcW w:w="6030" w:type="dxa"/>
            <w:vAlign w:val="center"/>
          </w:tcPr>
          <w:p>
            <w:pPr>
              <w:spacing w:line="300" w:lineRule="auto"/>
              <w:rPr>
                <w:rFonts w:hint="eastAsia" w:ascii="宋体" w:hAnsi="宋体" w:eastAsia="宋体"/>
                <w:sz w:val="24"/>
                <w:szCs w:val="24"/>
                <w:highlight w:val="none"/>
              </w:rPr>
            </w:pPr>
            <w:r>
              <w:rPr>
                <w:rFonts w:ascii="宋体" w:hAnsi="宋体" w:eastAsia="宋体"/>
                <w:sz w:val="24"/>
                <w:szCs w:val="24"/>
                <w:highlight w:val="none"/>
              </w:rPr>
              <w:t>1.理财产品存续期间，产品管理人有权视理财产品收益情</w:t>
            </w:r>
            <w:r>
              <w:rPr>
                <w:rFonts w:hint="eastAsia" w:ascii="宋体" w:hAnsi="宋体" w:eastAsia="宋体"/>
                <w:sz w:val="24"/>
                <w:szCs w:val="24"/>
                <w:highlight w:val="none"/>
              </w:rPr>
              <w:t>况进行主动分配，相应分配基准日、分配方案由产品管理人及时披露；</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2.理财产品利益分配</w:t>
            </w:r>
            <w:r>
              <w:rPr>
                <w:rFonts w:hint="eastAsia" w:ascii="宋体" w:hAnsi="宋体" w:eastAsia="宋体"/>
                <w:sz w:val="24"/>
                <w:szCs w:val="24"/>
                <w:highlight w:val="none"/>
              </w:rPr>
              <w:t>具体内容</w:t>
            </w:r>
            <w:r>
              <w:rPr>
                <w:rFonts w:ascii="宋体" w:hAnsi="宋体" w:eastAsia="宋体"/>
                <w:sz w:val="24"/>
                <w:szCs w:val="24"/>
                <w:highlight w:val="none"/>
              </w:rPr>
              <w:t>详见《理财产品说明书》“八</w:t>
            </w:r>
            <w:r>
              <w:rPr>
                <w:rFonts w:hint="eastAsia" w:ascii="宋体" w:hAnsi="宋体" w:eastAsia="宋体"/>
                <w:sz w:val="24"/>
                <w:szCs w:val="24"/>
                <w:highlight w:val="none"/>
              </w:rPr>
              <w:t>、理财资金分配”。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b/>
                <w:bCs/>
                <w:sz w:val="24"/>
                <w:szCs w:val="24"/>
                <w:highlight w:val="none"/>
              </w:rPr>
            </w:pPr>
            <w:r>
              <w:rPr>
                <w:rFonts w:hint="eastAsia" w:ascii="宋体" w:hAnsi="宋体" w:eastAsia="宋体"/>
                <w:b/>
                <w:bCs/>
                <w:sz w:val="24"/>
                <w:szCs w:val="24"/>
                <w:highlight w:val="none"/>
              </w:rPr>
              <w:t>理财产品费用</w:t>
            </w:r>
          </w:p>
        </w:tc>
        <w:tc>
          <w:tcPr>
            <w:tcW w:w="6030" w:type="dxa"/>
            <w:vAlign w:val="center"/>
          </w:tcPr>
          <w:p>
            <w:pPr>
              <w:numPr>
                <w:ilvl w:val="255"/>
                <w:numId w:val="0"/>
              </w:num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1.认购费：本理财产品不收取认购费；</w:t>
            </w:r>
          </w:p>
          <w:p>
            <w:pPr>
              <w:numPr>
                <w:ilvl w:val="255"/>
                <w:numId w:val="0"/>
              </w:num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2.销售服务费：</w:t>
            </w:r>
          </w:p>
          <w:p>
            <w:pPr>
              <w:numPr>
                <w:ilvl w:val="255"/>
                <w:numId w:val="0"/>
              </w:numPr>
              <w:spacing w:line="300" w:lineRule="auto"/>
              <w:outlineLvl w:val="0"/>
              <w:rPr>
                <w:rFonts w:hint="eastAsia" w:ascii="宋体" w:hAnsi="宋体" w:eastAsia="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b/>
                <w:bCs/>
                <w:sz w:val="24"/>
                <w:szCs w:val="24"/>
                <w:highlight w:val="none"/>
              </w:rPr>
              <w:t>A类份额】：【</w:t>
            </w:r>
            <w:r>
              <w:rPr>
                <w:rFonts w:hint="eastAsia" w:ascii="宋体" w:hAnsi="宋体" w:eastAsia="宋体"/>
                <w:b/>
                <w:bCs/>
                <w:sz w:val="24"/>
                <w:szCs w:val="24"/>
                <w:highlight w:val="none"/>
                <w:lang w:val="en-US" w:eastAsia="zh-CN"/>
              </w:rPr>
              <w:t>0.15</w:t>
            </w:r>
            <w:r>
              <w:rPr>
                <w:rFonts w:hint="eastAsia" w:ascii="宋体" w:hAnsi="宋体" w:eastAsia="宋体"/>
                <w:b/>
                <w:bCs/>
                <w:sz w:val="24"/>
                <w:szCs w:val="24"/>
                <w:highlight w:val="none"/>
              </w:rPr>
              <w:t>】%/年</w:t>
            </w:r>
            <w:r>
              <w:rPr>
                <w:rFonts w:hint="eastAsia" w:ascii="宋体" w:hAnsi="宋体" w:eastAsia="宋体"/>
                <w:sz w:val="24"/>
                <w:szCs w:val="24"/>
                <w:highlight w:val="none"/>
              </w:rPr>
              <w:t>。</w:t>
            </w:r>
          </w:p>
          <w:p>
            <w:pPr>
              <w:numPr>
                <w:ilvl w:val="255"/>
                <w:numId w:val="0"/>
              </w:numPr>
              <w:spacing w:line="300" w:lineRule="auto"/>
              <w:outlineLvl w:val="0"/>
              <w:rPr>
                <w:rFonts w:hint="eastAsia" w:ascii="宋体" w:hAnsi="宋体" w:eastAsia="宋体"/>
                <w:sz w:val="24"/>
                <w:szCs w:val="24"/>
                <w:highlight w:val="none"/>
              </w:rPr>
            </w:pPr>
            <w:r>
              <w:rPr>
                <w:rFonts w:hint="eastAsia" w:ascii="宋体" w:hAnsi="宋体" w:eastAsia="宋体" w:cs="宋体"/>
                <w:b/>
                <w:bCs/>
                <w:sz w:val="24"/>
                <w:szCs w:val="24"/>
                <w:highlight w:val="none"/>
              </w:rPr>
              <w:t>★【B</w:t>
            </w:r>
            <w:r>
              <w:rPr>
                <w:rFonts w:hint="eastAsia" w:ascii="宋体" w:hAnsi="宋体" w:eastAsia="宋体"/>
                <w:b/>
                <w:bCs/>
                <w:sz w:val="24"/>
                <w:szCs w:val="24"/>
                <w:highlight w:val="none"/>
              </w:rPr>
              <w:t>类份额】：【</w:t>
            </w:r>
            <w:r>
              <w:rPr>
                <w:rFonts w:hint="eastAsia" w:ascii="宋体" w:hAnsi="宋体" w:eastAsia="宋体"/>
                <w:b/>
                <w:bCs/>
                <w:sz w:val="24"/>
                <w:szCs w:val="24"/>
                <w:highlight w:val="none"/>
                <w:lang w:val="en-US" w:eastAsia="zh-CN"/>
              </w:rPr>
              <w:t>0.20</w:t>
            </w:r>
            <w:r>
              <w:rPr>
                <w:rFonts w:hint="eastAsia" w:ascii="宋体" w:hAnsi="宋体" w:eastAsia="宋体"/>
                <w:b/>
                <w:bCs/>
                <w:sz w:val="24"/>
                <w:szCs w:val="24"/>
                <w:highlight w:val="none"/>
              </w:rPr>
              <w:t>】%/年</w:t>
            </w:r>
            <w:r>
              <w:rPr>
                <w:rFonts w:hint="eastAsia" w:ascii="宋体" w:hAnsi="宋体" w:eastAsia="宋体"/>
                <w:sz w:val="24"/>
                <w:szCs w:val="24"/>
                <w:highlight w:val="none"/>
              </w:rPr>
              <w:t>。</w:t>
            </w:r>
          </w:p>
          <w:p>
            <w:pPr>
              <w:numPr>
                <w:ilvl w:val="255"/>
                <w:numId w:val="0"/>
              </w:numPr>
              <w:spacing w:line="300" w:lineRule="auto"/>
              <w:outlineLvl w:val="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C</w:t>
            </w:r>
            <w:r>
              <w:rPr>
                <w:rFonts w:hint="eastAsia" w:ascii="宋体" w:hAnsi="宋体" w:eastAsia="宋体"/>
                <w:b/>
                <w:bCs/>
                <w:color w:val="000000" w:themeColor="text1"/>
                <w:sz w:val="24"/>
                <w:szCs w:val="24"/>
                <w:highlight w:val="none"/>
                <w14:textFill>
                  <w14:solidFill>
                    <w14:schemeClr w14:val="tx1"/>
                  </w14:solidFill>
                </w14:textFill>
              </w:rPr>
              <w:t>类份额】：【</w:t>
            </w:r>
            <w:r>
              <w:rPr>
                <w:rFonts w:hint="eastAsia" w:ascii="宋体" w:hAnsi="宋体" w:eastAsia="宋体"/>
                <w:b/>
                <w:bCs/>
                <w:sz w:val="24"/>
                <w:szCs w:val="24"/>
                <w:highlight w:val="none"/>
                <w:lang w:val="en-US" w:eastAsia="zh-CN"/>
              </w:rPr>
              <w:t>0.10</w:t>
            </w:r>
            <w:r>
              <w:rPr>
                <w:rFonts w:hint="eastAsia" w:ascii="宋体" w:hAnsi="宋体" w:eastAsia="宋体"/>
                <w:b/>
                <w:bCs/>
                <w:color w:val="000000" w:themeColor="text1"/>
                <w:sz w:val="24"/>
                <w:szCs w:val="24"/>
                <w:highlight w:val="none"/>
                <w14:textFill>
                  <w14:solidFill>
                    <w14:schemeClr w14:val="tx1"/>
                  </w14:solidFill>
                </w14:textFill>
              </w:rPr>
              <w:t>】%/年</w:t>
            </w:r>
            <w:r>
              <w:rPr>
                <w:rFonts w:hint="eastAsia" w:ascii="宋体" w:hAnsi="宋体" w:eastAsia="宋体"/>
                <w:color w:val="000000" w:themeColor="text1"/>
                <w:sz w:val="24"/>
                <w:szCs w:val="24"/>
                <w:highlight w:val="none"/>
                <w14:textFill>
                  <w14:solidFill>
                    <w14:schemeClr w14:val="tx1"/>
                  </w14:solidFill>
                </w14:textFill>
              </w:rPr>
              <w:t>。</w:t>
            </w:r>
          </w:p>
          <w:p>
            <w:pPr>
              <w:numPr>
                <w:ilvl w:val="255"/>
                <w:numId w:val="0"/>
              </w:numPr>
              <w:spacing w:line="300" w:lineRule="auto"/>
              <w:outlineLvl w:val="0"/>
              <w:rPr>
                <w:rFonts w:hint="eastAsia" w:ascii="宋体" w:hAnsi="宋体" w:eastAsia="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b/>
                <w:bCs/>
                <w:color w:val="000000" w:themeColor="text1"/>
                <w:sz w:val="24"/>
                <w:szCs w:val="24"/>
                <w:highlight w:val="none"/>
                <w:lang w:val="en-US" w:eastAsia="zh-CN"/>
                <w14:textFill>
                  <w14:solidFill>
                    <w14:schemeClr w14:val="tx1"/>
                  </w14:solidFill>
                </w14:textFill>
              </w:rPr>
              <w:t>D</w:t>
            </w:r>
            <w:r>
              <w:rPr>
                <w:rFonts w:hint="eastAsia" w:ascii="宋体" w:hAnsi="宋体" w:eastAsia="宋体"/>
                <w:b/>
                <w:bCs/>
                <w:color w:val="000000" w:themeColor="text1"/>
                <w:sz w:val="24"/>
                <w:szCs w:val="24"/>
                <w:highlight w:val="none"/>
                <w14:textFill>
                  <w14:solidFill>
                    <w14:schemeClr w14:val="tx1"/>
                  </w14:solidFill>
                </w14:textFill>
              </w:rPr>
              <w:t>类份额】：【</w:t>
            </w:r>
            <w:r>
              <w:rPr>
                <w:rFonts w:hint="eastAsia" w:ascii="宋体" w:hAnsi="宋体" w:eastAsia="宋体"/>
                <w:b/>
                <w:bCs/>
                <w:sz w:val="24"/>
                <w:szCs w:val="24"/>
                <w:highlight w:val="none"/>
                <w:lang w:val="en-US" w:eastAsia="zh-CN"/>
              </w:rPr>
              <w:t>0.25</w:t>
            </w:r>
            <w:r>
              <w:rPr>
                <w:rFonts w:hint="eastAsia" w:ascii="宋体" w:hAnsi="宋体" w:eastAsia="宋体"/>
                <w:b/>
                <w:bCs/>
                <w:color w:val="000000" w:themeColor="text1"/>
                <w:sz w:val="24"/>
                <w:szCs w:val="24"/>
                <w:highlight w:val="none"/>
                <w14:textFill>
                  <w14:solidFill>
                    <w14:schemeClr w14:val="tx1"/>
                  </w14:solidFill>
                </w14:textFill>
              </w:rPr>
              <w:t>】%/年</w:t>
            </w:r>
            <w:r>
              <w:rPr>
                <w:rFonts w:hint="eastAsia" w:ascii="宋体" w:hAnsi="宋体" w:eastAsia="宋体"/>
                <w:b/>
                <w:bCs/>
                <w:color w:val="000000" w:themeColor="text1"/>
                <w:sz w:val="24"/>
                <w:szCs w:val="24"/>
                <w:highlight w:val="none"/>
                <w:lang w:eastAsia="zh-CN"/>
                <w14:textFill>
                  <w14:solidFill>
                    <w14:schemeClr w14:val="tx1"/>
                  </w14:solidFill>
                </w14:textFill>
              </w:rPr>
              <w:t>。</w:t>
            </w:r>
          </w:p>
          <w:p>
            <w:pPr>
              <w:numPr>
                <w:ilvl w:val="255"/>
                <w:numId w:val="0"/>
              </w:numPr>
              <w:spacing w:line="300" w:lineRule="auto"/>
              <w:outlineLvl w:val="0"/>
              <w:rPr>
                <w:rFonts w:hint="eastAsia" w:ascii="宋体" w:hAnsi="宋体" w:eastAsia="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E</w:t>
            </w:r>
            <w:r>
              <w:rPr>
                <w:rFonts w:hint="eastAsia" w:ascii="宋体" w:hAnsi="宋体" w:eastAsia="宋体"/>
                <w:b/>
                <w:bCs/>
                <w:sz w:val="24"/>
                <w:szCs w:val="24"/>
                <w:highlight w:val="none"/>
              </w:rPr>
              <w:t>类份额】：【</w:t>
            </w:r>
            <w:r>
              <w:rPr>
                <w:rFonts w:hint="eastAsia" w:ascii="宋体" w:hAnsi="宋体" w:eastAsia="宋体"/>
                <w:b/>
                <w:bCs/>
                <w:sz w:val="24"/>
                <w:szCs w:val="24"/>
                <w:highlight w:val="none"/>
                <w:lang w:val="en-US" w:eastAsia="zh-CN"/>
              </w:rPr>
              <w:t>0.30</w:t>
            </w:r>
            <w:r>
              <w:rPr>
                <w:rFonts w:hint="eastAsia" w:ascii="宋体" w:hAnsi="宋体" w:eastAsia="宋体"/>
                <w:b/>
                <w:bCs/>
                <w:sz w:val="24"/>
                <w:szCs w:val="24"/>
                <w:highlight w:val="none"/>
              </w:rPr>
              <w:t>】%/年</w:t>
            </w:r>
            <w:r>
              <w:rPr>
                <w:rFonts w:hint="eastAsia" w:ascii="宋体" w:hAnsi="宋体" w:eastAsia="宋体"/>
                <w:sz w:val="24"/>
                <w:szCs w:val="24"/>
                <w:highlight w:val="none"/>
              </w:rPr>
              <w:t>。</w:t>
            </w:r>
          </w:p>
          <w:p>
            <w:pPr>
              <w:numPr>
                <w:ilvl w:val="255"/>
                <w:numId w:val="0"/>
              </w:numPr>
              <w:spacing w:line="300" w:lineRule="auto"/>
              <w:outlineLvl w:val="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F</w:t>
            </w:r>
            <w:r>
              <w:rPr>
                <w:rFonts w:hint="eastAsia" w:ascii="宋体" w:hAnsi="宋体" w:eastAsia="宋体"/>
                <w:b/>
                <w:bCs/>
                <w:color w:val="000000" w:themeColor="text1"/>
                <w:sz w:val="24"/>
                <w:szCs w:val="24"/>
                <w:highlight w:val="none"/>
                <w14:textFill>
                  <w14:solidFill>
                    <w14:schemeClr w14:val="tx1"/>
                  </w14:solidFill>
                </w14:textFill>
              </w:rPr>
              <w:t>类份额】：【</w:t>
            </w:r>
            <w:r>
              <w:rPr>
                <w:rFonts w:hint="eastAsia" w:ascii="宋体" w:hAnsi="宋体" w:eastAsia="宋体"/>
                <w:b/>
                <w:bCs/>
                <w:sz w:val="24"/>
                <w:szCs w:val="24"/>
                <w:highlight w:val="none"/>
                <w:lang w:val="en-US" w:eastAsia="zh-CN"/>
              </w:rPr>
              <w:t>0.20</w:t>
            </w:r>
            <w:r>
              <w:rPr>
                <w:rFonts w:hint="eastAsia" w:ascii="宋体" w:hAnsi="宋体" w:eastAsia="宋体"/>
                <w:b/>
                <w:bCs/>
                <w:color w:val="000000" w:themeColor="text1"/>
                <w:sz w:val="24"/>
                <w:szCs w:val="24"/>
                <w:highlight w:val="none"/>
                <w14:textFill>
                  <w14:solidFill>
                    <w14:schemeClr w14:val="tx1"/>
                  </w14:solidFill>
                </w14:textFill>
              </w:rPr>
              <w:t>】%/年</w:t>
            </w:r>
            <w:r>
              <w:rPr>
                <w:rFonts w:hint="eastAsia" w:ascii="宋体" w:hAnsi="宋体" w:eastAsia="宋体"/>
                <w:color w:val="000000" w:themeColor="text1"/>
                <w:sz w:val="24"/>
                <w:szCs w:val="24"/>
                <w:highlight w:val="none"/>
                <w14:textFill>
                  <w14:solidFill>
                    <w14:schemeClr w14:val="tx1"/>
                  </w14:solidFill>
                </w14:textFill>
              </w:rPr>
              <w:t>。</w:t>
            </w:r>
          </w:p>
          <w:p>
            <w:pPr>
              <w:numPr>
                <w:ilvl w:val="255"/>
                <w:numId w:val="0"/>
              </w:numPr>
              <w:spacing w:line="300" w:lineRule="auto"/>
              <w:outlineLvl w:val="0"/>
              <w:rPr>
                <w:rFonts w:hint="eastAsia" w:ascii="宋体" w:hAnsi="宋体" w:eastAsia="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b/>
                <w:bCs/>
                <w:color w:val="000000" w:themeColor="text1"/>
                <w:sz w:val="24"/>
                <w:szCs w:val="24"/>
                <w:highlight w:val="none"/>
                <w:lang w:val="en-US" w:eastAsia="zh-CN"/>
                <w14:textFill>
                  <w14:solidFill>
                    <w14:schemeClr w14:val="tx1"/>
                  </w14:solidFill>
                </w14:textFill>
              </w:rPr>
              <w:t>G</w:t>
            </w:r>
            <w:r>
              <w:rPr>
                <w:rFonts w:hint="eastAsia" w:ascii="宋体" w:hAnsi="宋体" w:eastAsia="宋体"/>
                <w:b/>
                <w:bCs/>
                <w:color w:val="000000" w:themeColor="text1"/>
                <w:sz w:val="24"/>
                <w:szCs w:val="24"/>
                <w:highlight w:val="none"/>
                <w14:textFill>
                  <w14:solidFill>
                    <w14:schemeClr w14:val="tx1"/>
                  </w14:solidFill>
                </w14:textFill>
              </w:rPr>
              <w:t>类份额】：【</w:t>
            </w:r>
            <w:r>
              <w:rPr>
                <w:rFonts w:hint="eastAsia" w:ascii="宋体" w:hAnsi="宋体" w:eastAsia="宋体"/>
                <w:b/>
                <w:bCs/>
                <w:sz w:val="24"/>
                <w:szCs w:val="24"/>
                <w:highlight w:val="none"/>
                <w:lang w:val="en-US" w:eastAsia="zh-CN"/>
              </w:rPr>
              <w:t>0.05</w:t>
            </w:r>
            <w:r>
              <w:rPr>
                <w:rFonts w:hint="eastAsia" w:ascii="宋体" w:hAnsi="宋体" w:eastAsia="宋体"/>
                <w:b/>
                <w:bCs/>
                <w:color w:val="000000" w:themeColor="text1"/>
                <w:sz w:val="24"/>
                <w:szCs w:val="24"/>
                <w:highlight w:val="none"/>
                <w14:textFill>
                  <w14:solidFill>
                    <w14:schemeClr w14:val="tx1"/>
                  </w14:solidFill>
                </w14:textFill>
              </w:rPr>
              <w:t>】%/年</w:t>
            </w:r>
            <w:r>
              <w:rPr>
                <w:rFonts w:hint="eastAsia" w:ascii="宋体" w:hAnsi="宋体" w:eastAsia="宋体"/>
                <w:b/>
                <w:bCs/>
                <w:color w:val="000000" w:themeColor="text1"/>
                <w:sz w:val="24"/>
                <w:szCs w:val="24"/>
                <w:highlight w:val="none"/>
                <w:lang w:eastAsia="zh-CN"/>
                <w14:textFill>
                  <w14:solidFill>
                    <w14:schemeClr w14:val="tx1"/>
                  </w14:solidFill>
                </w14:textFill>
              </w:rPr>
              <w:t>。</w:t>
            </w:r>
          </w:p>
          <w:p>
            <w:pPr>
              <w:numPr>
                <w:ilvl w:val="255"/>
                <w:numId w:val="0"/>
              </w:numPr>
              <w:spacing w:line="300" w:lineRule="auto"/>
              <w:outlineLvl w:val="0"/>
              <w:rPr>
                <w:rFonts w:hint="eastAsia" w:ascii="宋体" w:hAnsi="宋体" w:eastAsia="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H</w:t>
            </w:r>
            <w:r>
              <w:rPr>
                <w:rFonts w:hint="eastAsia" w:ascii="宋体" w:hAnsi="宋体" w:eastAsia="宋体"/>
                <w:b/>
                <w:bCs/>
                <w:sz w:val="24"/>
                <w:szCs w:val="24"/>
                <w:highlight w:val="none"/>
              </w:rPr>
              <w:t>类份额】：【</w:t>
            </w:r>
            <w:r>
              <w:rPr>
                <w:rFonts w:hint="eastAsia" w:ascii="宋体" w:hAnsi="宋体" w:eastAsia="宋体"/>
                <w:b/>
                <w:bCs/>
                <w:sz w:val="24"/>
                <w:szCs w:val="24"/>
                <w:highlight w:val="none"/>
                <w:lang w:val="en-US" w:eastAsia="zh-CN"/>
              </w:rPr>
              <w:t>0.05</w:t>
            </w:r>
            <w:r>
              <w:rPr>
                <w:rFonts w:hint="eastAsia" w:ascii="宋体" w:hAnsi="宋体" w:eastAsia="宋体"/>
                <w:b/>
                <w:bCs/>
                <w:sz w:val="24"/>
                <w:szCs w:val="24"/>
                <w:highlight w:val="none"/>
              </w:rPr>
              <w:t>】%/年</w:t>
            </w:r>
            <w:r>
              <w:rPr>
                <w:rFonts w:hint="eastAsia" w:ascii="宋体" w:hAnsi="宋体" w:eastAsia="宋体"/>
                <w:sz w:val="24"/>
                <w:szCs w:val="24"/>
                <w:highlight w:val="none"/>
              </w:rPr>
              <w:t>。</w:t>
            </w:r>
          </w:p>
          <w:p>
            <w:pPr>
              <w:numPr>
                <w:ilvl w:val="255"/>
                <w:numId w:val="0"/>
              </w:numPr>
              <w:spacing w:line="300" w:lineRule="auto"/>
              <w:outlineLvl w:val="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J</w:t>
            </w:r>
            <w:r>
              <w:rPr>
                <w:rFonts w:hint="eastAsia" w:ascii="宋体" w:hAnsi="宋体" w:eastAsia="宋体"/>
                <w:b/>
                <w:bCs/>
                <w:color w:val="000000" w:themeColor="text1"/>
                <w:sz w:val="24"/>
                <w:szCs w:val="24"/>
                <w:highlight w:val="none"/>
                <w14:textFill>
                  <w14:solidFill>
                    <w14:schemeClr w14:val="tx1"/>
                  </w14:solidFill>
                </w14:textFill>
              </w:rPr>
              <w:t>类份额】：【</w:t>
            </w:r>
            <w:r>
              <w:rPr>
                <w:rFonts w:hint="eastAsia" w:ascii="宋体" w:hAnsi="宋体" w:eastAsia="宋体"/>
                <w:b/>
                <w:bCs/>
                <w:sz w:val="24"/>
                <w:szCs w:val="24"/>
                <w:highlight w:val="none"/>
                <w:lang w:val="en-US" w:eastAsia="zh-CN"/>
              </w:rPr>
              <w:t>0.20</w:t>
            </w:r>
            <w:r>
              <w:rPr>
                <w:rFonts w:hint="eastAsia" w:ascii="宋体" w:hAnsi="宋体" w:eastAsia="宋体"/>
                <w:b/>
                <w:bCs/>
                <w:color w:val="000000" w:themeColor="text1"/>
                <w:sz w:val="24"/>
                <w:szCs w:val="24"/>
                <w:highlight w:val="none"/>
                <w14:textFill>
                  <w14:solidFill>
                    <w14:schemeClr w14:val="tx1"/>
                  </w14:solidFill>
                </w14:textFill>
              </w:rPr>
              <w:t>】%/年</w:t>
            </w:r>
            <w:r>
              <w:rPr>
                <w:rFonts w:hint="eastAsia" w:ascii="宋体" w:hAnsi="宋体" w:eastAsia="宋体"/>
                <w:color w:val="000000" w:themeColor="text1"/>
                <w:sz w:val="24"/>
                <w:szCs w:val="24"/>
                <w:highlight w:val="none"/>
                <w14:textFill>
                  <w14:solidFill>
                    <w14:schemeClr w14:val="tx1"/>
                  </w14:solidFill>
                </w14:textFill>
              </w:rPr>
              <w:t>。</w:t>
            </w:r>
          </w:p>
          <w:p>
            <w:pPr>
              <w:numPr>
                <w:ilvl w:val="255"/>
                <w:numId w:val="0"/>
              </w:numPr>
              <w:spacing w:line="300" w:lineRule="auto"/>
              <w:outlineLvl w:val="0"/>
              <w:rPr>
                <w:rFonts w:hint="eastAsia" w:ascii="宋体" w:hAnsi="宋体" w:eastAsia="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b/>
                <w:bCs/>
                <w:color w:val="000000" w:themeColor="text1"/>
                <w:sz w:val="24"/>
                <w:szCs w:val="24"/>
                <w:highlight w:val="none"/>
                <w:lang w:val="en-US" w:eastAsia="zh-CN"/>
                <w14:textFill>
                  <w14:solidFill>
                    <w14:schemeClr w14:val="tx1"/>
                  </w14:solidFill>
                </w14:textFill>
              </w:rPr>
              <w:t>K</w:t>
            </w:r>
            <w:r>
              <w:rPr>
                <w:rFonts w:hint="eastAsia" w:ascii="宋体" w:hAnsi="宋体" w:eastAsia="宋体"/>
                <w:b/>
                <w:bCs/>
                <w:color w:val="000000" w:themeColor="text1"/>
                <w:sz w:val="24"/>
                <w:szCs w:val="24"/>
                <w:highlight w:val="none"/>
                <w14:textFill>
                  <w14:solidFill>
                    <w14:schemeClr w14:val="tx1"/>
                  </w14:solidFill>
                </w14:textFill>
              </w:rPr>
              <w:t>类份额】：【</w:t>
            </w:r>
            <w:r>
              <w:rPr>
                <w:rFonts w:hint="eastAsia" w:ascii="宋体" w:hAnsi="宋体" w:eastAsia="宋体"/>
                <w:b/>
                <w:bCs/>
                <w:sz w:val="24"/>
                <w:szCs w:val="24"/>
                <w:highlight w:val="none"/>
                <w:lang w:val="en-US" w:eastAsia="zh-CN"/>
              </w:rPr>
              <w:t>0.20</w:t>
            </w:r>
            <w:r>
              <w:rPr>
                <w:rFonts w:hint="eastAsia" w:ascii="宋体" w:hAnsi="宋体" w:eastAsia="宋体"/>
                <w:b/>
                <w:bCs/>
                <w:color w:val="000000" w:themeColor="text1"/>
                <w:sz w:val="24"/>
                <w:szCs w:val="24"/>
                <w:highlight w:val="none"/>
                <w14:textFill>
                  <w14:solidFill>
                    <w14:schemeClr w14:val="tx1"/>
                  </w14:solidFill>
                </w14:textFill>
              </w:rPr>
              <w:t>】%/年</w:t>
            </w:r>
            <w:r>
              <w:rPr>
                <w:rFonts w:hint="eastAsia" w:ascii="宋体" w:hAnsi="宋体" w:eastAsia="宋体"/>
                <w:b/>
                <w:bCs/>
                <w:color w:val="000000" w:themeColor="text1"/>
                <w:sz w:val="24"/>
                <w:szCs w:val="24"/>
                <w:highlight w:val="none"/>
                <w:lang w:eastAsia="zh-CN"/>
                <w14:textFill>
                  <w14:solidFill>
                    <w14:schemeClr w14:val="tx1"/>
                  </w14:solidFill>
                </w14:textFill>
              </w:rPr>
              <w:t>。</w:t>
            </w:r>
          </w:p>
          <w:p>
            <w:pPr>
              <w:spacing w:line="300" w:lineRule="auto"/>
              <w:rPr>
                <w:rFonts w:hint="eastAsia" w:ascii="宋体" w:hAnsi="宋体" w:eastAsia="宋体"/>
                <w:b/>
                <w:bCs/>
                <w:sz w:val="24"/>
                <w:szCs w:val="24"/>
                <w:highlight w:val="none"/>
              </w:rPr>
            </w:pPr>
            <w:r>
              <w:rPr>
                <w:rFonts w:hint="eastAsia" w:ascii="宋体" w:hAnsi="宋体" w:eastAsia="宋体"/>
                <w:b/>
                <w:bCs/>
                <w:sz w:val="24"/>
                <w:szCs w:val="24"/>
                <w:highlight w:val="none"/>
              </w:rPr>
              <w:t>管理人有权根据不同销售服务机构</w:t>
            </w:r>
            <w:r>
              <w:rPr>
                <w:rFonts w:ascii="宋体" w:hAnsi="宋体" w:eastAsia="宋体"/>
                <w:b/>
                <w:bCs/>
                <w:sz w:val="24"/>
                <w:szCs w:val="24"/>
                <w:highlight w:val="none"/>
              </w:rPr>
              <w:t>/</w:t>
            </w:r>
            <w:r>
              <w:rPr>
                <w:rFonts w:hint="eastAsia" w:ascii="宋体" w:hAnsi="宋体" w:eastAsia="宋体"/>
                <w:b/>
                <w:bCs/>
                <w:sz w:val="24"/>
                <w:szCs w:val="24"/>
                <w:highlight w:val="none"/>
              </w:rPr>
              <w:t>销售渠道</w:t>
            </w:r>
            <w:r>
              <w:rPr>
                <w:rFonts w:ascii="宋体" w:hAnsi="宋体" w:eastAsia="宋体"/>
                <w:b/>
                <w:bCs/>
                <w:sz w:val="24"/>
                <w:szCs w:val="24"/>
                <w:highlight w:val="none"/>
              </w:rPr>
              <w:t>/</w:t>
            </w:r>
            <w:r>
              <w:rPr>
                <w:rFonts w:hint="eastAsia" w:ascii="宋体" w:hAnsi="宋体" w:eastAsia="宋体"/>
                <w:b/>
                <w:bCs/>
                <w:sz w:val="24"/>
                <w:szCs w:val="24"/>
                <w:highlight w:val="none"/>
              </w:rPr>
              <w:t>份额类别设置不同的销售服务费率。</w:t>
            </w:r>
          </w:p>
          <w:p>
            <w:pPr>
              <w:numPr>
                <w:ilvl w:val="255"/>
                <w:numId w:val="0"/>
              </w:num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3.固定</w:t>
            </w:r>
            <w:r>
              <w:rPr>
                <w:rFonts w:ascii="宋体" w:hAnsi="宋体" w:eastAsia="宋体"/>
                <w:b/>
                <w:bCs/>
                <w:sz w:val="24"/>
                <w:szCs w:val="24"/>
                <w:highlight w:val="none"/>
              </w:rPr>
              <w:t>管理费：</w:t>
            </w:r>
            <w:r>
              <w:rPr>
                <w:rFonts w:hint="eastAsia" w:ascii="宋体" w:hAnsi="宋体" w:eastAsia="宋体"/>
                <w:b/>
                <w:bCs/>
                <w:sz w:val="24"/>
                <w:szCs w:val="24"/>
                <w:highlight w:val="none"/>
              </w:rPr>
              <w:t>【</w:t>
            </w:r>
            <w:r>
              <w:rPr>
                <w:rFonts w:hint="eastAsia" w:ascii="宋体" w:hAnsi="宋体" w:eastAsia="宋体"/>
                <w:b/>
                <w:bCs/>
                <w:sz w:val="24"/>
                <w:szCs w:val="24"/>
                <w:highlight w:val="none"/>
                <w:lang w:val="en-US" w:eastAsia="zh-CN"/>
              </w:rPr>
              <w:t>0.60</w:t>
            </w:r>
            <w:r>
              <w:rPr>
                <w:rFonts w:hint="eastAsia" w:ascii="宋体" w:hAnsi="宋体" w:eastAsia="宋体"/>
                <w:b/>
                <w:bCs/>
                <w:sz w:val="24"/>
                <w:szCs w:val="24"/>
                <w:highlight w:val="none"/>
              </w:rPr>
              <w:t>】%/年</w:t>
            </w:r>
            <w:r>
              <w:rPr>
                <w:rFonts w:hint="eastAsia" w:ascii="宋体" w:hAnsi="宋体" w:eastAsia="宋体"/>
                <w:sz w:val="24"/>
                <w:szCs w:val="24"/>
                <w:highlight w:val="none"/>
              </w:rPr>
              <w:t>（自成立日起阶段性优惠至年化</w:t>
            </w:r>
            <w:r>
              <w:rPr>
                <w:rFonts w:hint="eastAsia" w:ascii="宋体" w:hAnsi="宋体" w:eastAsia="宋体"/>
                <w:b/>
                <w:bCs/>
                <w:sz w:val="24"/>
                <w:szCs w:val="24"/>
                <w:highlight w:val="none"/>
              </w:rPr>
              <w:t>【</w:t>
            </w:r>
            <w:r>
              <w:rPr>
                <w:rFonts w:hint="eastAsia" w:ascii="宋体" w:hAnsi="宋体" w:eastAsia="宋体"/>
                <w:b/>
                <w:bCs/>
                <w:sz w:val="24"/>
                <w:szCs w:val="24"/>
                <w:highlight w:val="none"/>
                <w:lang w:val="en-US" w:eastAsia="zh-CN"/>
              </w:rPr>
              <w:t>0.10</w:t>
            </w:r>
            <w:r>
              <w:rPr>
                <w:rFonts w:hint="eastAsia" w:ascii="宋体" w:hAnsi="宋体" w:eastAsia="宋体"/>
                <w:b/>
                <w:bCs/>
                <w:sz w:val="24"/>
                <w:szCs w:val="24"/>
                <w:highlight w:val="none"/>
              </w:rPr>
              <w:t>】%/年</w:t>
            </w:r>
            <w:r>
              <w:rPr>
                <w:rFonts w:hint="eastAsia" w:ascii="宋体" w:hAnsi="宋体" w:eastAsia="宋体"/>
                <w:sz w:val="24"/>
                <w:szCs w:val="24"/>
                <w:highlight w:val="none"/>
              </w:rPr>
              <w:t>，管理人有权终止本理财产品费率阶段性优惠，具体终止日期以管理人后续公告为准，但终止后费率的收取最高不超过理财产品说明书约定的优惠前费率）</w:t>
            </w:r>
            <w:r>
              <w:rPr>
                <w:rFonts w:hint="eastAsia" w:ascii="宋体" w:hAnsi="宋体" w:eastAsia="宋体"/>
                <w:b/>
                <w:bCs/>
                <w:sz w:val="24"/>
                <w:szCs w:val="24"/>
                <w:highlight w:val="none"/>
              </w:rPr>
              <w:t>；</w:t>
            </w:r>
          </w:p>
          <w:p>
            <w:pPr>
              <w:widowControl/>
              <w:numPr>
                <w:ilvl w:val="255"/>
                <w:numId w:val="0"/>
              </w:numPr>
              <w:spacing w:line="300" w:lineRule="auto"/>
              <w:jc w:val="left"/>
              <w:rPr>
                <w:rFonts w:hint="eastAsia" w:ascii="宋体" w:hAnsi="宋体" w:eastAsia="宋体"/>
                <w:b/>
                <w:bCs/>
                <w:sz w:val="24"/>
                <w:szCs w:val="24"/>
                <w:highlight w:val="none"/>
              </w:rPr>
            </w:pPr>
            <w:r>
              <w:rPr>
                <w:rFonts w:hint="eastAsia" w:ascii="宋体" w:hAnsi="宋体" w:eastAsia="宋体"/>
                <w:b/>
                <w:bCs/>
                <w:sz w:val="24"/>
                <w:szCs w:val="24"/>
                <w:highlight w:val="none"/>
              </w:rPr>
              <w:t>4.托管费：【</w:t>
            </w:r>
            <w:r>
              <w:rPr>
                <w:rFonts w:hint="eastAsia" w:ascii="宋体" w:hAnsi="宋体" w:eastAsia="宋体"/>
                <w:b/>
                <w:bCs/>
                <w:sz w:val="24"/>
                <w:szCs w:val="24"/>
                <w:highlight w:val="none"/>
                <w:lang w:val="en-US" w:eastAsia="zh-CN"/>
              </w:rPr>
              <w:t>0.02</w:t>
            </w:r>
            <w:r>
              <w:rPr>
                <w:rFonts w:hint="eastAsia" w:ascii="宋体" w:hAnsi="宋体" w:eastAsia="宋体"/>
                <w:b/>
                <w:bCs/>
                <w:sz w:val="24"/>
                <w:szCs w:val="24"/>
                <w:highlight w:val="none"/>
              </w:rPr>
              <w:t>】%/年；</w:t>
            </w:r>
          </w:p>
          <w:p>
            <w:pPr>
              <w:numPr>
                <w:ilvl w:val="255"/>
                <w:numId w:val="0"/>
              </w:num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5.超额业绩报酬:</w:t>
            </w: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管理人收取超额业绩报酬，不同类别份额的超额业绩报酬分别计算并计提。</w:t>
            </w:r>
          </w:p>
          <w:p>
            <w:pPr>
              <w:numPr>
                <w:ilvl w:val="255"/>
                <w:numId w:val="0"/>
              </w:numPr>
              <w:spacing w:line="300" w:lineRule="auto"/>
              <w:outlineLvl w:val="0"/>
              <w:rPr>
                <w:rFonts w:hint="eastAsia" w:ascii="宋体" w:hAnsi="宋体"/>
                <w:b/>
                <w:bCs/>
                <w:sz w:val="24"/>
                <w:szCs w:val="24"/>
                <w:highlight w:val="none"/>
              </w:rPr>
            </w:pPr>
            <w:r>
              <w:rPr>
                <w:rFonts w:hint="eastAsia" w:ascii="宋体" w:hAnsi="宋体" w:eastAsia="宋体"/>
                <w:b/>
                <w:bCs/>
                <w:sz w:val="24"/>
                <w:szCs w:val="24"/>
                <w:highlight w:val="none"/>
              </w:rPr>
              <w:t>在超额业绩报酬计提日，若某类份额的份额净值折算的年化收益率超过相应份额的超额业绩报酬计提基准，则产品管理人收取超过超额业绩报酬计提基准部分的【</w:t>
            </w:r>
            <w:r>
              <w:rPr>
                <w:rFonts w:hint="eastAsia" w:ascii="宋体" w:hAnsi="宋体" w:eastAsia="宋体"/>
                <w:b/>
                <w:bCs/>
                <w:sz w:val="24"/>
                <w:szCs w:val="24"/>
                <w:highlight w:val="none"/>
                <w:lang w:val="en-US" w:eastAsia="zh-CN"/>
              </w:rPr>
              <w:t>50</w:t>
            </w:r>
            <w:r>
              <w:rPr>
                <w:rFonts w:hint="eastAsia" w:ascii="宋体" w:hAnsi="宋体" w:eastAsia="宋体"/>
                <w:b/>
                <w:bCs/>
                <w:sz w:val="24"/>
                <w:szCs w:val="24"/>
                <w:highlight w:val="none"/>
              </w:rPr>
              <w:t>%】为超额业绩报酬。超额业绩报酬精确到小数点后2位，小数点2位以后四舍五入。</w:t>
            </w:r>
            <w:r>
              <w:rPr>
                <w:rFonts w:ascii="宋体" w:hAnsi="宋体" w:eastAsia="宋体"/>
                <w:b/>
                <w:bCs/>
                <w:sz w:val="24"/>
                <w:szCs w:val="24"/>
                <w:highlight w:val="none"/>
              </w:rPr>
              <w:t>产品管理人保留变更上述理财产品费率标准的权</w:t>
            </w:r>
            <w:r>
              <w:rPr>
                <w:rFonts w:hint="eastAsia" w:ascii="宋体" w:hAnsi="宋体" w:eastAsia="宋体"/>
                <w:b/>
                <w:bCs/>
                <w:sz w:val="24"/>
                <w:szCs w:val="24"/>
                <w:highlight w:val="none"/>
              </w:rPr>
              <w:t>利。</w:t>
            </w:r>
          </w:p>
          <w:p>
            <w:pPr>
              <w:spacing w:line="300" w:lineRule="auto"/>
              <w:rPr>
                <w:rFonts w:hint="eastAsia" w:ascii="宋体" w:hAnsi="宋体" w:eastAsia="宋体"/>
                <w:b/>
                <w:bCs/>
                <w:sz w:val="24"/>
                <w:szCs w:val="24"/>
                <w:highlight w:val="none"/>
              </w:rPr>
            </w:pPr>
            <w:r>
              <w:rPr>
                <w:rFonts w:hint="eastAsia" w:ascii="宋体" w:hAnsi="宋体" w:eastAsia="宋体"/>
                <w:b/>
                <w:bCs/>
                <w:sz w:val="24"/>
                <w:szCs w:val="24"/>
                <w:highlight w:val="none"/>
              </w:rPr>
              <w:t>6.其他（如有）：除理财产品所承担的固定管理费、托管费、销售服务费、超额业绩报酬（如有）、增值税及附加税费等费用，以及其它应由理财产品资产承担的产品费用之外，还包括但不限于产品开户费用、账户维护费用、银行划款费用、交易费用（包括但不限于交易佣金、撮合费用等）、验资费、审计费、律师费、诉讼费、信息披露费、清算费、执行费等相关费用，按照法律法规规定在本理财产品资产中列支。</w:t>
            </w: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7.管理人有权根据国家政策和适用法律法规的规定并结合实际情况，对本理财产品收费项目、收费条件、计算方法、收取方式及费率等在约定范围内进行调整，具体以管理人公告为准。超出约定范围的调整，管理人将至少提前2个工作日进行公告。</w:t>
            </w:r>
          </w:p>
          <w:p>
            <w:pPr>
              <w:numPr>
                <w:ilvl w:val="255"/>
                <w:numId w:val="0"/>
              </w:numPr>
              <w:spacing w:line="300" w:lineRule="auto"/>
              <w:outlineLvl w:val="0"/>
              <w:rPr>
                <w:rFonts w:hint="eastAsia" w:ascii="宋体" w:hAnsi="宋体" w:eastAsia="宋体"/>
                <w:b/>
                <w:bCs/>
                <w:sz w:val="24"/>
                <w:szCs w:val="24"/>
                <w:highlight w:val="none"/>
              </w:rPr>
            </w:pPr>
            <w:r>
              <w:rPr>
                <w:rFonts w:hint="eastAsia" w:ascii="宋体" w:hAnsi="宋体" w:cs="宋体"/>
                <w:b/>
                <w:bCs/>
                <w:sz w:val="24"/>
                <w:highlight w:val="none"/>
              </w:rPr>
              <w:t>详细内容见本《理财产品说明书》之</w:t>
            </w:r>
            <w:r>
              <w:rPr>
                <w:rFonts w:hint="eastAsia" w:ascii="宋体" w:hAnsi="宋体" w:eastAsia="宋体"/>
                <w:b/>
                <w:bCs/>
                <w:sz w:val="24"/>
                <w:szCs w:val="24"/>
                <w:highlight w:val="none"/>
              </w:rPr>
              <w:t>“七、理财产品的费用与税收”。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税款</w:t>
            </w:r>
          </w:p>
        </w:tc>
        <w:tc>
          <w:tcPr>
            <w:tcW w:w="6030"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本理财运作过程中涉及的各纳税主体，其纳税义务按国家税收法律、法规执行。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5" w:type="dxa"/>
            <w:vAlign w:val="center"/>
          </w:tcPr>
          <w:p>
            <w:pPr>
              <w:spacing w:line="300" w:lineRule="auto"/>
              <w:rPr>
                <w:rFonts w:hint="eastAsia" w:ascii="宋体" w:hAnsi="宋体" w:eastAsia="宋体"/>
                <w:sz w:val="24"/>
                <w:szCs w:val="24"/>
                <w:highlight w:val="none"/>
              </w:rPr>
            </w:pPr>
            <w:r>
              <w:rPr>
                <w:rFonts w:hint="eastAsia" w:ascii="宋体" w:hAnsi="宋体" w:eastAsia="宋体"/>
                <w:sz w:val="24"/>
                <w:szCs w:val="24"/>
                <w:highlight w:val="none"/>
              </w:rPr>
              <w:t>其他约定</w:t>
            </w:r>
          </w:p>
        </w:tc>
        <w:tc>
          <w:tcPr>
            <w:tcW w:w="6030" w:type="dxa"/>
            <w:vAlign w:val="center"/>
          </w:tcPr>
          <w:p>
            <w:pPr>
              <w:spacing w:line="300" w:lineRule="auto"/>
              <w:rPr>
                <w:rFonts w:hint="eastAsia" w:ascii="宋体" w:hAnsi="宋体" w:eastAsia="宋体"/>
                <w:sz w:val="24"/>
                <w:szCs w:val="24"/>
                <w:highlight w:val="none"/>
              </w:rPr>
            </w:pPr>
            <w:r>
              <w:rPr>
                <w:rFonts w:ascii="宋体" w:hAnsi="宋体" w:eastAsia="宋体"/>
                <w:sz w:val="24"/>
                <w:szCs w:val="24"/>
                <w:highlight w:val="none"/>
              </w:rPr>
              <w:t>1.产品</w:t>
            </w:r>
            <w:r>
              <w:rPr>
                <w:rFonts w:hint="eastAsia" w:ascii="宋体" w:hAnsi="宋体" w:eastAsia="宋体"/>
                <w:sz w:val="24"/>
                <w:szCs w:val="24"/>
                <w:highlight w:val="none"/>
              </w:rPr>
              <w:t>认购期</w:t>
            </w:r>
            <w:r>
              <w:rPr>
                <w:rFonts w:ascii="宋体" w:hAnsi="宋体" w:eastAsia="宋体"/>
                <w:sz w:val="24"/>
                <w:szCs w:val="24"/>
                <w:highlight w:val="none"/>
              </w:rPr>
              <w:t>、</w:t>
            </w:r>
            <w:r>
              <w:rPr>
                <w:rFonts w:hint="eastAsia" w:ascii="宋体" w:hAnsi="宋体" w:eastAsia="宋体"/>
                <w:sz w:val="24"/>
                <w:szCs w:val="24"/>
                <w:highlight w:val="none"/>
              </w:rPr>
              <w:t>认购</w:t>
            </w:r>
            <w:r>
              <w:rPr>
                <w:rFonts w:ascii="宋体" w:hAnsi="宋体" w:eastAsia="宋体"/>
                <w:sz w:val="24"/>
                <w:szCs w:val="24"/>
                <w:highlight w:val="none"/>
              </w:rPr>
              <w:t>登记日、产品成立日、提前终止日等日期，渤银理财有权根据节假日进行调整，并以实际公布</w:t>
            </w:r>
            <w:r>
              <w:rPr>
                <w:rFonts w:hint="eastAsia" w:ascii="宋体" w:hAnsi="宋体" w:eastAsia="宋体"/>
                <w:sz w:val="24"/>
                <w:szCs w:val="24"/>
                <w:highlight w:val="none"/>
              </w:rPr>
              <w:t>的结果</w:t>
            </w:r>
            <w:r>
              <w:rPr>
                <w:rFonts w:ascii="宋体" w:hAnsi="宋体" w:eastAsia="宋体"/>
                <w:sz w:val="24"/>
                <w:szCs w:val="24"/>
                <w:highlight w:val="none"/>
              </w:rPr>
              <w:t>为准。</w:t>
            </w:r>
          </w:p>
          <w:p>
            <w:pPr>
              <w:spacing w:line="300" w:lineRule="auto"/>
              <w:rPr>
                <w:rFonts w:hint="eastAsia" w:ascii="宋体" w:hAnsi="宋体" w:eastAsia="宋体"/>
                <w:b/>
                <w:bCs/>
                <w:sz w:val="24"/>
                <w:szCs w:val="24"/>
                <w:highlight w:val="none"/>
              </w:rPr>
            </w:pPr>
            <w:r>
              <w:rPr>
                <w:rFonts w:ascii="宋体" w:hAnsi="宋体" w:eastAsia="宋体"/>
                <w:b/>
                <w:bCs/>
                <w:sz w:val="24"/>
                <w:szCs w:val="24"/>
                <w:highlight w:val="none"/>
              </w:rPr>
              <w:t>2.认购日至扣款日（不含）之间，</w:t>
            </w:r>
            <w:r>
              <w:rPr>
                <w:rFonts w:hint="eastAsia" w:ascii="宋体" w:hAnsi="宋体" w:eastAsia="宋体"/>
                <w:b/>
                <w:bCs/>
                <w:sz w:val="24"/>
                <w:szCs w:val="24"/>
                <w:highlight w:val="none"/>
              </w:rPr>
              <w:t>若销售服务机构对认购</w:t>
            </w:r>
            <w:r>
              <w:rPr>
                <w:rFonts w:ascii="宋体" w:hAnsi="宋体" w:eastAsia="宋体"/>
                <w:b/>
                <w:bCs/>
                <w:sz w:val="24"/>
                <w:szCs w:val="24"/>
                <w:highlight w:val="none"/>
              </w:rPr>
              <w:t>资金按人民币活期存款利率计付利息</w:t>
            </w:r>
            <w:r>
              <w:rPr>
                <w:rFonts w:hint="eastAsia" w:ascii="宋体" w:hAnsi="宋体" w:eastAsia="宋体"/>
                <w:b/>
                <w:bCs/>
                <w:sz w:val="24"/>
                <w:szCs w:val="24"/>
                <w:highlight w:val="none"/>
              </w:rPr>
              <w:t>，</w:t>
            </w:r>
            <w:r>
              <w:rPr>
                <w:rFonts w:ascii="宋体" w:hAnsi="宋体" w:eastAsia="宋体"/>
                <w:b/>
                <w:bCs/>
                <w:sz w:val="24"/>
                <w:szCs w:val="24"/>
                <w:highlight w:val="none"/>
              </w:rPr>
              <w:t>利息不计入</w:t>
            </w:r>
            <w:r>
              <w:rPr>
                <w:rFonts w:hint="eastAsia" w:ascii="宋体" w:hAnsi="宋体" w:eastAsia="宋体"/>
                <w:b/>
                <w:bCs/>
                <w:sz w:val="24"/>
                <w:szCs w:val="24"/>
                <w:highlight w:val="none"/>
              </w:rPr>
              <w:t>认购</w:t>
            </w:r>
            <w:r>
              <w:rPr>
                <w:rFonts w:ascii="宋体" w:hAnsi="宋体" w:eastAsia="宋体"/>
                <w:b/>
                <w:bCs/>
                <w:sz w:val="24"/>
                <w:szCs w:val="24"/>
                <w:highlight w:val="none"/>
              </w:rPr>
              <w:t>本金。</w:t>
            </w:r>
          </w:p>
          <w:p>
            <w:pPr>
              <w:spacing w:line="300" w:lineRule="auto"/>
              <w:rPr>
                <w:rFonts w:hint="eastAsia" w:ascii="宋体" w:hAnsi="宋体" w:eastAsia="宋体"/>
                <w:b/>
                <w:bCs/>
                <w:sz w:val="24"/>
                <w:szCs w:val="24"/>
                <w:highlight w:val="none"/>
              </w:rPr>
            </w:pPr>
            <w:r>
              <w:rPr>
                <w:rFonts w:hint="eastAsia" w:ascii="宋体" w:hAnsi="宋体" w:eastAsia="宋体"/>
                <w:b/>
                <w:bCs/>
                <w:sz w:val="24"/>
                <w:szCs w:val="24"/>
                <w:highlight w:val="none"/>
              </w:rPr>
              <w:t>3.理财产品实际终止日至资金到账日为终止清算期，清算期内产生的利息（如有）归投资者所有。</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4.投资者若购买本产品后欲办理销户或调整理财交易账户等，需</w:t>
            </w:r>
            <w:r>
              <w:rPr>
                <w:rFonts w:hint="eastAsia" w:ascii="宋体" w:hAnsi="宋体" w:eastAsia="宋体"/>
                <w:sz w:val="24"/>
                <w:szCs w:val="24"/>
                <w:highlight w:val="none"/>
              </w:rPr>
              <w:t>在</w:t>
            </w:r>
            <w:r>
              <w:rPr>
                <w:rFonts w:ascii="宋体" w:hAnsi="宋体" w:eastAsia="宋体"/>
                <w:sz w:val="24"/>
                <w:szCs w:val="24"/>
                <w:highlight w:val="none"/>
              </w:rPr>
              <w:t>本产品分配</w:t>
            </w:r>
            <w:r>
              <w:rPr>
                <w:rFonts w:hint="eastAsia" w:ascii="宋体" w:hAnsi="宋体" w:eastAsia="宋体"/>
                <w:sz w:val="24"/>
                <w:szCs w:val="24"/>
                <w:highlight w:val="none"/>
              </w:rPr>
              <w:t>完成</w:t>
            </w:r>
            <w:r>
              <w:rPr>
                <w:rFonts w:ascii="宋体" w:hAnsi="宋体" w:eastAsia="宋体"/>
                <w:sz w:val="24"/>
                <w:szCs w:val="24"/>
                <w:highlight w:val="none"/>
              </w:rPr>
              <w:t>后</w:t>
            </w:r>
            <w:r>
              <w:rPr>
                <w:rFonts w:hint="eastAsia" w:ascii="宋体" w:hAnsi="宋体" w:eastAsia="宋体"/>
                <w:sz w:val="24"/>
                <w:szCs w:val="24"/>
                <w:highlight w:val="none"/>
              </w:rPr>
              <w:t>方可</w:t>
            </w:r>
            <w:r>
              <w:rPr>
                <w:rFonts w:ascii="宋体" w:hAnsi="宋体" w:eastAsia="宋体"/>
                <w:sz w:val="24"/>
                <w:szCs w:val="24"/>
                <w:highlight w:val="none"/>
              </w:rPr>
              <w:t>办理。</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5.</w:t>
            </w:r>
            <w:r>
              <w:rPr>
                <w:rFonts w:hint="eastAsia" w:ascii="宋体" w:hAnsi="宋体" w:eastAsia="宋体"/>
                <w:sz w:val="24"/>
                <w:szCs w:val="24"/>
                <w:highlight w:val="none"/>
              </w:rPr>
              <w:t>销售服务机构</w:t>
            </w:r>
            <w:r>
              <w:rPr>
                <w:rFonts w:ascii="宋体" w:hAnsi="宋体" w:eastAsia="宋体"/>
                <w:sz w:val="24"/>
                <w:szCs w:val="24"/>
                <w:highlight w:val="none"/>
              </w:rPr>
              <w:t>受理</w:t>
            </w:r>
            <w:r>
              <w:rPr>
                <w:rFonts w:hint="eastAsia" w:ascii="宋体" w:hAnsi="宋体" w:eastAsia="宋体"/>
                <w:sz w:val="24"/>
                <w:szCs w:val="24"/>
                <w:highlight w:val="none"/>
              </w:rPr>
              <w:t>购买</w:t>
            </w:r>
            <w:r>
              <w:rPr>
                <w:rFonts w:ascii="宋体" w:hAnsi="宋体" w:eastAsia="宋体"/>
                <w:sz w:val="24"/>
                <w:szCs w:val="24"/>
                <w:highlight w:val="none"/>
              </w:rPr>
              <w:t>申请并不表示对该申请成功的确认，而仅代表</w:t>
            </w:r>
            <w:r>
              <w:rPr>
                <w:rFonts w:hint="eastAsia" w:ascii="宋体" w:hAnsi="宋体" w:eastAsia="宋体"/>
                <w:sz w:val="24"/>
                <w:szCs w:val="24"/>
                <w:highlight w:val="none"/>
              </w:rPr>
              <w:t>销售服务机构</w:t>
            </w:r>
            <w:r>
              <w:rPr>
                <w:rFonts w:ascii="宋体" w:hAnsi="宋体" w:eastAsia="宋体"/>
                <w:sz w:val="24"/>
                <w:szCs w:val="24"/>
                <w:highlight w:val="none"/>
              </w:rPr>
              <w:t>收到了</w:t>
            </w:r>
            <w:r>
              <w:rPr>
                <w:rFonts w:hint="eastAsia" w:ascii="宋体" w:hAnsi="宋体" w:eastAsia="宋体"/>
                <w:sz w:val="24"/>
                <w:szCs w:val="24"/>
                <w:highlight w:val="none"/>
              </w:rPr>
              <w:t>购买</w:t>
            </w:r>
            <w:r>
              <w:rPr>
                <w:rFonts w:ascii="宋体" w:hAnsi="宋体" w:eastAsia="宋体"/>
                <w:sz w:val="24"/>
                <w:szCs w:val="24"/>
                <w:highlight w:val="none"/>
              </w:rPr>
              <w:t>申请，申请是否成功以渤银理财的确认为准。投资者应在本理财产品的成立日后及时查询最终成交确认情况和份额信息。</w:t>
            </w:r>
          </w:p>
          <w:p>
            <w:pPr>
              <w:spacing w:line="300" w:lineRule="auto"/>
              <w:rPr>
                <w:rFonts w:hint="eastAsia" w:ascii="宋体" w:hAnsi="宋体" w:eastAsia="宋体"/>
                <w:sz w:val="24"/>
                <w:szCs w:val="24"/>
                <w:highlight w:val="none"/>
              </w:rPr>
            </w:pPr>
            <w:r>
              <w:rPr>
                <w:rFonts w:ascii="宋体" w:hAnsi="宋体" w:eastAsia="宋体"/>
                <w:sz w:val="24"/>
                <w:szCs w:val="24"/>
                <w:highlight w:val="none"/>
              </w:rPr>
              <w:t>6.发生暂停认购，本理财产品宣布不成立等情形时，</w:t>
            </w:r>
            <w:r>
              <w:rPr>
                <w:rFonts w:hint="eastAsia" w:ascii="宋体" w:hAnsi="宋体" w:eastAsia="宋体"/>
                <w:sz w:val="24"/>
                <w:szCs w:val="24"/>
                <w:highlight w:val="none"/>
              </w:rPr>
              <w:t>产品</w:t>
            </w:r>
            <w:r>
              <w:rPr>
                <w:rFonts w:ascii="宋体" w:hAnsi="宋体" w:eastAsia="宋体"/>
                <w:sz w:val="24"/>
                <w:szCs w:val="24"/>
                <w:highlight w:val="none"/>
              </w:rPr>
              <w:t>管理人将按照本产品说明书约定的信息披露方式进行公告。</w:t>
            </w:r>
            <w:r>
              <w:rPr>
                <w:rFonts w:ascii="宋体" w:hAnsi="宋体" w:eastAsia="宋体"/>
                <w:b/>
                <w:bCs/>
                <w:sz w:val="24"/>
                <w:szCs w:val="24"/>
                <w:highlight w:val="none"/>
              </w:rPr>
              <w:t>如果因发生前述情形导致投资者的认购申请被拒绝，被拒绝的认购款项将退还给投资者，</w:t>
            </w:r>
            <w:r>
              <w:rPr>
                <w:rFonts w:hint="eastAsia" w:ascii="宋体" w:hAnsi="宋体" w:eastAsia="宋体"/>
                <w:b/>
                <w:bCs/>
                <w:sz w:val="24"/>
                <w:szCs w:val="24"/>
                <w:highlight w:val="none"/>
              </w:rPr>
              <w:t>产品</w:t>
            </w:r>
            <w:r>
              <w:rPr>
                <w:rFonts w:ascii="宋体" w:hAnsi="宋体" w:eastAsia="宋体"/>
                <w:b/>
                <w:bCs/>
                <w:sz w:val="24"/>
                <w:szCs w:val="24"/>
                <w:highlight w:val="none"/>
              </w:rPr>
              <w:t>管理人不负责承担投资者由此产生的利息等损失。</w:t>
            </w:r>
            <w:r>
              <w:rPr>
                <w:rFonts w:ascii="宋体" w:hAnsi="宋体" w:eastAsia="宋体"/>
                <w:sz w:val="24"/>
                <w:szCs w:val="24"/>
                <w:highlight w:val="none"/>
              </w:rPr>
              <w:t>在暂停认购的情况消除时，</w:t>
            </w:r>
            <w:r>
              <w:rPr>
                <w:rFonts w:hint="eastAsia" w:ascii="宋体" w:hAnsi="宋体" w:eastAsia="宋体"/>
                <w:sz w:val="24"/>
                <w:szCs w:val="24"/>
                <w:highlight w:val="none"/>
              </w:rPr>
              <w:t>产品</w:t>
            </w:r>
            <w:r>
              <w:rPr>
                <w:rFonts w:ascii="宋体" w:hAnsi="宋体" w:eastAsia="宋体"/>
                <w:sz w:val="24"/>
                <w:szCs w:val="24"/>
                <w:highlight w:val="none"/>
              </w:rPr>
              <w:t>管理人将及时恢复认购业务的办理。</w:t>
            </w:r>
          </w:p>
        </w:tc>
      </w:tr>
    </w:tbl>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四、投资管理</w:t>
      </w:r>
    </w:p>
    <w:p>
      <w:pPr>
        <w:spacing w:line="300" w:lineRule="auto"/>
        <w:outlineLvl w:val="1"/>
        <w:rPr>
          <w:rFonts w:hint="eastAsia" w:ascii="宋体" w:hAnsi="宋体" w:eastAsia="宋体"/>
          <w:b/>
          <w:bCs/>
          <w:sz w:val="24"/>
          <w:szCs w:val="24"/>
          <w:highlight w:val="none"/>
        </w:rPr>
      </w:pPr>
      <w:r>
        <w:rPr>
          <w:rFonts w:hint="eastAsia" w:ascii="宋体" w:hAnsi="宋体" w:eastAsia="宋体"/>
          <w:sz w:val="24"/>
          <w:szCs w:val="24"/>
          <w:highlight w:val="none"/>
        </w:rPr>
        <w:t>（一）投资目标</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在严格控制组合风险的前提下，通过综合分析宏观经济走势、财政与货币政策、利率波动与趋势、利率期限结构、信用风险和利差变化等因素，在符合产品投资范围和投资比例的前提下，综合考虑各类投资品种的收益性、流动性和风险特征，力争获得达到甚至高于业绩比较基准的投资回报。</w:t>
      </w:r>
    </w:p>
    <w:p>
      <w:pPr>
        <w:spacing w:line="300" w:lineRule="auto"/>
        <w:jc w:val="left"/>
        <w:outlineLvl w:val="1"/>
        <w:rPr>
          <w:rFonts w:hint="eastAsia" w:ascii="宋体" w:hAnsi="宋体" w:eastAsia="宋体"/>
          <w:sz w:val="24"/>
          <w:szCs w:val="24"/>
          <w:highlight w:val="none"/>
        </w:rPr>
      </w:pPr>
      <w:r>
        <w:rPr>
          <w:rFonts w:hint="eastAsia" w:ascii="宋体" w:hAnsi="宋体" w:eastAsia="宋体"/>
          <w:sz w:val="24"/>
          <w:szCs w:val="24"/>
          <w:highlight w:val="none"/>
        </w:rPr>
        <w:t>（二）投资范围和投资比例</w:t>
      </w:r>
    </w:p>
    <w:p>
      <w:pPr>
        <w:spacing w:line="300" w:lineRule="auto"/>
        <w:ind w:firstLine="480" w:firstLineChars="200"/>
        <w:jc w:val="left"/>
        <w:outlineLvl w:val="2"/>
        <w:rPr>
          <w:rFonts w:hint="eastAsia" w:ascii="宋体" w:hAnsi="宋体" w:eastAsia="宋体"/>
          <w:sz w:val="24"/>
          <w:szCs w:val="24"/>
          <w:highlight w:val="none"/>
        </w:rPr>
      </w:pPr>
      <w:r>
        <w:rPr>
          <w:rFonts w:hint="eastAsia" w:ascii="宋体" w:hAnsi="宋体" w:eastAsia="宋体"/>
          <w:sz w:val="24"/>
          <w:szCs w:val="24"/>
          <w:highlight w:val="none"/>
        </w:rPr>
        <w:t>1.投资范围</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本理财产品可直接或通过资产管理计划、信托计划及基金等资产管理产品间接投资于以下符合监管要求的金融资产和金融工具，包括但不限于：</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（1）固定收益类资产</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包括但不限于现金、银行存款、同业存款、协议存款、大额存单、同业存单、资金拆借、债券回购、货币基金等货币市场工具、国债、央行票据、企业债、金融债、政策性金融债、次级债、资产支持证券、地方政府债、中期票据、短期融资券、超短期融资券、公司债、私募债、永续债、可转换债券、可交换债券、非公开定向债务融资工具(PPN)、二级资本债、债券型基金、债券型基金中基金（FOF）、收益凭证、其他非标准化债权类资产，及其他符合监管要求的债权类资产</w:t>
      </w:r>
      <w:r>
        <w:rPr>
          <w:rFonts w:hint="eastAsia" w:ascii="宋体" w:hAnsi="宋体" w:eastAsia="宋体"/>
          <w:b w:val="0"/>
          <w:bCs w:val="0"/>
          <w:sz w:val="24"/>
          <w:szCs w:val="24"/>
          <w:highlight w:val="none"/>
          <w:lang w:eastAsia="zh-CN"/>
        </w:rPr>
        <w:t>（</w:t>
      </w:r>
      <w:r>
        <w:rPr>
          <w:rFonts w:hint="eastAsia" w:ascii="宋体" w:hAnsi="宋体" w:eastAsia="宋体"/>
          <w:b w:val="0"/>
          <w:bCs w:val="0"/>
          <w:sz w:val="24"/>
          <w:szCs w:val="24"/>
          <w:highlight w:val="none"/>
          <w:lang w:val="en-US" w:eastAsia="zh-CN"/>
        </w:rPr>
        <w:t>包括符合监管要求的各类QDII资产管理产品</w:t>
      </w:r>
      <w:r>
        <w:rPr>
          <w:rFonts w:hint="eastAsia" w:ascii="宋体" w:hAnsi="宋体" w:eastAsia="宋体"/>
          <w:b w:val="0"/>
          <w:bCs w:val="0"/>
          <w:sz w:val="24"/>
          <w:szCs w:val="24"/>
          <w:highlight w:val="none"/>
          <w:lang w:eastAsia="zh-CN"/>
        </w:rPr>
        <w:t>）</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（2）权益类资产</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包括但不限于境内的优先股、股票、股票型基金、混合型基金、QDII股票型基金、QDII混合型基金、股票型基金中基金（FOF）、混合型基金中基金（FOF）、公开募集基础设施证券投资基金（REITs）及其他符合监管要求的权益类资产；</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（3）商品及衍生品类资产</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包括但不限于商品型等另类投资基金、股指期货、国债期货、商品期货、利率互换、收益互换、交易所上市期权等，及其他符合监管要求的商品及衍生品类资产（本理财产品管理人在直接投资于金融衍生品类资产前，需先获得相应的衍生产品交易资格）。</w:t>
      </w:r>
    </w:p>
    <w:p>
      <w:pPr>
        <w:numPr>
          <w:ilvl w:val="255"/>
          <w:numId w:val="0"/>
        </w:num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本理财产品可能按照国务院金融管理部门相关规定开展回购业务。</w:t>
      </w:r>
    </w:p>
    <w:p>
      <w:pPr>
        <w:numPr>
          <w:ilvl w:val="255"/>
          <w:numId w:val="0"/>
        </w:num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本理财产品的上述投资范围将有可能随国家法律法规及监管政策的变化而产生变化，如投资范围等发生变化，产品管理人将至少于新投资范围开始实施</w:t>
      </w:r>
      <w:r>
        <w:rPr>
          <w:rFonts w:ascii="宋体" w:hAnsi="宋体" w:eastAsia="宋体"/>
          <w:sz w:val="24"/>
          <w:szCs w:val="24"/>
          <w:highlight w:val="none"/>
        </w:rPr>
        <w:t>前2个工作日</w:t>
      </w:r>
      <w:r>
        <w:rPr>
          <w:rFonts w:hint="eastAsia" w:ascii="宋体" w:hAnsi="宋体" w:eastAsia="宋体"/>
          <w:sz w:val="24"/>
          <w:szCs w:val="24"/>
          <w:highlight w:val="none"/>
        </w:rPr>
        <w:t>公告。</w:t>
      </w:r>
      <w:r>
        <w:rPr>
          <w:rFonts w:hint="eastAsia" w:ascii="宋体" w:hAnsi="宋体" w:eastAsia="宋体"/>
          <w:b/>
          <w:bCs/>
          <w:sz w:val="24"/>
          <w:szCs w:val="24"/>
          <w:highlight w:val="none"/>
        </w:rPr>
        <w:t>投资者如不同意调整的，可在渤银理财信息披露的补充或修改后的相关业务调整生效前赎回本理财产品，逾期未赎回的视为同意接受前述调整且继续持有本理财产品。</w:t>
      </w:r>
    </w:p>
    <w:p>
      <w:pPr>
        <w:widowControl/>
        <w:spacing w:line="300" w:lineRule="auto"/>
        <w:ind w:firstLine="482" w:firstLineChars="200"/>
        <w:jc w:val="left"/>
        <w:rPr>
          <w:rFonts w:hint="eastAsia" w:ascii="宋体" w:hAnsi="宋体" w:eastAsia="宋体"/>
          <w:b/>
          <w:bCs/>
          <w:sz w:val="24"/>
          <w:szCs w:val="24"/>
          <w:highlight w:val="none"/>
        </w:rPr>
      </w:pPr>
      <w:r>
        <w:rPr>
          <w:rFonts w:hint="eastAsia" w:ascii="宋体" w:hAnsi="宋体" w:eastAsia="宋体"/>
          <w:b/>
          <w:bCs/>
          <w:sz w:val="24"/>
          <w:szCs w:val="24"/>
          <w:highlight w:val="none"/>
          <w:lang w:bidi="ar"/>
        </w:rPr>
        <w:t>在遵守相关法律法规、监管规则及本产品说明书约定，避免不公平交易、利益输送等违法违规行为的前提下，投资者知晓并同意本理财产品的投资对象可能包括理财产品管理人/托管人及其关联方发行、承销、管理的符合本理财产品投资范围规定的投资产品，本理财产品可能与理财产品管理人/托管人及其关联方、理财产品管理人/托管人及其关联方管理的投资组合之间互为交易对手或从事其他类型的关联交易。</w:t>
      </w:r>
    </w:p>
    <w:p>
      <w:pPr>
        <w:widowControl/>
        <w:numPr>
          <w:ilvl w:val="255"/>
          <w:numId w:val="0"/>
        </w:numPr>
        <w:spacing w:line="300" w:lineRule="auto"/>
        <w:ind w:firstLine="480" w:firstLineChars="200"/>
        <w:jc w:val="left"/>
        <w:outlineLvl w:val="2"/>
        <w:rPr>
          <w:rFonts w:hint="eastAsia" w:ascii="宋体" w:hAnsi="宋体" w:eastAsia="宋体"/>
          <w:sz w:val="24"/>
          <w:szCs w:val="24"/>
          <w:highlight w:val="none"/>
          <w:lang w:bidi="ar"/>
        </w:rPr>
      </w:pPr>
      <w:r>
        <w:rPr>
          <w:rFonts w:hint="eastAsia" w:ascii="宋体" w:hAnsi="宋体" w:eastAsia="宋体"/>
          <w:sz w:val="24"/>
          <w:szCs w:val="24"/>
          <w:highlight w:val="none"/>
          <w:lang w:bidi="ar"/>
        </w:rPr>
        <w:t>2.投资比例</w:t>
      </w:r>
    </w:p>
    <w:p>
      <w:pPr>
        <w:ind w:firstLine="480" w:firstLineChars="200"/>
        <w:jc w:val="left"/>
        <w:rPr>
          <w:rFonts w:hint="eastAsia" w:ascii="宋体" w:hAnsi="宋体" w:eastAsia="宋体"/>
          <w:sz w:val="24"/>
          <w:szCs w:val="24"/>
          <w:highlight w:val="none"/>
          <w:lang w:bidi="ar"/>
        </w:rPr>
      </w:pPr>
      <w:r>
        <w:rPr>
          <w:rFonts w:hint="eastAsia" w:ascii="宋体" w:hAnsi="宋体" w:eastAsia="宋体"/>
          <w:sz w:val="24"/>
          <w:szCs w:val="24"/>
          <w:highlight w:val="none"/>
          <w:lang w:bidi="ar"/>
        </w:rPr>
        <w:t>本产品各投资种类的投资比例如下</w:t>
      </w:r>
      <w:r>
        <w:rPr>
          <w:rFonts w:ascii="宋体" w:hAnsi="宋体" w:eastAsia="宋体"/>
          <w:sz w:val="24"/>
          <w:szCs w:val="24"/>
          <w:highlight w:val="none"/>
          <w:lang w:bidi="ar"/>
        </w:rPr>
        <w:t>：</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00" w:lineRule="auto"/>
              <w:jc w:val="center"/>
              <w:rPr>
                <w:rFonts w:hint="eastAsia" w:ascii="宋体" w:hAnsi="宋体" w:eastAsia="宋体"/>
                <w:sz w:val="24"/>
                <w:szCs w:val="24"/>
                <w:highlight w:val="none"/>
                <w:lang w:bidi="ar"/>
              </w:rPr>
            </w:pPr>
            <w:r>
              <w:rPr>
                <w:rFonts w:hint="eastAsia" w:ascii="宋体" w:hAnsi="宋体" w:eastAsia="宋体"/>
                <w:sz w:val="24"/>
                <w:szCs w:val="24"/>
                <w:highlight w:val="none"/>
                <w:lang w:bidi="ar"/>
              </w:rPr>
              <w:t>资产类别</w:t>
            </w:r>
          </w:p>
        </w:tc>
        <w:tc>
          <w:tcPr>
            <w:tcW w:w="4261" w:type="dxa"/>
          </w:tcPr>
          <w:p>
            <w:pPr>
              <w:spacing w:line="300" w:lineRule="auto"/>
              <w:jc w:val="center"/>
              <w:rPr>
                <w:rFonts w:hint="eastAsia" w:ascii="宋体" w:hAnsi="宋体" w:eastAsia="宋体"/>
                <w:sz w:val="24"/>
                <w:szCs w:val="24"/>
                <w:highlight w:val="none"/>
                <w:lang w:bidi="ar"/>
              </w:rPr>
            </w:pPr>
            <w:r>
              <w:rPr>
                <w:rFonts w:hint="eastAsia" w:ascii="宋体" w:hAnsi="宋体" w:eastAsia="宋体"/>
                <w:sz w:val="24"/>
                <w:szCs w:val="24"/>
                <w:highlight w:val="none"/>
                <w:lang w:bidi="ar"/>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00" w:lineRule="auto"/>
              <w:jc w:val="center"/>
              <w:rPr>
                <w:rFonts w:hint="eastAsia" w:ascii="宋体" w:hAnsi="宋体" w:eastAsia="宋体"/>
                <w:sz w:val="24"/>
                <w:szCs w:val="24"/>
                <w:highlight w:val="none"/>
                <w:lang w:bidi="ar"/>
              </w:rPr>
            </w:pPr>
            <w:r>
              <w:rPr>
                <w:rFonts w:hint="eastAsia" w:ascii="宋体" w:hAnsi="宋体" w:eastAsia="宋体"/>
                <w:sz w:val="24"/>
                <w:szCs w:val="24"/>
                <w:highlight w:val="none"/>
                <w:lang w:val="en-US" w:eastAsia="zh-CN" w:bidi="ar"/>
              </w:rPr>
              <w:t>固定收益</w:t>
            </w:r>
            <w:r>
              <w:rPr>
                <w:rFonts w:hint="eastAsia" w:ascii="宋体" w:hAnsi="宋体" w:eastAsia="宋体"/>
                <w:sz w:val="24"/>
                <w:szCs w:val="24"/>
                <w:highlight w:val="none"/>
                <w:lang w:bidi="ar"/>
              </w:rPr>
              <w:t>类资产</w:t>
            </w:r>
          </w:p>
        </w:tc>
        <w:tc>
          <w:tcPr>
            <w:tcW w:w="4261" w:type="dxa"/>
          </w:tcPr>
          <w:p>
            <w:pPr>
              <w:spacing w:line="300" w:lineRule="auto"/>
              <w:jc w:val="center"/>
              <w:rPr>
                <w:rFonts w:hint="eastAsia" w:ascii="宋体" w:hAnsi="宋体" w:eastAsia="宋体"/>
                <w:sz w:val="24"/>
                <w:szCs w:val="24"/>
                <w:highlight w:val="none"/>
                <w:lang w:bidi="ar"/>
              </w:rPr>
            </w:pPr>
            <w:r>
              <w:rPr>
                <w:rFonts w:hint="eastAsia" w:ascii="宋体" w:hAnsi="宋体" w:eastAsia="宋体" w:cstheme="minorBidi"/>
                <w:sz w:val="24"/>
                <w:szCs w:val="24"/>
                <w:highlight w:val="none"/>
                <w:vertAlign w:val="baseline"/>
                <w:lang w:val="en-US" w:eastAsia="zh-CN" w:bidi="ar"/>
              </w:rPr>
              <w:t>80%（含）-100%（含）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00" w:lineRule="auto"/>
              <w:jc w:val="center"/>
              <w:rPr>
                <w:rFonts w:hint="eastAsia" w:ascii="宋体" w:hAnsi="宋体" w:eastAsia="宋体"/>
                <w:sz w:val="24"/>
                <w:szCs w:val="24"/>
                <w:highlight w:val="none"/>
              </w:rPr>
            </w:pPr>
            <w:r>
              <w:rPr>
                <w:rFonts w:hint="eastAsia" w:ascii="宋体" w:hAnsi="宋体" w:eastAsia="宋体"/>
                <w:sz w:val="24"/>
                <w:szCs w:val="24"/>
                <w:highlight w:val="none"/>
              </w:rPr>
              <w:t>其中：非标准化债权类资产</w:t>
            </w:r>
          </w:p>
        </w:tc>
        <w:tc>
          <w:tcPr>
            <w:tcW w:w="4261" w:type="dxa"/>
          </w:tcPr>
          <w:p>
            <w:pPr>
              <w:spacing w:line="300" w:lineRule="auto"/>
              <w:jc w:val="center"/>
              <w:rPr>
                <w:rFonts w:hint="eastAsia" w:ascii="宋体" w:hAnsi="宋体" w:eastAsia="宋体"/>
                <w:sz w:val="24"/>
                <w:szCs w:val="24"/>
                <w:highlight w:val="none"/>
              </w:rPr>
            </w:pPr>
            <w:r>
              <w:rPr>
                <w:rFonts w:hint="eastAsia" w:ascii="宋体" w:hAnsi="宋体" w:eastAsia="宋体" w:cstheme="minorBidi"/>
                <w:sz w:val="24"/>
                <w:szCs w:val="24"/>
                <w:highlight w:val="none"/>
                <w:vertAlign w:val="baseline"/>
                <w:lang w:val="en-US" w:eastAsia="zh-CN" w:bidi="ar"/>
              </w:rPr>
              <w:t>0%-49%（含）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00" w:lineRule="auto"/>
              <w:jc w:val="center"/>
              <w:rPr>
                <w:rFonts w:hint="eastAsia" w:ascii="宋体" w:hAnsi="宋体"/>
                <w:sz w:val="24"/>
                <w:szCs w:val="24"/>
                <w:highlight w:val="none"/>
                <w:lang w:bidi="ar"/>
              </w:rPr>
            </w:pPr>
            <w:r>
              <w:rPr>
                <w:rFonts w:hint="eastAsia" w:ascii="宋体" w:hAnsi="宋体" w:eastAsia="宋体"/>
                <w:sz w:val="24"/>
                <w:szCs w:val="24"/>
                <w:highlight w:val="none"/>
              </w:rPr>
              <w:t>权益类</w:t>
            </w:r>
            <w:r>
              <w:rPr>
                <w:rFonts w:hint="eastAsia" w:ascii="宋体" w:hAnsi="宋体" w:eastAsia="宋体"/>
                <w:sz w:val="24"/>
                <w:szCs w:val="24"/>
                <w:highlight w:val="none"/>
                <w:lang w:bidi="ar"/>
              </w:rPr>
              <w:t>资产</w:t>
            </w:r>
          </w:p>
        </w:tc>
        <w:tc>
          <w:tcPr>
            <w:tcW w:w="4261" w:type="dxa"/>
          </w:tcPr>
          <w:p>
            <w:pPr>
              <w:spacing w:line="300" w:lineRule="auto"/>
              <w:jc w:val="center"/>
              <w:rPr>
                <w:rFonts w:hint="eastAsia" w:ascii="宋体" w:hAnsi="宋体" w:eastAsia="宋体"/>
                <w:sz w:val="24"/>
                <w:szCs w:val="24"/>
                <w:highlight w:val="none"/>
                <w:lang w:bidi="ar"/>
              </w:rPr>
            </w:pPr>
            <w:r>
              <w:rPr>
                <w:rFonts w:hint="eastAsia" w:ascii="宋体" w:hAnsi="宋体" w:eastAsia="宋体"/>
                <w:sz w:val="24"/>
                <w:szCs w:val="24"/>
                <w:highlight w:val="none"/>
                <w:lang w:val="en-US" w:eastAsia="zh-CN"/>
              </w:rPr>
              <w:t>0%-</w:t>
            </w:r>
            <w:r>
              <w:rPr>
                <w:rFonts w:hint="eastAsia" w:ascii="宋体" w:hAnsi="宋体" w:eastAsia="宋体"/>
                <w:sz w:val="24"/>
                <w:szCs w:val="24"/>
                <w:highlight w:val="none"/>
              </w:rPr>
              <w:t>20%</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含</w:t>
            </w:r>
            <w:r>
              <w:rPr>
                <w:rFonts w:hint="eastAsia" w:ascii="宋体" w:hAnsi="宋体" w:eastAsia="宋体"/>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00" w:lineRule="auto"/>
              <w:jc w:val="center"/>
              <w:rPr>
                <w:rFonts w:hint="eastAsia" w:eastAsia="宋体"/>
                <w:highlight w:val="none"/>
                <w:lang w:val="en-US" w:eastAsia="zh-CN"/>
              </w:rPr>
            </w:pPr>
            <w:r>
              <w:rPr>
                <w:rFonts w:hint="eastAsia" w:ascii="宋体" w:hAnsi="宋体" w:eastAsia="宋体"/>
                <w:sz w:val="24"/>
                <w:szCs w:val="24"/>
                <w:highlight w:val="none"/>
              </w:rPr>
              <w:t>商品及金融衍生品类</w:t>
            </w:r>
            <w:r>
              <w:rPr>
                <w:rFonts w:hint="eastAsia" w:ascii="宋体" w:hAnsi="宋体" w:eastAsia="宋体"/>
                <w:sz w:val="24"/>
                <w:szCs w:val="24"/>
                <w:highlight w:val="none"/>
                <w:lang w:val="en-US" w:eastAsia="zh-CN"/>
              </w:rPr>
              <w:t>资产</w:t>
            </w:r>
          </w:p>
        </w:tc>
        <w:tc>
          <w:tcPr>
            <w:tcW w:w="4261" w:type="dxa"/>
          </w:tcPr>
          <w:p>
            <w:pPr>
              <w:spacing w:line="300" w:lineRule="auto"/>
              <w:jc w:val="center"/>
              <w:rPr>
                <w:rFonts w:hint="eastAsia" w:ascii="宋体" w:hAnsi="宋体" w:eastAsia="宋体"/>
                <w:sz w:val="24"/>
                <w:szCs w:val="24"/>
                <w:highlight w:val="none"/>
              </w:rPr>
            </w:pPr>
            <w:r>
              <w:rPr>
                <w:rFonts w:hint="eastAsia" w:ascii="宋体" w:hAnsi="宋体" w:eastAsia="宋体"/>
                <w:sz w:val="24"/>
                <w:szCs w:val="24"/>
                <w:highlight w:val="none"/>
                <w:lang w:val="en-US" w:eastAsia="zh-CN"/>
              </w:rPr>
              <w:t>0%-</w:t>
            </w:r>
            <w:r>
              <w:rPr>
                <w:rFonts w:hint="eastAsia" w:ascii="宋体" w:hAnsi="宋体" w:eastAsia="宋体"/>
                <w:sz w:val="24"/>
                <w:szCs w:val="24"/>
                <w:highlight w:val="none"/>
              </w:rPr>
              <w:t>20%</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含</w:t>
            </w:r>
            <w:r>
              <w:rPr>
                <w:rFonts w:hint="eastAsia" w:ascii="宋体" w:hAnsi="宋体" w:eastAsia="宋体"/>
                <w:sz w:val="24"/>
                <w:szCs w:val="24"/>
                <w:highlight w:val="none"/>
                <w:lang w:eastAsia="zh-CN"/>
              </w:rPr>
              <w:t>）</w:t>
            </w:r>
          </w:p>
        </w:tc>
      </w:tr>
    </w:tbl>
    <w:p>
      <w:pPr>
        <w:widowControl/>
        <w:spacing w:line="300" w:lineRule="auto"/>
        <w:ind w:firstLine="480" w:firstLineChars="200"/>
        <w:jc w:val="left"/>
        <w:rPr>
          <w:rFonts w:hint="eastAsia" w:ascii="宋体" w:hAnsi="宋体" w:eastAsia="宋体"/>
          <w:sz w:val="24"/>
          <w:szCs w:val="24"/>
          <w:highlight w:val="none"/>
        </w:rPr>
      </w:pP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本理财产品建仓期为【</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个月，产品管理人应当在建仓期结束后使理财产品的投资组合比例符合约定。理财产品投资退出期为自理财产品实际到期日前一个自然月至理财产品实际到期日，期间各投资品种配置比例可能超出或不足计划的配置比例区间。</w:t>
      </w:r>
      <w:r>
        <w:rPr>
          <w:rFonts w:hint="eastAsia" w:ascii="宋体" w:hAnsi="宋体" w:eastAsia="宋体"/>
          <w:b/>
          <w:bCs/>
          <w:sz w:val="24"/>
          <w:szCs w:val="24"/>
          <w:highlight w:val="none"/>
        </w:rPr>
        <w:t>当出现金融市场发生重大变化、产品出现大比例规模变化等情况，为保护投资者利益，本理财产品可以根据市场情况超出比例范围投资较低风险资产，上述安排可能导致本理财产品类型的临时变更。投资者签署本理财产品销售文件即视为已知悉并同意上述安排。</w:t>
      </w:r>
      <w:r>
        <w:rPr>
          <w:rFonts w:hint="eastAsia" w:ascii="宋体" w:hAnsi="宋体" w:eastAsia="宋体"/>
          <w:sz w:val="24"/>
          <w:szCs w:val="24"/>
          <w:highlight w:val="none"/>
        </w:rPr>
        <w:t>除上述情形外，非因产品管理人主观因素导致突破前述比例限制的，产品管理人将在流动性受限资产可出售、可转让或者恢复交易的</w:t>
      </w:r>
      <w:r>
        <w:rPr>
          <w:rFonts w:ascii="宋体" w:hAnsi="宋体" w:eastAsia="宋体"/>
          <w:sz w:val="24"/>
          <w:szCs w:val="24"/>
          <w:highlight w:val="none"/>
        </w:rPr>
        <w:t>15</w:t>
      </w:r>
      <w:r>
        <w:rPr>
          <w:rFonts w:hint="eastAsia" w:ascii="宋体" w:hAnsi="宋体" w:eastAsia="宋体"/>
          <w:sz w:val="24"/>
          <w:szCs w:val="24"/>
          <w:highlight w:val="none"/>
        </w:rPr>
        <w:t>个交易日内调整至符合相关要求，国务院银行业监督管理机构规定的特殊情形除外。</w:t>
      </w:r>
    </w:p>
    <w:p>
      <w:pPr>
        <w:numPr>
          <w:ilvl w:val="0"/>
          <w:numId w:val="6"/>
        </w:numPr>
        <w:spacing w:line="300" w:lineRule="auto"/>
        <w:outlineLvl w:val="1"/>
        <w:rPr>
          <w:rFonts w:hint="eastAsia" w:ascii="宋体" w:hAnsi="宋体" w:eastAsia="宋体"/>
          <w:sz w:val="24"/>
          <w:szCs w:val="24"/>
          <w:highlight w:val="none"/>
        </w:rPr>
      </w:pPr>
      <w:r>
        <w:rPr>
          <w:rFonts w:hint="eastAsia" w:ascii="宋体" w:hAnsi="宋体" w:eastAsia="宋体"/>
          <w:sz w:val="24"/>
          <w:szCs w:val="24"/>
          <w:highlight w:val="none"/>
        </w:rPr>
        <w:t>投资策略</w:t>
      </w:r>
    </w:p>
    <w:p>
      <w:pPr>
        <w:numPr>
          <w:ilvl w:val="0"/>
          <w:numId w:val="0"/>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本理财产品通过综合分析宏观经济走势、财政与货币政策、利率波动与趋势、利率期限结构、信用风险和利差变化等因素，在符合产品投资范围和投资比例的前提下，综合考虑各类投资品种的收益性、流动性和风险特征，力争获得高于业绩比较基准的投资回报。</w:t>
      </w:r>
    </w:p>
    <w:p>
      <w:pPr>
        <w:numPr>
          <w:ilvl w:val="0"/>
          <w:numId w:val="0"/>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本理财产品以货币市场工具、债券等固定收益类资产配置为主，择机配置合意的非标准化债权类资产，灵活运用理财资金获取收益。</w:t>
      </w:r>
    </w:p>
    <w:p>
      <w:pPr>
        <w:numPr>
          <w:ilvl w:val="0"/>
          <w:numId w:val="7"/>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久期配置策略：</w:t>
      </w:r>
    </w:p>
    <w:p>
      <w:pPr>
        <w:numPr>
          <w:ilvl w:val="-1"/>
          <w:numId w:val="0"/>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根据货币政策和宏观审慎政策双支柱调控框架，结合市场投资者行为，央行预期管理等方面形成利率走势预判，在合理假设下的情景分析和压力测试后，确定最优的债券组合久期。</w:t>
      </w:r>
    </w:p>
    <w:p>
      <w:pPr>
        <w:numPr>
          <w:ilvl w:val="0"/>
          <w:numId w:val="7"/>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信用类债券投资策略：</w:t>
      </w:r>
    </w:p>
    <w:p>
      <w:pPr>
        <w:numPr>
          <w:ilvl w:val="-1"/>
          <w:numId w:val="0"/>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深度挖掘价值低估债券，在控制组合信用风险暴露的前提下，提升组合信用风险溢价。基于信用利差曲线变化和个券信用变化，筛选债券投资标的，动态调整投资组合内各行业、发行人的投资比例。</w:t>
      </w:r>
    </w:p>
    <w:p>
      <w:pPr>
        <w:numPr>
          <w:ilvl w:val="0"/>
          <w:numId w:val="7"/>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息差策略：</w:t>
      </w:r>
    </w:p>
    <w:p>
      <w:pPr>
        <w:numPr>
          <w:ilvl w:val="-1"/>
          <w:numId w:val="0"/>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当回购利率低于债券收益率时,本理财产品将在符合监管指标和理财产品投资特征的基础上，开展正回购并将融入的资金投资于信用债从而获取债券收益率超出回购资金成本的套利价值。</w:t>
      </w:r>
    </w:p>
    <w:p>
      <w:pPr>
        <w:numPr>
          <w:ilvl w:val="0"/>
          <w:numId w:val="7"/>
        </w:numPr>
        <w:spacing w:line="300" w:lineRule="auto"/>
        <w:ind w:firstLine="480" w:firstLineChars="200"/>
        <w:jc w:val="left"/>
        <w:outlineLvl w:val="1"/>
        <w:rPr>
          <w:rFonts w:hint="eastAsia" w:ascii="宋体" w:hAnsi="宋体" w:eastAsia="宋体"/>
          <w:sz w:val="24"/>
          <w:szCs w:val="24"/>
          <w:lang w:val="en-US" w:eastAsia="zh-CN"/>
        </w:rPr>
      </w:pPr>
      <w:r>
        <w:rPr>
          <w:rFonts w:hint="eastAsia" w:ascii="宋体" w:hAnsi="宋体" w:eastAsia="宋体"/>
          <w:sz w:val="24"/>
          <w:szCs w:val="24"/>
          <w:lang w:val="en-US" w:eastAsia="zh-CN"/>
        </w:rPr>
        <w:t>非标准化债权类资产投资策略：</w:t>
      </w:r>
    </w:p>
    <w:p>
      <w:pPr>
        <w:numPr>
          <w:ilvl w:val="255"/>
          <w:numId w:val="0"/>
        </w:numPr>
        <w:spacing w:line="300" w:lineRule="auto"/>
        <w:ind w:firstLine="480" w:firstLineChars="200"/>
        <w:jc w:val="left"/>
        <w:outlineLvl w:val="1"/>
        <w:rPr>
          <w:rFonts w:hint="eastAsia" w:ascii="宋体" w:hAnsi="宋体" w:eastAsia="宋体"/>
          <w:sz w:val="24"/>
          <w:szCs w:val="24"/>
          <w:highlight w:val="none"/>
        </w:rPr>
      </w:pPr>
      <w:r>
        <w:rPr>
          <w:rFonts w:hint="eastAsia" w:ascii="宋体" w:hAnsi="宋体" w:eastAsia="宋体"/>
          <w:sz w:val="24"/>
          <w:szCs w:val="24"/>
          <w:lang w:val="en-US" w:eastAsia="zh-CN"/>
        </w:rPr>
        <w:t>通过持有非标准化债权类资产至到期，在稳定产品净值的基础上获取相对高额的静态票面收入。</w:t>
      </w:r>
    </w:p>
    <w:p>
      <w:pPr>
        <w:spacing w:line="300" w:lineRule="auto"/>
        <w:jc w:val="left"/>
        <w:outlineLvl w:val="1"/>
        <w:rPr>
          <w:rFonts w:hint="eastAsia" w:ascii="宋体" w:hAnsi="宋体" w:eastAsia="宋体"/>
          <w:sz w:val="24"/>
          <w:szCs w:val="24"/>
          <w:highlight w:val="none"/>
        </w:rPr>
      </w:pPr>
      <w:r>
        <w:rPr>
          <w:rFonts w:hint="eastAsia" w:ascii="宋体" w:hAnsi="宋体" w:eastAsia="宋体"/>
          <w:sz w:val="24"/>
          <w:szCs w:val="24"/>
          <w:highlight w:val="none"/>
        </w:rPr>
        <w:t>（四）投资限制</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1.本理财产品的杠杆水平不超过200%。</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2.本理财产品投资于单只证券、单只公募证券投资基金的市值不超过本产品净资产</w:t>
      </w:r>
      <w:r>
        <w:rPr>
          <w:rFonts w:hint="eastAsia" w:ascii="宋体" w:hAnsi="宋体" w:eastAsia="宋体"/>
          <w:sz w:val="24"/>
          <w:szCs w:val="24"/>
          <w:highlight w:val="none"/>
        </w:rPr>
        <w:t>的</w:t>
      </w:r>
      <w:r>
        <w:rPr>
          <w:rFonts w:ascii="宋体" w:hAnsi="宋体" w:eastAsia="宋体"/>
          <w:sz w:val="24"/>
          <w:szCs w:val="24"/>
          <w:highlight w:val="none"/>
        </w:rPr>
        <w:t>10%</w:t>
      </w:r>
      <w:r>
        <w:rPr>
          <w:rFonts w:hint="eastAsia" w:ascii="宋体" w:hAnsi="宋体" w:eastAsia="宋体"/>
          <w:sz w:val="24"/>
          <w:szCs w:val="24"/>
          <w:highlight w:val="none"/>
        </w:rPr>
        <w:t>，</w:t>
      </w:r>
      <w:r>
        <w:rPr>
          <w:rFonts w:ascii="宋体" w:hAnsi="宋体" w:eastAsia="宋体"/>
          <w:sz w:val="24"/>
          <w:szCs w:val="24"/>
          <w:highlight w:val="none"/>
        </w:rPr>
        <w:t>国债、地方政府债券、中央银行票据、政府机构债券、政策性</w:t>
      </w:r>
      <w:r>
        <w:rPr>
          <w:rFonts w:hint="eastAsia" w:ascii="宋体" w:hAnsi="宋体" w:eastAsia="宋体"/>
          <w:sz w:val="24"/>
          <w:szCs w:val="24"/>
          <w:highlight w:val="none"/>
        </w:rPr>
        <w:t>金融债券除外。</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3.本理财产品投资于非标准化债权类资产的比例不高于本产品净资产的49%。</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4.本理财产品投资不存在活跃交易市场，并且需要采用估值技术确定公允价值的资产比例可以达到本产品净资产50%以上。</w:t>
      </w:r>
    </w:p>
    <w:p>
      <w:pPr>
        <w:spacing w:line="300" w:lineRule="auto"/>
        <w:ind w:firstLine="480" w:firstLineChars="200"/>
        <w:jc w:val="left"/>
        <w:rPr>
          <w:rFonts w:hint="eastAsia" w:ascii="宋体" w:hAnsi="宋体" w:eastAsia="宋体"/>
          <w:sz w:val="24"/>
          <w:szCs w:val="24"/>
          <w:highlight w:val="none"/>
        </w:rPr>
      </w:pPr>
      <w:bookmarkStart w:id="0" w:name="_Hlk134609573"/>
      <w:r>
        <w:rPr>
          <w:rFonts w:hint="eastAsia" w:ascii="宋体" w:hAnsi="宋体" w:eastAsia="宋体"/>
          <w:sz w:val="24"/>
          <w:szCs w:val="24"/>
          <w:highlight w:val="none"/>
        </w:rPr>
        <w:t>非因产品管理人主观因素导致不符合前述第</w:t>
      </w:r>
      <w:r>
        <w:rPr>
          <w:rFonts w:ascii="宋体" w:hAnsi="宋体" w:eastAsia="宋体"/>
          <w:sz w:val="24"/>
          <w:szCs w:val="24"/>
          <w:highlight w:val="none"/>
        </w:rPr>
        <w:t>2条比例限制的，</w:t>
      </w:r>
      <w:r>
        <w:rPr>
          <w:rFonts w:hint="eastAsia" w:ascii="宋体" w:hAnsi="宋体" w:eastAsia="宋体"/>
          <w:sz w:val="24"/>
          <w:szCs w:val="24"/>
          <w:highlight w:val="none"/>
        </w:rPr>
        <w:t>产品</w:t>
      </w:r>
      <w:r>
        <w:rPr>
          <w:rFonts w:ascii="宋体" w:hAnsi="宋体" w:eastAsia="宋体"/>
          <w:sz w:val="24"/>
          <w:szCs w:val="24"/>
          <w:highlight w:val="none"/>
        </w:rPr>
        <w:t>管理人将在流动性受限资产</w:t>
      </w:r>
      <w:r>
        <w:rPr>
          <w:rFonts w:hint="eastAsia" w:ascii="宋体" w:hAnsi="宋体" w:eastAsia="宋体"/>
          <w:sz w:val="24"/>
          <w:szCs w:val="24"/>
          <w:highlight w:val="none"/>
        </w:rPr>
        <w:t>可出售、可转让或者恢复交易的</w:t>
      </w:r>
      <w:r>
        <w:rPr>
          <w:rFonts w:ascii="宋体" w:hAnsi="宋体" w:eastAsia="宋体"/>
          <w:sz w:val="24"/>
          <w:szCs w:val="24"/>
          <w:highlight w:val="none"/>
        </w:rPr>
        <w:t>1</w:t>
      </w:r>
      <w:r>
        <w:rPr>
          <w:rFonts w:hint="eastAsia" w:ascii="宋体" w:hAnsi="宋体" w:eastAsia="宋体"/>
          <w:sz w:val="24"/>
          <w:szCs w:val="24"/>
          <w:highlight w:val="none"/>
        </w:rPr>
        <w:t>0</w:t>
      </w:r>
      <w:r>
        <w:rPr>
          <w:rFonts w:ascii="宋体" w:hAnsi="宋体" w:eastAsia="宋体"/>
          <w:sz w:val="24"/>
          <w:szCs w:val="24"/>
          <w:highlight w:val="none"/>
        </w:rPr>
        <w:t>个交易日内调整至符合相关要求，国务院银行业监督管</w:t>
      </w:r>
      <w:r>
        <w:rPr>
          <w:rFonts w:hint="eastAsia" w:ascii="宋体" w:hAnsi="宋体" w:eastAsia="宋体"/>
          <w:sz w:val="24"/>
          <w:szCs w:val="24"/>
          <w:highlight w:val="none"/>
        </w:rPr>
        <w:t>理机构规定的特殊情形除外。</w:t>
      </w:r>
      <w:bookmarkEnd w:id="0"/>
    </w:p>
    <w:p>
      <w:pPr>
        <w:spacing w:line="300" w:lineRule="auto"/>
        <w:ind w:firstLine="480" w:firstLineChars="200"/>
        <w:jc w:val="left"/>
        <w:rPr>
          <w:rFonts w:hint="eastAsia" w:ascii="宋体" w:hAnsi="宋体" w:eastAsia="宋体"/>
          <w:sz w:val="24"/>
          <w:szCs w:val="24"/>
          <w:highlight w:val="none"/>
        </w:rPr>
      </w:pPr>
    </w:p>
    <w:p>
      <w:pPr>
        <w:spacing w:line="300" w:lineRule="auto"/>
        <w:jc w:val="left"/>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五、交易规则</w:t>
      </w:r>
    </w:p>
    <w:p>
      <w:pPr>
        <w:spacing w:line="300" w:lineRule="auto"/>
        <w:ind w:firstLine="480" w:firstLineChars="200"/>
        <w:jc w:val="left"/>
        <w:outlineLvl w:val="1"/>
        <w:rPr>
          <w:rFonts w:hint="eastAsia" w:ascii="宋体" w:hAnsi="宋体" w:eastAsia="宋体"/>
          <w:sz w:val="24"/>
          <w:szCs w:val="24"/>
          <w:highlight w:val="none"/>
        </w:rPr>
      </w:pPr>
      <w:r>
        <w:rPr>
          <w:rFonts w:hint="eastAsia" w:ascii="宋体" w:hAnsi="宋体" w:eastAsia="宋体"/>
          <w:sz w:val="24"/>
          <w:szCs w:val="24"/>
          <w:highlight w:val="none"/>
        </w:rPr>
        <w:t>（一）产品发行规模及份额类别</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1.在本产品</w:t>
      </w:r>
      <w:r>
        <w:rPr>
          <w:rFonts w:hint="eastAsia" w:ascii="宋体" w:hAnsi="宋体" w:eastAsia="宋体"/>
          <w:sz w:val="24"/>
          <w:szCs w:val="24"/>
          <w:highlight w:val="none"/>
        </w:rPr>
        <w:t>认购期内，若认购总额达到本产品规模上限，本产品管理人有权利但无义务暂停或停止本产品的认购，已经认购成功的投资者投资权益不受影响。</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2.若</w:t>
      </w:r>
      <w:r>
        <w:rPr>
          <w:rFonts w:hint="eastAsia" w:ascii="宋体" w:hAnsi="宋体" w:eastAsia="宋体"/>
          <w:sz w:val="24"/>
          <w:szCs w:val="24"/>
          <w:highlight w:val="none"/>
        </w:rPr>
        <w:t>认购期届满，本产品认购总额低于发行规模下限，本产品管理人亦有权利但无义务宣布本产品不成立。</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w:t>
      </w:r>
      <w:r>
        <w:rPr>
          <w:rFonts w:ascii="宋体" w:hAnsi="宋体" w:eastAsia="宋体"/>
          <w:sz w:val="24"/>
          <w:szCs w:val="24"/>
          <w:highlight w:val="none"/>
        </w:rPr>
        <w:t>产品管理人有权根据投资者购买理财产品的金额、销售渠道等因素，对理财产品设置不同的份额类别。如理财产品设置不同的份额类别，理财产品每类份额</w:t>
      </w:r>
      <w:r>
        <w:rPr>
          <w:rFonts w:hint="eastAsia" w:ascii="宋体" w:hAnsi="宋体" w:eastAsia="宋体"/>
          <w:sz w:val="24"/>
          <w:szCs w:val="24"/>
          <w:highlight w:val="none"/>
        </w:rPr>
        <w:t>可单独设置的内容包括但不限于</w:t>
      </w:r>
      <w:r>
        <w:rPr>
          <w:rFonts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（1）产品销售名称</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（2）产品销售代码</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销售服务机构；</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（4）</w:t>
      </w:r>
      <w:r>
        <w:rPr>
          <w:rFonts w:hint="eastAsia" w:ascii="宋体" w:hAnsi="宋体" w:eastAsia="宋体"/>
          <w:sz w:val="24"/>
          <w:szCs w:val="24"/>
          <w:highlight w:val="none"/>
        </w:rPr>
        <w:t>销售对象；</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（5）销售</w:t>
      </w:r>
      <w:r>
        <w:rPr>
          <w:rFonts w:hint="eastAsia" w:ascii="宋体" w:hAnsi="宋体" w:eastAsia="宋体"/>
          <w:sz w:val="24"/>
          <w:szCs w:val="24"/>
          <w:highlight w:val="none"/>
        </w:rPr>
        <w:t>服务</w:t>
      </w:r>
      <w:r>
        <w:rPr>
          <w:rFonts w:ascii="宋体" w:hAnsi="宋体" w:eastAsia="宋体"/>
          <w:sz w:val="24"/>
          <w:szCs w:val="24"/>
          <w:highlight w:val="none"/>
        </w:rPr>
        <w:t>费率</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（6）业绩比较基准</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（7）认购投资起点金额及递增金额</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（8）单笔</w:t>
      </w:r>
      <w:r>
        <w:rPr>
          <w:rFonts w:hint="eastAsia" w:ascii="宋体" w:hAnsi="宋体" w:eastAsia="宋体"/>
          <w:sz w:val="24"/>
          <w:szCs w:val="24"/>
          <w:highlight w:val="none"/>
        </w:rPr>
        <w:t>认购上限、单笔</w:t>
      </w:r>
      <w:r>
        <w:rPr>
          <w:rFonts w:ascii="宋体" w:hAnsi="宋体" w:eastAsia="宋体"/>
          <w:sz w:val="24"/>
          <w:szCs w:val="24"/>
          <w:highlight w:val="none"/>
        </w:rPr>
        <w:t>最大购买金额、累计购买金额等</w:t>
      </w:r>
      <w:r>
        <w:rPr>
          <w:rFonts w:hint="eastAsia" w:ascii="宋体" w:hAnsi="宋体" w:eastAsia="宋体"/>
          <w:sz w:val="24"/>
          <w:szCs w:val="24"/>
          <w:highlight w:val="none"/>
        </w:rPr>
        <w:t>认</w:t>
      </w:r>
      <w:r>
        <w:rPr>
          <w:rFonts w:ascii="宋体" w:hAnsi="宋体" w:eastAsia="宋体"/>
          <w:sz w:val="24"/>
          <w:szCs w:val="24"/>
          <w:highlight w:val="none"/>
        </w:rPr>
        <w:t>购限制</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（9）单一投资者持有上限</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（10）可单独设置的其他内容</w:t>
      </w:r>
      <w:r>
        <w:rPr>
          <w:rFonts w:hint="eastAsia" w:ascii="宋体" w:hAnsi="宋体" w:eastAsia="宋体"/>
          <w:sz w:val="24"/>
          <w:szCs w:val="24"/>
          <w:highlight w:val="none"/>
        </w:rPr>
        <w:t>（如有）。</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如理财产品设置不同的产品份额，各产品份额</w:t>
      </w:r>
      <w:r>
        <w:rPr>
          <w:rFonts w:hint="eastAsia" w:ascii="宋体" w:hAnsi="宋体" w:eastAsia="宋体"/>
          <w:sz w:val="24"/>
          <w:szCs w:val="24"/>
          <w:highlight w:val="none"/>
        </w:rPr>
        <w:t>净值</w:t>
      </w:r>
      <w:r>
        <w:rPr>
          <w:rFonts w:ascii="宋体" w:hAnsi="宋体" w:eastAsia="宋体"/>
          <w:sz w:val="24"/>
          <w:szCs w:val="24"/>
          <w:highlight w:val="none"/>
        </w:rPr>
        <w:t>将分别计算及公告，投资者可根据实际情况自行选择认购的产品份额类别。如有调整，以管理人公告为准。</w:t>
      </w:r>
    </w:p>
    <w:p>
      <w:pPr>
        <w:spacing w:line="300" w:lineRule="auto"/>
        <w:ind w:firstLine="480" w:firstLineChars="200"/>
        <w:jc w:val="left"/>
        <w:outlineLvl w:val="1"/>
        <w:rPr>
          <w:rFonts w:hint="eastAsia" w:ascii="宋体" w:hAnsi="宋体" w:eastAsia="宋体"/>
          <w:sz w:val="24"/>
          <w:szCs w:val="24"/>
          <w:highlight w:val="none"/>
        </w:rPr>
      </w:pPr>
      <w:r>
        <w:rPr>
          <w:rFonts w:hint="eastAsia" w:ascii="宋体" w:hAnsi="宋体" w:eastAsia="宋体"/>
          <w:sz w:val="24"/>
          <w:szCs w:val="24"/>
          <w:highlight w:val="none"/>
        </w:rPr>
        <w:t>（二）产品的认购与费用</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认购</w:t>
      </w:r>
      <w:r>
        <w:rPr>
          <w:rFonts w:ascii="宋体" w:hAnsi="宋体" w:eastAsia="宋体"/>
          <w:sz w:val="24"/>
          <w:szCs w:val="24"/>
          <w:highlight w:val="none"/>
        </w:rPr>
        <w:t>期：</w:t>
      </w:r>
      <w:r>
        <w:rPr>
          <w:rFonts w:hint="eastAsia" w:ascii="宋体" w:hAnsi="宋体" w:eastAsia="宋体"/>
          <w:sz w:val="24"/>
          <w:szCs w:val="24"/>
          <w:highlight w:val="none"/>
          <w:lang w:eastAsia="zh-CN"/>
        </w:rPr>
        <w:t>2026年6月22日</w:t>
      </w: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00</w:t>
      </w:r>
      <w:r>
        <w:rPr>
          <w:rFonts w:ascii="宋体" w:hAnsi="宋体" w:eastAsia="宋体"/>
          <w:sz w:val="24"/>
          <w:szCs w:val="24"/>
          <w:highlight w:val="none"/>
        </w:rPr>
        <w:t>到</w:t>
      </w:r>
      <w:r>
        <w:rPr>
          <w:rFonts w:hint="eastAsia" w:ascii="宋体" w:hAnsi="宋体" w:eastAsia="宋体"/>
          <w:sz w:val="24"/>
          <w:szCs w:val="24"/>
          <w:highlight w:val="none"/>
          <w:lang w:eastAsia="zh-CN"/>
        </w:rPr>
        <w:t>2026年6月29日</w:t>
      </w:r>
      <w:r>
        <w:rPr>
          <w:rFonts w:hint="eastAsia" w:ascii="宋体" w:hAnsi="宋体" w:eastAsia="宋体"/>
          <w:sz w:val="24"/>
          <w:szCs w:val="24"/>
          <w:highlight w:val="none"/>
          <w:lang w:val="en-US" w:eastAsia="zh-CN"/>
        </w:rPr>
        <w:t>17</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00</w:t>
      </w:r>
      <w:r>
        <w:rPr>
          <w:rFonts w:ascii="宋体" w:hAnsi="宋体" w:eastAsia="宋体"/>
          <w:sz w:val="24"/>
          <w:szCs w:val="24"/>
          <w:highlight w:val="none"/>
        </w:rPr>
        <w:t>,</w:t>
      </w:r>
      <w:r>
        <w:rPr>
          <w:rFonts w:hint="eastAsia" w:ascii="宋体" w:hAnsi="宋体" w:eastAsia="宋体"/>
          <w:sz w:val="24"/>
          <w:szCs w:val="24"/>
          <w:highlight w:val="none"/>
        </w:rPr>
        <w:t>认购期内认购资金，自认购之日（含）起，至认购登记日（不含）止，认购资金是否计付利息，以销售服务机构为准。（如产品认购期延长或提前结束，实际认购登记日以产品管理人公告为准。）</w:t>
      </w:r>
      <w:r>
        <w:rPr>
          <w:rFonts w:hint="eastAsia" w:ascii="宋体" w:hAnsi="宋体" w:eastAsia="宋体"/>
          <w:sz w:val="24"/>
          <w:szCs w:val="24"/>
          <w:highlight w:val="none"/>
        </w:rPr>
        <w:tab/>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本产品不收取认购费</w:t>
      </w:r>
      <w:r>
        <w:rPr>
          <w:rFonts w:ascii="宋体" w:hAnsi="宋体" w:eastAsia="宋体"/>
          <w:sz w:val="24"/>
          <w:szCs w:val="24"/>
          <w:highlight w:val="none"/>
        </w:rPr>
        <w:t>。</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3.初始份额面值为1元/份。</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4.本理财产品采取金额认购的方式，认购份额=人民币认购金额×（1-认购费率）/1元（认购份额按照四舍五入方法计算，保留小数点后【</w:t>
      </w:r>
      <w:r>
        <w:rPr>
          <w:rFonts w:hint="eastAsia" w:ascii="宋体" w:hAnsi="宋体" w:eastAsia="宋体"/>
          <w:sz w:val="24"/>
          <w:szCs w:val="24"/>
          <w:highlight w:val="none"/>
        </w:rPr>
        <w:t>2</w:t>
      </w:r>
      <w:r>
        <w:rPr>
          <w:rFonts w:ascii="宋体" w:hAnsi="宋体" w:eastAsia="宋体"/>
          <w:sz w:val="24"/>
          <w:szCs w:val="24"/>
          <w:highlight w:val="none"/>
        </w:rPr>
        <w:t>】位，由此误差产生的损失由理财</w:t>
      </w:r>
      <w:r>
        <w:rPr>
          <w:rFonts w:hint="eastAsia" w:ascii="宋体" w:hAnsi="宋体" w:eastAsia="宋体"/>
          <w:sz w:val="24"/>
          <w:szCs w:val="24"/>
          <w:highlight w:val="none"/>
        </w:rPr>
        <w:t>产品</w:t>
      </w:r>
      <w:r>
        <w:rPr>
          <w:rFonts w:ascii="宋体" w:hAnsi="宋体" w:eastAsia="宋体"/>
          <w:sz w:val="24"/>
          <w:szCs w:val="24"/>
          <w:highlight w:val="none"/>
        </w:rPr>
        <w:t>财产承担，产生的收益归理财</w:t>
      </w:r>
      <w:r>
        <w:rPr>
          <w:rFonts w:hint="eastAsia" w:ascii="宋体" w:hAnsi="宋体" w:eastAsia="宋体"/>
          <w:sz w:val="24"/>
          <w:szCs w:val="24"/>
          <w:highlight w:val="none"/>
        </w:rPr>
        <w:t>产品</w:t>
      </w:r>
      <w:r>
        <w:rPr>
          <w:rFonts w:ascii="宋体" w:hAnsi="宋体" w:eastAsia="宋体"/>
          <w:sz w:val="24"/>
          <w:szCs w:val="24"/>
          <w:highlight w:val="none"/>
        </w:rPr>
        <w:t>财产所有）。</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5.认购撤单：</w:t>
      </w:r>
      <w:r>
        <w:rPr>
          <w:rFonts w:hint="eastAsia" w:ascii="宋体" w:hAnsi="宋体" w:eastAsia="宋体"/>
          <w:sz w:val="24"/>
          <w:szCs w:val="24"/>
          <w:highlight w:val="none"/>
        </w:rPr>
        <w:t>投资者在销售服务机构购买理财产品的，认购期内是否可以撤单以及撤单规则，以销售服务机构说明或公布的操作方式为准。</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6.认购金额：</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A类份额】：在认购期内，首次认购起点金额为【</w:t>
      </w:r>
      <w:r>
        <w:rPr>
          <w:rFonts w:hint="eastAsia" w:ascii="宋体" w:hAnsi="宋体" w:eastAsia="宋体"/>
          <w:sz w:val="24"/>
          <w:szCs w:val="24"/>
          <w:highlight w:val="none"/>
          <w:lang w:val="en-US" w:eastAsia="zh-CN"/>
        </w:rPr>
        <w:t>100万</w:t>
      </w:r>
      <w:r>
        <w:rPr>
          <w:rFonts w:hint="eastAsia" w:ascii="宋体" w:hAnsi="宋体" w:eastAsia="宋体"/>
          <w:sz w:val="24"/>
          <w:szCs w:val="24"/>
          <w:highlight w:val="none"/>
        </w:rPr>
        <w:t>】</w:t>
      </w:r>
      <w:r>
        <w:rPr>
          <w:rFonts w:ascii="宋体" w:hAnsi="宋体" w:eastAsia="宋体"/>
          <w:sz w:val="24"/>
          <w:szCs w:val="24"/>
          <w:highlight w:val="none"/>
        </w:rPr>
        <w:t>元；超出部分，需以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元整数倍递增。追加认</w:t>
      </w:r>
      <w:r>
        <w:rPr>
          <w:rFonts w:hint="eastAsia" w:ascii="宋体" w:hAnsi="宋体" w:eastAsia="宋体"/>
          <w:sz w:val="24"/>
          <w:szCs w:val="24"/>
          <w:highlight w:val="none"/>
        </w:rPr>
        <w:t>购起点金额为【</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元整数倍递增</w:t>
      </w:r>
      <w:r>
        <w:rPr>
          <w:rFonts w:hint="eastAsia" w:ascii="宋体" w:hAnsi="宋体" w:eastAsia="宋体"/>
          <w:sz w:val="24"/>
          <w:szCs w:val="24"/>
          <w:highlight w:val="none"/>
        </w:rPr>
        <w:t>。</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cs="宋体"/>
          <w:sz w:val="24"/>
          <w:szCs w:val="24"/>
          <w:highlight w:val="none"/>
        </w:rPr>
        <w:t>★【B</w:t>
      </w:r>
      <w:r>
        <w:rPr>
          <w:rFonts w:hint="eastAsia" w:ascii="宋体" w:hAnsi="宋体" w:eastAsia="宋体"/>
          <w:sz w:val="24"/>
          <w:szCs w:val="24"/>
          <w:highlight w:val="none"/>
        </w:rPr>
        <w:t>类份额】：在认购期内，首次认购起点金额为【</w:t>
      </w:r>
      <w:r>
        <w:rPr>
          <w:rFonts w:hint="eastAsia" w:ascii="宋体" w:hAnsi="宋体" w:eastAsia="宋体"/>
          <w:sz w:val="24"/>
          <w:szCs w:val="24"/>
          <w:highlight w:val="none"/>
          <w:lang w:val="en-US" w:eastAsia="zh-CN"/>
        </w:rPr>
        <w:t>5000</w:t>
      </w:r>
      <w:r>
        <w:rPr>
          <w:rFonts w:hint="eastAsia" w:ascii="宋体" w:hAnsi="宋体" w:eastAsia="宋体"/>
          <w:sz w:val="24"/>
          <w:szCs w:val="24"/>
          <w:highlight w:val="none"/>
        </w:rPr>
        <w:t>】</w:t>
      </w:r>
      <w:r>
        <w:rPr>
          <w:rFonts w:ascii="宋体" w:hAnsi="宋体" w:eastAsia="宋体"/>
          <w:sz w:val="24"/>
          <w:szCs w:val="24"/>
          <w:highlight w:val="none"/>
        </w:rPr>
        <w:t>元；超出部分，需以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元整数倍递增。追加认</w:t>
      </w:r>
      <w:r>
        <w:rPr>
          <w:rFonts w:hint="eastAsia" w:ascii="宋体" w:hAnsi="宋体" w:eastAsia="宋体"/>
          <w:sz w:val="24"/>
          <w:szCs w:val="24"/>
          <w:highlight w:val="none"/>
        </w:rPr>
        <w:t>购起点金额为【</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元整数倍递增</w:t>
      </w:r>
      <w:r>
        <w:rPr>
          <w:rFonts w:hint="eastAsia" w:ascii="宋体" w:hAnsi="宋体" w:eastAsia="宋体"/>
          <w:sz w:val="24"/>
          <w:szCs w:val="24"/>
          <w:highlight w:val="none"/>
        </w:rPr>
        <w:t>。</w:t>
      </w:r>
    </w:p>
    <w:p>
      <w:pPr>
        <w:spacing w:line="300" w:lineRule="auto"/>
        <w:ind w:firstLine="480" w:firstLineChars="200"/>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C</w:t>
      </w:r>
      <w:r>
        <w:rPr>
          <w:rFonts w:hint="eastAsia" w:ascii="宋体" w:hAnsi="宋体" w:eastAsia="宋体"/>
          <w:color w:val="000000" w:themeColor="text1"/>
          <w:sz w:val="24"/>
          <w:szCs w:val="24"/>
          <w:highlight w:val="none"/>
          <w14:textFill>
            <w14:solidFill>
              <w14:schemeClr w14:val="tx1"/>
            </w14:solidFill>
          </w14:textFill>
        </w:rPr>
        <w:t>类份额】：在认购期内，首次认购起点金额为【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元整数倍递增。追加认</w:t>
      </w:r>
      <w:r>
        <w:rPr>
          <w:rFonts w:hint="eastAsia" w:ascii="宋体" w:hAnsi="宋体" w:eastAsia="宋体"/>
          <w:color w:val="000000" w:themeColor="text1"/>
          <w:sz w:val="24"/>
          <w:szCs w:val="24"/>
          <w:highlight w:val="none"/>
          <w14:textFill>
            <w14:solidFill>
              <w14:schemeClr w14:val="tx1"/>
            </w14:solidFill>
          </w14:textFill>
        </w:rPr>
        <w:t>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w:t>
      </w:r>
      <w:r>
        <w:rPr>
          <w:rFonts w:hint="eastAsia" w:ascii="宋体" w:hAnsi="宋体" w:eastAsia="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D</w:t>
      </w:r>
      <w:r>
        <w:rPr>
          <w:rFonts w:hint="eastAsia" w:ascii="宋体" w:hAnsi="宋体" w:eastAsia="宋体"/>
          <w:color w:val="000000" w:themeColor="text1"/>
          <w:sz w:val="24"/>
          <w:szCs w:val="24"/>
          <w:highlight w:val="none"/>
          <w14:textFill>
            <w14:solidFill>
              <w14:schemeClr w14:val="tx1"/>
            </w14:solidFill>
          </w14:textFill>
        </w:rPr>
        <w:t>类份额】：在认购期内，首次认购起点金额为【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元整数倍递增。追加认</w:t>
      </w:r>
      <w:r>
        <w:rPr>
          <w:rFonts w:hint="eastAsia" w:ascii="宋体" w:hAnsi="宋体" w:eastAsia="宋体"/>
          <w:color w:val="000000" w:themeColor="text1"/>
          <w:sz w:val="24"/>
          <w:szCs w:val="24"/>
          <w:highlight w:val="none"/>
          <w14:textFill>
            <w14:solidFill>
              <w14:schemeClr w14:val="tx1"/>
            </w14:solidFill>
          </w14:textFill>
        </w:rPr>
        <w:t>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w:t>
      </w:r>
      <w:r>
        <w:rPr>
          <w:rFonts w:hint="eastAsia" w:ascii="宋体" w:hAnsi="宋体" w:eastAsia="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E</w:t>
      </w:r>
      <w:r>
        <w:rPr>
          <w:rFonts w:hint="eastAsia" w:ascii="宋体" w:hAnsi="宋体" w:eastAsia="宋体"/>
          <w:sz w:val="24"/>
          <w:szCs w:val="24"/>
          <w:highlight w:val="none"/>
        </w:rPr>
        <w:t>类份额】：在认购期内，首次认购起点金额为【</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元整数倍递增。追加认</w:t>
      </w:r>
      <w:r>
        <w:rPr>
          <w:rFonts w:hint="eastAsia" w:ascii="宋体" w:hAnsi="宋体" w:eastAsia="宋体"/>
          <w:sz w:val="24"/>
          <w:szCs w:val="24"/>
          <w:highlight w:val="none"/>
        </w:rPr>
        <w:t>购起点金额为【</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元整数倍递增</w:t>
      </w:r>
      <w:r>
        <w:rPr>
          <w:rFonts w:hint="eastAsia" w:ascii="宋体" w:hAnsi="宋体" w:eastAsia="宋体"/>
          <w:sz w:val="24"/>
          <w:szCs w:val="24"/>
          <w:highlight w:val="none"/>
        </w:rPr>
        <w:t>。</w:t>
      </w:r>
    </w:p>
    <w:p>
      <w:pPr>
        <w:spacing w:line="300" w:lineRule="auto"/>
        <w:ind w:firstLine="480" w:firstLineChars="200"/>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F</w:t>
      </w:r>
      <w:r>
        <w:rPr>
          <w:rFonts w:hint="eastAsia" w:ascii="宋体" w:hAnsi="宋体" w:eastAsia="宋体"/>
          <w:color w:val="000000" w:themeColor="text1"/>
          <w:sz w:val="24"/>
          <w:szCs w:val="24"/>
          <w:highlight w:val="none"/>
          <w14:textFill>
            <w14:solidFill>
              <w14:schemeClr w14:val="tx1"/>
            </w14:solidFill>
          </w14:textFill>
        </w:rPr>
        <w:t>类份额】：在认购期内，首次认购起点金额为【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元整数倍递增。追加认</w:t>
      </w:r>
      <w:r>
        <w:rPr>
          <w:rFonts w:hint="eastAsia" w:ascii="宋体" w:hAnsi="宋体" w:eastAsia="宋体"/>
          <w:color w:val="000000" w:themeColor="text1"/>
          <w:sz w:val="24"/>
          <w:szCs w:val="24"/>
          <w:highlight w:val="none"/>
          <w14:textFill>
            <w14:solidFill>
              <w14:schemeClr w14:val="tx1"/>
            </w14:solidFill>
          </w14:textFill>
        </w:rPr>
        <w:t>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w:t>
      </w:r>
      <w:r>
        <w:rPr>
          <w:rFonts w:hint="eastAsia" w:ascii="宋体" w:hAnsi="宋体" w:eastAsia="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G</w:t>
      </w:r>
      <w:r>
        <w:rPr>
          <w:rFonts w:hint="eastAsia" w:ascii="宋体" w:hAnsi="宋体" w:eastAsia="宋体"/>
          <w:color w:val="000000" w:themeColor="text1"/>
          <w:sz w:val="24"/>
          <w:szCs w:val="24"/>
          <w:highlight w:val="none"/>
          <w14:textFill>
            <w14:solidFill>
              <w14:schemeClr w14:val="tx1"/>
            </w14:solidFill>
          </w14:textFill>
        </w:rPr>
        <w:t>类份额】：在认购期内，首次认购起点金额为【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100万</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元整数倍递增。追加认</w:t>
      </w:r>
      <w:r>
        <w:rPr>
          <w:rFonts w:hint="eastAsia" w:ascii="宋体" w:hAnsi="宋体" w:eastAsia="宋体"/>
          <w:color w:val="000000" w:themeColor="text1"/>
          <w:sz w:val="24"/>
          <w:szCs w:val="24"/>
          <w:highlight w:val="none"/>
          <w14:textFill>
            <w14:solidFill>
              <w14:schemeClr w14:val="tx1"/>
            </w14:solidFill>
          </w14:textFill>
        </w:rPr>
        <w:t>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w:t>
      </w:r>
      <w:r>
        <w:rPr>
          <w:rFonts w:hint="eastAsia" w:ascii="宋体" w:hAnsi="宋体" w:eastAsia="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H</w:t>
      </w:r>
      <w:r>
        <w:rPr>
          <w:rFonts w:hint="eastAsia" w:ascii="宋体" w:hAnsi="宋体" w:eastAsia="宋体"/>
          <w:color w:val="000000" w:themeColor="text1"/>
          <w:sz w:val="24"/>
          <w:szCs w:val="24"/>
          <w:highlight w:val="none"/>
          <w14:textFill>
            <w14:solidFill>
              <w14:schemeClr w14:val="tx1"/>
            </w14:solidFill>
          </w14:textFill>
        </w:rPr>
        <w:t>类份额】：在认购期内，首次认购起点金额为【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元整数倍递增。追加认</w:t>
      </w:r>
      <w:r>
        <w:rPr>
          <w:rFonts w:hint="eastAsia" w:ascii="宋体" w:hAnsi="宋体" w:eastAsia="宋体"/>
          <w:color w:val="000000" w:themeColor="text1"/>
          <w:sz w:val="24"/>
          <w:szCs w:val="24"/>
          <w:highlight w:val="none"/>
          <w14:textFill>
            <w14:solidFill>
              <w14:schemeClr w14:val="tx1"/>
            </w14:solidFill>
          </w14:textFill>
        </w:rPr>
        <w:t>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w:t>
      </w:r>
      <w:r>
        <w:rPr>
          <w:rFonts w:hint="eastAsia" w:ascii="宋体" w:hAnsi="宋体" w:eastAsia="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J</w:t>
      </w:r>
      <w:r>
        <w:rPr>
          <w:rFonts w:hint="eastAsia" w:ascii="宋体" w:hAnsi="宋体" w:eastAsia="宋体"/>
          <w:color w:val="000000" w:themeColor="text1"/>
          <w:sz w:val="24"/>
          <w:szCs w:val="24"/>
          <w:highlight w:val="none"/>
          <w14:textFill>
            <w14:solidFill>
              <w14:schemeClr w14:val="tx1"/>
            </w14:solidFill>
          </w14:textFill>
        </w:rPr>
        <w:t>类份额】：在认购期内，首次认购起点金额为【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元整数倍递增。追加认</w:t>
      </w:r>
      <w:r>
        <w:rPr>
          <w:rFonts w:hint="eastAsia" w:ascii="宋体" w:hAnsi="宋体" w:eastAsia="宋体"/>
          <w:color w:val="000000" w:themeColor="text1"/>
          <w:sz w:val="24"/>
          <w:szCs w:val="24"/>
          <w:highlight w:val="none"/>
          <w14:textFill>
            <w14:solidFill>
              <w14:schemeClr w14:val="tx1"/>
            </w14:solidFill>
          </w14:textFill>
        </w:rPr>
        <w:t>购起点金额为【</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元；超出部分，需以</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元整数倍递增</w:t>
      </w:r>
      <w:r>
        <w:rPr>
          <w:rFonts w:hint="eastAsia" w:ascii="宋体" w:hAnsi="宋体" w:eastAsia="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K</w:t>
      </w:r>
      <w:r>
        <w:rPr>
          <w:rFonts w:hint="eastAsia" w:ascii="宋体" w:hAnsi="宋体" w:eastAsia="宋体"/>
          <w:sz w:val="24"/>
          <w:szCs w:val="24"/>
          <w:highlight w:val="none"/>
        </w:rPr>
        <w:t>类份额】：在认购期内，首次认购起点金额为【</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元整数倍递增。追加认</w:t>
      </w:r>
      <w:r>
        <w:rPr>
          <w:rFonts w:hint="eastAsia" w:ascii="宋体" w:hAnsi="宋体" w:eastAsia="宋体"/>
          <w:sz w:val="24"/>
          <w:szCs w:val="24"/>
          <w:highlight w:val="none"/>
        </w:rPr>
        <w:t>购起点金额为【</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元；超出部分，需以</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w:t>
      </w:r>
      <w:r>
        <w:rPr>
          <w:rFonts w:hint="eastAsia" w:ascii="宋体" w:hAnsi="宋体" w:eastAsia="宋体"/>
          <w:sz w:val="24"/>
          <w:szCs w:val="24"/>
          <w:highlight w:val="none"/>
        </w:rPr>
        <w:t>】</w:t>
      </w:r>
      <w:r>
        <w:rPr>
          <w:rFonts w:ascii="宋体" w:hAnsi="宋体" w:eastAsia="宋体"/>
          <w:sz w:val="24"/>
          <w:szCs w:val="24"/>
          <w:highlight w:val="none"/>
        </w:rPr>
        <w:t>元整数倍递增</w:t>
      </w:r>
      <w:r>
        <w:rPr>
          <w:rFonts w:hint="eastAsia" w:ascii="宋体" w:hAnsi="宋体" w:eastAsia="宋体"/>
          <w:sz w:val="24"/>
          <w:szCs w:val="24"/>
          <w:highlight w:val="none"/>
        </w:rPr>
        <w:t>。</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管理人有权以公告形式调整上述规则。</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7.单笔认购上限：</w:t>
      </w:r>
    </w:p>
    <w:p>
      <w:pPr>
        <w:spacing w:line="30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w:t>
      </w:r>
      <w:r>
        <w:rPr>
          <w:rFonts w:hint="eastAsia" w:ascii="宋体" w:hAnsi="宋体" w:eastAsia="宋体" w:cs="宋体"/>
          <w:sz w:val="24"/>
          <w:szCs w:val="24"/>
          <w:highlight w:val="none"/>
        </w:rPr>
        <w:t>：在</w:t>
      </w:r>
      <w:r>
        <w:rPr>
          <w:rFonts w:hint="eastAsia" w:ascii="宋体" w:hAnsi="宋体" w:eastAsia="宋体"/>
          <w:sz w:val="24"/>
          <w:szCs w:val="24"/>
          <w:highlight w:val="none"/>
        </w:rPr>
        <w:t>认购期内，个人</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，机构</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cs="宋体"/>
          <w:sz w:val="24"/>
          <w:szCs w:val="24"/>
          <w:highlight w:val="none"/>
        </w:rPr>
        <w:t>。</w:t>
      </w:r>
    </w:p>
    <w:p>
      <w:pPr>
        <w:spacing w:line="30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B类份额】</w:t>
      </w:r>
      <w:r>
        <w:rPr>
          <w:rFonts w:hint="eastAsia" w:ascii="宋体" w:hAnsi="宋体" w:eastAsia="宋体" w:cs="宋体"/>
          <w:sz w:val="24"/>
          <w:szCs w:val="24"/>
          <w:highlight w:val="none"/>
        </w:rPr>
        <w:t>：在</w:t>
      </w:r>
      <w:r>
        <w:rPr>
          <w:rFonts w:hint="eastAsia" w:ascii="宋体" w:hAnsi="宋体" w:eastAsia="宋体"/>
          <w:sz w:val="24"/>
          <w:szCs w:val="24"/>
          <w:highlight w:val="none"/>
        </w:rPr>
        <w:t>认购期内，个人</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，机构</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cs="宋体"/>
          <w:sz w:val="24"/>
          <w:szCs w:val="24"/>
          <w:highlight w:val="none"/>
        </w:rPr>
        <w:t>。</w:t>
      </w:r>
    </w:p>
    <w:p>
      <w:pPr>
        <w:spacing w:line="30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C</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olor w:val="000000" w:themeColor="text1"/>
          <w:sz w:val="24"/>
          <w:szCs w:val="24"/>
          <w:highlight w:val="none"/>
          <w14:textFill>
            <w14:solidFill>
              <w14:schemeClr w14:val="tx1"/>
            </w14:solidFill>
          </w14:textFill>
        </w:rPr>
        <w:t>认购期内，个人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D</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olor w:val="000000" w:themeColor="text1"/>
          <w:sz w:val="24"/>
          <w:szCs w:val="24"/>
          <w:highlight w:val="none"/>
          <w14:textFill>
            <w14:solidFill>
              <w14:schemeClr w14:val="tx1"/>
            </w14:solidFill>
          </w14:textFill>
        </w:rPr>
        <w:t>认购期内，个人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E</w:t>
      </w:r>
      <w:r>
        <w:rPr>
          <w:rFonts w:hint="eastAsia" w:ascii="宋体" w:hAnsi="宋体" w:eastAsia="宋体"/>
          <w:sz w:val="24"/>
          <w:szCs w:val="24"/>
          <w:highlight w:val="none"/>
        </w:rPr>
        <w:t>类份额】</w:t>
      </w:r>
      <w:r>
        <w:rPr>
          <w:rFonts w:hint="eastAsia" w:ascii="宋体" w:hAnsi="宋体" w:eastAsia="宋体" w:cs="宋体"/>
          <w:sz w:val="24"/>
          <w:szCs w:val="24"/>
          <w:highlight w:val="none"/>
        </w:rPr>
        <w:t>：在</w:t>
      </w:r>
      <w:r>
        <w:rPr>
          <w:rFonts w:hint="eastAsia" w:ascii="宋体" w:hAnsi="宋体" w:eastAsia="宋体"/>
          <w:sz w:val="24"/>
          <w:szCs w:val="24"/>
          <w:highlight w:val="none"/>
        </w:rPr>
        <w:t>认购期内，个人</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，机构</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cs="宋体"/>
          <w:sz w:val="24"/>
          <w:szCs w:val="24"/>
          <w:highlight w:val="none"/>
        </w:rPr>
        <w:t>。</w:t>
      </w:r>
    </w:p>
    <w:p>
      <w:pPr>
        <w:spacing w:line="30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F</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olor w:val="000000" w:themeColor="text1"/>
          <w:sz w:val="24"/>
          <w:szCs w:val="24"/>
          <w:highlight w:val="none"/>
          <w14:textFill>
            <w14:solidFill>
              <w14:schemeClr w14:val="tx1"/>
            </w14:solidFill>
          </w14:textFill>
        </w:rPr>
        <w:t>认购期内，个人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G</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olor w:val="000000" w:themeColor="text1"/>
          <w:sz w:val="24"/>
          <w:szCs w:val="24"/>
          <w:highlight w:val="none"/>
          <w14:textFill>
            <w14:solidFill>
              <w14:schemeClr w14:val="tx1"/>
            </w14:solidFill>
          </w14:textFill>
        </w:rPr>
        <w:t>认购期内，个人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H</w:t>
      </w:r>
      <w:r>
        <w:rPr>
          <w:rFonts w:hint="eastAsia" w:ascii="宋体" w:hAnsi="宋体" w:eastAsia="宋体"/>
          <w:sz w:val="24"/>
          <w:szCs w:val="24"/>
          <w:highlight w:val="none"/>
        </w:rPr>
        <w:t>类份额】</w:t>
      </w:r>
      <w:r>
        <w:rPr>
          <w:rFonts w:hint="eastAsia" w:ascii="宋体" w:hAnsi="宋体" w:eastAsia="宋体" w:cs="宋体"/>
          <w:sz w:val="24"/>
          <w:szCs w:val="24"/>
          <w:highlight w:val="none"/>
        </w:rPr>
        <w:t>：在</w:t>
      </w:r>
      <w:r>
        <w:rPr>
          <w:rFonts w:hint="eastAsia" w:ascii="宋体" w:hAnsi="宋体" w:eastAsia="宋体"/>
          <w:sz w:val="24"/>
          <w:szCs w:val="24"/>
          <w:highlight w:val="none"/>
        </w:rPr>
        <w:t>认购期内，个人</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，机构</w:t>
      </w:r>
      <w:r>
        <w:rPr>
          <w:rFonts w:ascii="宋体" w:hAnsi="宋体" w:eastAsia="宋体"/>
          <w:sz w:val="24"/>
          <w:szCs w:val="24"/>
          <w:highlight w:val="none"/>
        </w:rPr>
        <w:t>投资者单笔认购上限为</w:t>
      </w:r>
      <w:r>
        <w:rPr>
          <w:rFonts w:hint="eastAsia" w:ascii="宋体" w:hAnsi="宋体" w:eastAsia="宋体"/>
          <w:sz w:val="24"/>
          <w:szCs w:val="24"/>
          <w:highlight w:val="none"/>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cs="宋体"/>
          <w:sz w:val="24"/>
          <w:szCs w:val="24"/>
          <w:highlight w:val="none"/>
        </w:rPr>
        <w:t>。</w:t>
      </w:r>
    </w:p>
    <w:p>
      <w:pPr>
        <w:spacing w:line="30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J</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olor w:val="000000" w:themeColor="text1"/>
          <w:sz w:val="24"/>
          <w:szCs w:val="24"/>
          <w:highlight w:val="none"/>
          <w14:textFill>
            <w14:solidFill>
              <w14:schemeClr w14:val="tx1"/>
            </w14:solidFill>
          </w14:textFill>
        </w:rPr>
        <w:t>认购期内，个人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K</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olor w:val="000000" w:themeColor="text1"/>
          <w:sz w:val="24"/>
          <w:szCs w:val="24"/>
          <w:highlight w:val="none"/>
          <w14:textFill>
            <w14:solidFill>
              <w14:schemeClr w14:val="tx1"/>
            </w14:solidFill>
          </w14:textFill>
        </w:rPr>
        <w:t>认购期内，个人</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，机构</w:t>
      </w:r>
      <w:r>
        <w:rPr>
          <w:rFonts w:ascii="宋体" w:hAnsi="宋体" w:eastAsia="宋体"/>
          <w:color w:val="000000" w:themeColor="text1"/>
          <w:sz w:val="24"/>
          <w:szCs w:val="24"/>
          <w:highlight w:val="none"/>
          <w14:textFill>
            <w14:solidFill>
              <w14:schemeClr w14:val="tx1"/>
            </w14:solidFill>
          </w14:textFill>
        </w:rPr>
        <w:t>投资者单笔认购上限为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14:textFill>
            <w14:solidFill>
              <w14:schemeClr w14:val="tx1"/>
            </w14:solidFill>
          </w14:textFill>
        </w:rPr>
        <w:t>。</w:t>
      </w:r>
    </w:p>
    <w:p>
      <w:pPr>
        <w:spacing w:line="30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如发生超额申请，管理人有权根据实际情况决定拒绝或受理。管理人有权以公告形式调整单笔认购上限。在认购期内，投资者可多次认购。</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8.</w:t>
      </w:r>
      <w:r>
        <w:rPr>
          <w:rFonts w:ascii="宋体" w:hAnsi="宋体" w:eastAsia="宋体"/>
          <w:sz w:val="24"/>
          <w:szCs w:val="24"/>
          <w:highlight w:val="none"/>
        </w:rPr>
        <w:t>单一投资者持有上限：</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A类份额】</w:t>
      </w:r>
      <w:r>
        <w:rPr>
          <w:rFonts w:hint="eastAsia" w:ascii="宋体" w:hAnsi="宋体" w:eastAsia="宋体" w:cs="宋体"/>
          <w:sz w:val="24"/>
          <w:szCs w:val="24"/>
          <w:highlight w:val="none"/>
        </w:rPr>
        <w:t>：</w:t>
      </w:r>
      <w:r>
        <w:rPr>
          <w:rFonts w:ascii="宋体" w:hAnsi="宋体" w:eastAsia="宋体"/>
          <w:sz w:val="24"/>
          <w:szCs w:val="24"/>
          <w:highlight w:val="none"/>
        </w:rPr>
        <w:t>单一</w:t>
      </w:r>
      <w:r>
        <w:rPr>
          <w:rFonts w:hint="eastAsia" w:ascii="宋体" w:hAnsi="宋体" w:eastAsia="宋体"/>
          <w:sz w:val="24"/>
          <w:szCs w:val="24"/>
          <w:highlight w:val="none"/>
        </w:rPr>
        <w:t>个人</w:t>
      </w:r>
      <w:r>
        <w:rPr>
          <w:rFonts w:ascii="宋体" w:hAnsi="宋体" w:eastAsia="宋体"/>
          <w:sz w:val="24"/>
          <w:szCs w:val="24"/>
          <w:highlight w:val="none"/>
        </w:rPr>
        <w:t>投资者持有上限为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，单一机构投资者持有上限【</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】元。</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rPr>
        <w:t>B类份额】</w:t>
      </w:r>
      <w:r>
        <w:rPr>
          <w:rFonts w:hint="eastAsia" w:ascii="宋体" w:hAnsi="宋体" w:eastAsia="宋体" w:cs="宋体"/>
          <w:sz w:val="24"/>
          <w:szCs w:val="24"/>
          <w:highlight w:val="none"/>
        </w:rPr>
        <w:t>：</w:t>
      </w:r>
      <w:r>
        <w:rPr>
          <w:rFonts w:ascii="宋体" w:hAnsi="宋体" w:eastAsia="宋体"/>
          <w:sz w:val="24"/>
          <w:szCs w:val="24"/>
          <w:highlight w:val="none"/>
        </w:rPr>
        <w:t>单一</w:t>
      </w:r>
      <w:r>
        <w:rPr>
          <w:rFonts w:hint="eastAsia" w:ascii="宋体" w:hAnsi="宋体" w:eastAsia="宋体"/>
          <w:sz w:val="24"/>
          <w:szCs w:val="24"/>
          <w:highlight w:val="none"/>
        </w:rPr>
        <w:t>个人</w:t>
      </w:r>
      <w:r>
        <w:rPr>
          <w:rFonts w:ascii="宋体" w:hAnsi="宋体" w:eastAsia="宋体"/>
          <w:sz w:val="24"/>
          <w:szCs w:val="24"/>
          <w:highlight w:val="none"/>
        </w:rPr>
        <w:t>投资者持有上限为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，单一机构投资者持有上限【</w:t>
      </w: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】元。</w:t>
      </w:r>
    </w:p>
    <w:p>
      <w:pPr>
        <w:spacing w:line="300" w:lineRule="auto"/>
        <w:ind w:firstLine="480" w:firstLineChars="20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C</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单一</w:t>
      </w:r>
      <w:r>
        <w:rPr>
          <w:rFonts w:hint="eastAsia" w:ascii="宋体" w:hAnsi="宋体" w:eastAsia="宋体"/>
          <w:color w:val="000000" w:themeColor="text1"/>
          <w:sz w:val="24"/>
          <w:szCs w:val="24"/>
          <w:highlight w:val="none"/>
          <w14:textFill>
            <w14:solidFill>
              <w14:schemeClr w14:val="tx1"/>
            </w14:solidFill>
          </w14:textFill>
        </w:rPr>
        <w:t>个人</w:t>
      </w:r>
      <w:r>
        <w:rPr>
          <w:rFonts w:ascii="宋体" w:hAnsi="宋体" w:eastAsia="宋体"/>
          <w:color w:val="000000" w:themeColor="text1"/>
          <w:sz w:val="24"/>
          <w:szCs w:val="24"/>
          <w:highlight w:val="none"/>
          <w14:textFill>
            <w14:solidFill>
              <w14:schemeClr w14:val="tx1"/>
            </w14:solidFill>
          </w14:textFill>
        </w:rPr>
        <w:t>投资者持有上限为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w:t>
      </w:r>
      <w:r>
        <w:rPr>
          <w:rFonts w:hint="eastAsia" w:ascii="宋体" w:hAnsi="宋体" w:eastAsia="宋体"/>
          <w:sz w:val="24"/>
          <w:szCs w:val="24"/>
          <w:highlight w:val="none"/>
          <w:lang w:val="en-US" w:eastAsia="zh-CN"/>
        </w:rPr>
        <w:t>1亿</w:t>
      </w:r>
      <w:r>
        <w:rPr>
          <w:rFonts w:hint="eastAsia" w:ascii="宋体" w:hAnsi="宋体" w:eastAsia="宋体"/>
          <w:color w:val="000000" w:themeColor="text1"/>
          <w:sz w:val="24"/>
          <w:szCs w:val="24"/>
          <w:highlight w:val="none"/>
          <w14:textFill>
            <w14:solidFill>
              <w14:schemeClr w14:val="tx1"/>
            </w14:solidFill>
          </w14:textFill>
        </w:rPr>
        <w:t>】元。</w:t>
      </w:r>
    </w:p>
    <w:p>
      <w:pPr>
        <w:spacing w:line="300" w:lineRule="auto"/>
        <w:ind w:firstLine="480" w:firstLineChars="20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D</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单一</w:t>
      </w:r>
      <w:r>
        <w:rPr>
          <w:rFonts w:hint="eastAsia" w:ascii="宋体" w:hAnsi="宋体" w:eastAsia="宋体"/>
          <w:color w:val="000000" w:themeColor="text1"/>
          <w:sz w:val="24"/>
          <w:szCs w:val="24"/>
          <w:highlight w:val="none"/>
          <w14:textFill>
            <w14:solidFill>
              <w14:schemeClr w14:val="tx1"/>
            </w14:solidFill>
          </w14:textFill>
        </w:rPr>
        <w:t>个人</w:t>
      </w:r>
      <w:r>
        <w:rPr>
          <w:rFonts w:ascii="宋体" w:hAnsi="宋体" w:eastAsia="宋体"/>
          <w:color w:val="000000" w:themeColor="text1"/>
          <w:sz w:val="24"/>
          <w:szCs w:val="24"/>
          <w:highlight w:val="none"/>
          <w14:textFill>
            <w14:solidFill>
              <w14:schemeClr w14:val="tx1"/>
            </w14:solidFill>
          </w14:textFill>
        </w:rPr>
        <w:t>投资者持有上限为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】元。</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E</w:t>
      </w:r>
      <w:r>
        <w:rPr>
          <w:rFonts w:hint="eastAsia" w:ascii="宋体" w:hAnsi="宋体" w:eastAsia="宋体"/>
          <w:sz w:val="24"/>
          <w:szCs w:val="24"/>
          <w:highlight w:val="none"/>
        </w:rPr>
        <w:t>类份额】</w:t>
      </w:r>
      <w:r>
        <w:rPr>
          <w:rFonts w:hint="eastAsia" w:ascii="宋体" w:hAnsi="宋体" w:eastAsia="宋体" w:cs="宋体"/>
          <w:sz w:val="24"/>
          <w:szCs w:val="24"/>
          <w:highlight w:val="none"/>
        </w:rPr>
        <w:t>：</w:t>
      </w:r>
      <w:r>
        <w:rPr>
          <w:rFonts w:ascii="宋体" w:hAnsi="宋体" w:eastAsia="宋体"/>
          <w:sz w:val="24"/>
          <w:szCs w:val="24"/>
          <w:highlight w:val="none"/>
        </w:rPr>
        <w:t>单一</w:t>
      </w:r>
      <w:r>
        <w:rPr>
          <w:rFonts w:hint="eastAsia" w:ascii="宋体" w:hAnsi="宋体" w:eastAsia="宋体"/>
          <w:sz w:val="24"/>
          <w:szCs w:val="24"/>
          <w:highlight w:val="none"/>
        </w:rPr>
        <w:t>个人</w:t>
      </w:r>
      <w:r>
        <w:rPr>
          <w:rFonts w:ascii="宋体" w:hAnsi="宋体" w:eastAsia="宋体"/>
          <w:sz w:val="24"/>
          <w:szCs w:val="24"/>
          <w:highlight w:val="none"/>
        </w:rPr>
        <w:t>投资者持有上限为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，单一机构投资者持有上限【</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】元。</w:t>
      </w:r>
    </w:p>
    <w:p>
      <w:pPr>
        <w:spacing w:line="300" w:lineRule="auto"/>
        <w:ind w:firstLine="480" w:firstLineChars="20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F</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单一</w:t>
      </w:r>
      <w:r>
        <w:rPr>
          <w:rFonts w:hint="eastAsia" w:ascii="宋体" w:hAnsi="宋体" w:eastAsia="宋体"/>
          <w:color w:val="000000" w:themeColor="text1"/>
          <w:sz w:val="24"/>
          <w:szCs w:val="24"/>
          <w:highlight w:val="none"/>
          <w14:textFill>
            <w14:solidFill>
              <w14:schemeClr w14:val="tx1"/>
            </w14:solidFill>
          </w14:textFill>
        </w:rPr>
        <w:t>个人</w:t>
      </w:r>
      <w:r>
        <w:rPr>
          <w:rFonts w:ascii="宋体" w:hAnsi="宋体" w:eastAsia="宋体"/>
          <w:color w:val="000000" w:themeColor="text1"/>
          <w:sz w:val="24"/>
          <w:szCs w:val="24"/>
          <w:highlight w:val="none"/>
          <w14:textFill>
            <w14:solidFill>
              <w14:schemeClr w14:val="tx1"/>
            </w14:solidFill>
          </w14:textFill>
        </w:rPr>
        <w:t>投资者持有上限为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w:t>
      </w:r>
      <w:r>
        <w:rPr>
          <w:rFonts w:hint="eastAsia" w:ascii="宋体" w:hAnsi="宋体" w:eastAsia="宋体"/>
          <w:sz w:val="24"/>
          <w:szCs w:val="24"/>
          <w:highlight w:val="none"/>
          <w:lang w:val="en-US" w:eastAsia="zh-CN"/>
        </w:rPr>
        <w:t>1亿</w:t>
      </w:r>
      <w:r>
        <w:rPr>
          <w:rFonts w:hint="eastAsia" w:ascii="宋体" w:hAnsi="宋体" w:eastAsia="宋体"/>
          <w:color w:val="000000" w:themeColor="text1"/>
          <w:sz w:val="24"/>
          <w:szCs w:val="24"/>
          <w:highlight w:val="none"/>
          <w14:textFill>
            <w14:solidFill>
              <w14:schemeClr w14:val="tx1"/>
            </w14:solidFill>
          </w14:textFill>
        </w:rPr>
        <w:t>】元。</w:t>
      </w:r>
    </w:p>
    <w:p>
      <w:pPr>
        <w:spacing w:line="300" w:lineRule="auto"/>
        <w:ind w:firstLine="480" w:firstLineChars="20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G</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单一</w:t>
      </w:r>
      <w:r>
        <w:rPr>
          <w:rFonts w:hint="eastAsia" w:ascii="宋体" w:hAnsi="宋体" w:eastAsia="宋体"/>
          <w:color w:val="000000" w:themeColor="text1"/>
          <w:sz w:val="24"/>
          <w:szCs w:val="24"/>
          <w:highlight w:val="none"/>
          <w14:textFill>
            <w14:solidFill>
              <w14:schemeClr w14:val="tx1"/>
            </w14:solidFill>
          </w14:textFill>
        </w:rPr>
        <w:t>个人</w:t>
      </w:r>
      <w:r>
        <w:rPr>
          <w:rFonts w:ascii="宋体" w:hAnsi="宋体" w:eastAsia="宋体"/>
          <w:color w:val="000000" w:themeColor="text1"/>
          <w:sz w:val="24"/>
          <w:szCs w:val="24"/>
          <w:highlight w:val="none"/>
          <w14:textFill>
            <w14:solidFill>
              <w14:schemeClr w14:val="tx1"/>
            </w14:solidFill>
          </w14:textFill>
        </w:rPr>
        <w:t>投资者持有上限为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】元。</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sz w:val="24"/>
          <w:szCs w:val="24"/>
          <w:highlight w:val="none"/>
          <w:lang w:val="en-US" w:eastAsia="zh-CN"/>
        </w:rPr>
        <w:t>H</w:t>
      </w:r>
      <w:r>
        <w:rPr>
          <w:rFonts w:hint="eastAsia" w:ascii="宋体" w:hAnsi="宋体" w:eastAsia="宋体"/>
          <w:sz w:val="24"/>
          <w:szCs w:val="24"/>
          <w:highlight w:val="none"/>
        </w:rPr>
        <w:t>类份额】</w:t>
      </w:r>
      <w:r>
        <w:rPr>
          <w:rFonts w:hint="eastAsia" w:ascii="宋体" w:hAnsi="宋体" w:eastAsia="宋体" w:cs="宋体"/>
          <w:sz w:val="24"/>
          <w:szCs w:val="24"/>
          <w:highlight w:val="none"/>
        </w:rPr>
        <w:t>：</w:t>
      </w:r>
      <w:r>
        <w:rPr>
          <w:rFonts w:ascii="宋体" w:hAnsi="宋体" w:eastAsia="宋体"/>
          <w:sz w:val="24"/>
          <w:szCs w:val="24"/>
          <w:highlight w:val="none"/>
        </w:rPr>
        <w:t>单一</w:t>
      </w:r>
      <w:r>
        <w:rPr>
          <w:rFonts w:hint="eastAsia" w:ascii="宋体" w:hAnsi="宋体" w:eastAsia="宋体"/>
          <w:sz w:val="24"/>
          <w:szCs w:val="24"/>
          <w:highlight w:val="none"/>
        </w:rPr>
        <w:t>个人</w:t>
      </w:r>
      <w:r>
        <w:rPr>
          <w:rFonts w:ascii="宋体" w:hAnsi="宋体" w:eastAsia="宋体"/>
          <w:sz w:val="24"/>
          <w:szCs w:val="24"/>
          <w:highlight w:val="none"/>
        </w:rPr>
        <w:t>投资者持有上限为</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w:t>
      </w:r>
      <w:r>
        <w:rPr>
          <w:rFonts w:ascii="宋体" w:hAnsi="宋体" w:eastAsia="宋体"/>
          <w:sz w:val="24"/>
          <w:szCs w:val="24"/>
          <w:highlight w:val="none"/>
        </w:rPr>
        <w:t>元</w:t>
      </w:r>
      <w:r>
        <w:rPr>
          <w:rFonts w:hint="eastAsia" w:ascii="宋体" w:hAnsi="宋体" w:eastAsia="宋体"/>
          <w:sz w:val="24"/>
          <w:szCs w:val="24"/>
          <w:highlight w:val="none"/>
        </w:rPr>
        <w:t>，单一机构投资者持有上限【</w:t>
      </w:r>
      <w:r>
        <w:rPr>
          <w:rFonts w:hint="eastAsia" w:ascii="宋体" w:hAnsi="宋体" w:eastAsia="宋体"/>
          <w:sz w:val="24"/>
          <w:szCs w:val="24"/>
          <w:highlight w:val="none"/>
          <w:lang w:val="en-US" w:eastAsia="zh-CN"/>
        </w:rPr>
        <w:t>1亿</w:t>
      </w:r>
      <w:r>
        <w:rPr>
          <w:rFonts w:hint="eastAsia" w:ascii="宋体" w:hAnsi="宋体" w:eastAsia="宋体"/>
          <w:sz w:val="24"/>
          <w:szCs w:val="24"/>
          <w:highlight w:val="none"/>
        </w:rPr>
        <w:t>】元。</w:t>
      </w:r>
    </w:p>
    <w:p>
      <w:pPr>
        <w:spacing w:line="300" w:lineRule="auto"/>
        <w:ind w:firstLine="480" w:firstLineChars="20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J</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单一</w:t>
      </w:r>
      <w:r>
        <w:rPr>
          <w:rFonts w:hint="eastAsia" w:ascii="宋体" w:hAnsi="宋体" w:eastAsia="宋体"/>
          <w:color w:val="000000" w:themeColor="text1"/>
          <w:sz w:val="24"/>
          <w:szCs w:val="24"/>
          <w:highlight w:val="none"/>
          <w14:textFill>
            <w14:solidFill>
              <w14:schemeClr w14:val="tx1"/>
            </w14:solidFill>
          </w14:textFill>
        </w:rPr>
        <w:t>个人</w:t>
      </w:r>
      <w:r>
        <w:rPr>
          <w:rFonts w:ascii="宋体" w:hAnsi="宋体" w:eastAsia="宋体"/>
          <w:color w:val="000000" w:themeColor="text1"/>
          <w:sz w:val="24"/>
          <w:szCs w:val="24"/>
          <w:highlight w:val="none"/>
          <w14:textFill>
            <w14:solidFill>
              <w14:schemeClr w14:val="tx1"/>
            </w14:solidFill>
          </w14:textFill>
        </w:rPr>
        <w:t>投资者持有上限为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】元。</w:t>
      </w:r>
    </w:p>
    <w:p>
      <w:pPr>
        <w:spacing w:line="300" w:lineRule="auto"/>
        <w:ind w:firstLine="480" w:firstLineChars="20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K</w:t>
      </w:r>
      <w:r>
        <w:rPr>
          <w:rFonts w:hint="eastAsia" w:ascii="宋体" w:hAnsi="宋体" w:eastAsia="宋体"/>
          <w:color w:val="000000" w:themeColor="text1"/>
          <w:sz w:val="24"/>
          <w:szCs w:val="24"/>
          <w:highlight w:val="none"/>
          <w14:textFill>
            <w14:solidFill>
              <w14:schemeClr w14:val="tx1"/>
            </w14:solidFill>
          </w14:textFill>
        </w:rPr>
        <w:t>类份额】</w:t>
      </w:r>
      <w:r>
        <w:rPr>
          <w:rFonts w:hint="eastAsia" w:ascii="宋体" w:hAnsi="宋体" w:eastAsia="宋体" w:cs="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单一</w:t>
      </w:r>
      <w:r>
        <w:rPr>
          <w:rFonts w:hint="eastAsia" w:ascii="宋体" w:hAnsi="宋体" w:eastAsia="宋体"/>
          <w:color w:val="000000" w:themeColor="text1"/>
          <w:sz w:val="24"/>
          <w:szCs w:val="24"/>
          <w:highlight w:val="none"/>
          <w14:textFill>
            <w14:solidFill>
              <w14:schemeClr w14:val="tx1"/>
            </w14:solidFill>
          </w14:textFill>
        </w:rPr>
        <w:t>个人</w:t>
      </w:r>
      <w:r>
        <w:rPr>
          <w:rFonts w:ascii="宋体" w:hAnsi="宋体" w:eastAsia="宋体"/>
          <w:color w:val="000000" w:themeColor="text1"/>
          <w:sz w:val="24"/>
          <w:szCs w:val="24"/>
          <w:highlight w:val="none"/>
          <w14:textFill>
            <w14:solidFill>
              <w14:schemeClr w14:val="tx1"/>
            </w14:solidFill>
          </w14:textFill>
        </w:rPr>
        <w:t>投资者持有上限为</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val="en-US" w:eastAsia="zh-CN"/>
          <w14:textFill>
            <w14:solidFill>
              <w14:schemeClr w14:val="tx1"/>
            </w14:solidFill>
          </w14:textFill>
        </w:rPr>
        <w:t>1亿</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元</w:t>
      </w:r>
      <w:r>
        <w:rPr>
          <w:rFonts w:hint="eastAsia" w:ascii="宋体" w:hAnsi="宋体" w:eastAsia="宋体"/>
          <w:color w:val="000000" w:themeColor="text1"/>
          <w:sz w:val="24"/>
          <w:szCs w:val="24"/>
          <w:highlight w:val="none"/>
          <w14:textFill>
            <w14:solidFill>
              <w14:schemeClr w14:val="tx1"/>
            </w14:solidFill>
          </w14:textFill>
        </w:rPr>
        <w:t>，单一机构投资者持有上限【</w:t>
      </w:r>
      <w:r>
        <w:rPr>
          <w:rFonts w:hint="eastAsia" w:ascii="宋体" w:hAnsi="宋体" w:eastAsia="宋体"/>
          <w:color w:val="000000" w:themeColor="text1"/>
          <w:sz w:val="24"/>
          <w:szCs w:val="24"/>
          <w:highlight w:val="none"/>
          <w:lang w:val="en-US"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】元。</w:t>
      </w:r>
    </w:p>
    <w:p>
      <w:pPr>
        <w:spacing w:line="30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在产品运作过程中因收益分配、净值波动等被动超上限的情形除外，产品管理人不得接受单一投资者持有份额超过理财产品份额总数50%的申请，对于单一投资者认购申请可能导致其持有份额比例超过50%的情形，产品管理人有权采取控制措施包括但不限于按比例部分确认或全部拒绝等方式进行认购申请限制，本理财产品若发生非因产品管理人主观因素导致单一投资者持有份额超过本理财产品总份额50%的情况，在单一投资者持有比例降至50%以下之前，产品管理人不再接受该投资者认购申请。产品管理人有权以公告形式调整单一投资者持有上限。如发生超额申请，产品管理人有权根据实际情况决定拒绝或受理。</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9.产品成立日为认购确认日，认购确认日后投资者可向产品</w:t>
      </w:r>
      <w:r>
        <w:rPr>
          <w:rFonts w:hint="eastAsia" w:ascii="宋体" w:hAnsi="宋体" w:eastAsia="宋体"/>
          <w:sz w:val="24"/>
          <w:szCs w:val="24"/>
          <w:highlight w:val="none"/>
        </w:rPr>
        <w:t>销售服务机构</w:t>
      </w:r>
      <w:r>
        <w:rPr>
          <w:rFonts w:ascii="宋体" w:hAnsi="宋体" w:eastAsia="宋体"/>
          <w:sz w:val="24"/>
          <w:szCs w:val="24"/>
          <w:highlight w:val="none"/>
        </w:rPr>
        <w:t>查询认购是否成功。投资者通过</w:t>
      </w:r>
      <w:r>
        <w:rPr>
          <w:rFonts w:hint="eastAsia" w:ascii="宋体" w:hAnsi="宋体" w:eastAsia="宋体"/>
          <w:sz w:val="24"/>
          <w:szCs w:val="24"/>
          <w:highlight w:val="none"/>
        </w:rPr>
        <w:t>销售服务机构</w:t>
      </w:r>
      <w:r>
        <w:rPr>
          <w:rFonts w:ascii="宋体" w:hAnsi="宋体" w:eastAsia="宋体"/>
          <w:sz w:val="24"/>
          <w:szCs w:val="24"/>
          <w:highlight w:val="none"/>
        </w:rPr>
        <w:t>购买理财产品的，</w:t>
      </w:r>
      <w:r>
        <w:rPr>
          <w:rFonts w:hint="eastAsia" w:ascii="宋体" w:hAnsi="宋体" w:eastAsia="宋体"/>
          <w:sz w:val="24"/>
          <w:szCs w:val="24"/>
          <w:highlight w:val="none"/>
        </w:rPr>
        <w:t>销售服务机构</w:t>
      </w:r>
      <w:r>
        <w:rPr>
          <w:rFonts w:ascii="宋体" w:hAnsi="宋体" w:eastAsia="宋体"/>
          <w:sz w:val="24"/>
          <w:szCs w:val="24"/>
          <w:highlight w:val="none"/>
        </w:rPr>
        <w:t>受理认购申请并不表示对该申请成功的确认，而仅代表收到了认购申请，申请是否成功应以</w:t>
      </w:r>
      <w:r>
        <w:rPr>
          <w:rFonts w:hint="eastAsia" w:ascii="宋体" w:hAnsi="宋体" w:eastAsia="宋体"/>
          <w:sz w:val="24"/>
          <w:szCs w:val="24"/>
          <w:highlight w:val="none"/>
        </w:rPr>
        <w:t>产品</w:t>
      </w:r>
      <w:r>
        <w:rPr>
          <w:rFonts w:ascii="宋体" w:hAnsi="宋体" w:eastAsia="宋体"/>
          <w:sz w:val="24"/>
          <w:szCs w:val="24"/>
          <w:highlight w:val="none"/>
        </w:rPr>
        <w:t>管理人的最终确认为准。</w:t>
      </w:r>
      <w:r>
        <w:rPr>
          <w:rFonts w:hint="eastAsia" w:ascii="宋体" w:hAnsi="宋体" w:eastAsia="宋体"/>
          <w:sz w:val="24"/>
          <w:szCs w:val="24"/>
          <w:highlight w:val="none"/>
        </w:rPr>
        <w:t>产品</w:t>
      </w:r>
      <w:r>
        <w:rPr>
          <w:rFonts w:ascii="宋体" w:hAnsi="宋体" w:eastAsia="宋体"/>
          <w:sz w:val="24"/>
          <w:szCs w:val="24"/>
          <w:highlight w:val="none"/>
        </w:rPr>
        <w:t>管理人会将认购申请及认购份额的确认结果及时反馈给</w:t>
      </w:r>
      <w:r>
        <w:rPr>
          <w:rFonts w:hint="eastAsia" w:ascii="宋体" w:hAnsi="宋体" w:eastAsia="宋体"/>
          <w:sz w:val="24"/>
          <w:szCs w:val="24"/>
          <w:highlight w:val="none"/>
        </w:rPr>
        <w:t>销售服务机构</w:t>
      </w:r>
      <w:r>
        <w:rPr>
          <w:rFonts w:ascii="宋体" w:hAnsi="宋体" w:eastAsia="宋体"/>
          <w:sz w:val="24"/>
          <w:szCs w:val="24"/>
          <w:highlight w:val="none"/>
        </w:rPr>
        <w:t>，投资者应及时按照本产品说明书的约定查询认购结果。</w:t>
      </w:r>
    </w:p>
    <w:tbl>
      <w:tblPr>
        <w:tblStyle w:val="5"/>
        <w:tblW w:w="7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2"/>
        <w:gridCol w:w="1860"/>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2" w:type="dxa"/>
            <w:vAlign w:val="center"/>
          </w:tcPr>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认购期</w:t>
            </w:r>
          </w:p>
        </w:tc>
        <w:tc>
          <w:tcPr>
            <w:tcW w:w="1860" w:type="dxa"/>
          </w:tcPr>
          <w:p>
            <w:pPr>
              <w:spacing w:line="300" w:lineRule="auto"/>
              <w:jc w:val="left"/>
              <w:rPr>
                <w:rFonts w:hint="eastAsia" w:ascii="宋体" w:hAnsi="宋体" w:eastAsia="宋体"/>
                <w:sz w:val="24"/>
                <w:szCs w:val="24"/>
                <w:highlight w:val="none"/>
              </w:rPr>
            </w:pPr>
            <w:r>
              <w:rPr>
                <w:rFonts w:hint="eastAsia" w:ascii="宋体" w:hAnsi="宋体" w:eastAsia="宋体"/>
                <w:sz w:val="24"/>
                <w:szCs w:val="24"/>
                <w:highlight w:val="none"/>
              </w:rPr>
              <w:t>认购确认日</w:t>
            </w:r>
          </w:p>
        </w:tc>
        <w:tc>
          <w:tcPr>
            <w:tcW w:w="3345" w:type="dxa"/>
            <w:vAlign w:val="center"/>
          </w:tcPr>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认购份额确认方式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2" w:type="dxa"/>
            <w:vAlign w:val="center"/>
          </w:tcPr>
          <w:p>
            <w:pPr>
              <w:spacing w:line="300" w:lineRule="auto"/>
              <w:jc w:val="left"/>
              <w:rPr>
                <w:rFonts w:hint="eastAsia" w:ascii="宋体" w:hAnsi="宋体" w:eastAsia="宋体"/>
                <w:sz w:val="24"/>
                <w:szCs w:val="24"/>
                <w:highlight w:val="none"/>
              </w:rPr>
            </w:pPr>
            <w:r>
              <w:rPr>
                <w:rFonts w:hint="eastAsia" w:ascii="宋体" w:hAnsi="宋体" w:eastAsia="宋体"/>
                <w:sz w:val="24"/>
                <w:szCs w:val="24"/>
                <w:highlight w:val="none"/>
              </w:rPr>
              <w:t>认购期开始日至认购期结束日</w:t>
            </w:r>
          </w:p>
        </w:tc>
        <w:tc>
          <w:tcPr>
            <w:tcW w:w="1860" w:type="dxa"/>
            <w:vAlign w:val="center"/>
          </w:tcPr>
          <w:p>
            <w:pPr>
              <w:spacing w:line="300" w:lineRule="auto"/>
              <w:jc w:val="left"/>
              <w:rPr>
                <w:rFonts w:hint="eastAsia" w:ascii="宋体" w:hAnsi="宋体" w:eastAsia="宋体"/>
                <w:sz w:val="24"/>
                <w:szCs w:val="24"/>
                <w:highlight w:val="none"/>
              </w:rPr>
            </w:pPr>
            <w:r>
              <w:rPr>
                <w:rFonts w:hint="eastAsia" w:ascii="宋体" w:hAnsi="宋体" w:eastAsia="宋体"/>
                <w:sz w:val="24"/>
                <w:szCs w:val="24"/>
                <w:highlight w:val="none"/>
              </w:rPr>
              <w:t>产品成立日</w:t>
            </w:r>
          </w:p>
        </w:tc>
        <w:tc>
          <w:tcPr>
            <w:tcW w:w="3345" w:type="dxa"/>
            <w:vAlign w:val="center"/>
          </w:tcPr>
          <w:p>
            <w:pPr>
              <w:spacing w:line="300" w:lineRule="auto"/>
              <w:jc w:val="left"/>
              <w:rPr>
                <w:rFonts w:hint="eastAsia" w:ascii="宋体" w:hAnsi="宋体" w:eastAsia="宋体"/>
                <w:sz w:val="24"/>
                <w:szCs w:val="24"/>
                <w:highlight w:val="none"/>
              </w:rPr>
            </w:pPr>
            <w:r>
              <w:rPr>
                <w:rFonts w:hint="eastAsia" w:ascii="宋体" w:hAnsi="宋体" w:eastAsia="宋体"/>
                <w:sz w:val="24"/>
                <w:szCs w:val="24"/>
                <w:highlight w:val="none"/>
              </w:rPr>
              <w:t>产品管理人在产品成立日对投资者的认购申请的有效性进行确认，并登记理财份额。</w:t>
            </w:r>
          </w:p>
        </w:tc>
      </w:tr>
    </w:tbl>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认购期内产品管理人可受理投资者提交的认购申请。提交认购申请并不代表认购成功，产品管理人将在认购确认日确认投资者是否认购成功。认购是否成功以产品管理人的确认结果为准。投资者可以在认购确认日系统完成处理后，查询产品份额。</w:t>
      </w:r>
    </w:p>
    <w:p>
      <w:pPr>
        <w:spacing w:line="300" w:lineRule="auto"/>
        <w:ind w:firstLine="480" w:firstLineChars="200"/>
        <w:outlineLvl w:val="1"/>
        <w:rPr>
          <w:rFonts w:hint="eastAsia" w:ascii="宋体" w:hAnsi="宋体" w:cs="宋体"/>
          <w:sz w:val="24"/>
          <w:highlight w:val="none"/>
        </w:rPr>
      </w:pPr>
      <w:r>
        <w:rPr>
          <w:rFonts w:hint="eastAsia" w:ascii="宋体" w:hAnsi="宋体" w:cs="宋体"/>
          <w:sz w:val="24"/>
          <w:highlight w:val="none"/>
        </w:rPr>
        <w:t>（三）拒绝或暂停接受认购申请的情形及处理</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产品管理人可拒绝接受或暂停接受投资者的认购申请的情形包括：</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1.不可抗力或国家经济金融政策发生变化等原因导致本产品无法正常运作；</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2.证券交易场所或银行间债券市场依法决定停市等情形；</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3.当</w:t>
      </w:r>
      <w:r>
        <w:rPr>
          <w:rFonts w:hint="eastAsia" w:ascii="宋体" w:hAnsi="宋体" w:eastAsia="宋体"/>
          <w:sz w:val="24"/>
          <w:szCs w:val="24"/>
          <w:highlight w:val="none"/>
        </w:rPr>
        <w:t>产品</w:t>
      </w:r>
      <w:r>
        <w:rPr>
          <w:rFonts w:ascii="宋体" w:hAnsi="宋体" w:eastAsia="宋体"/>
          <w:sz w:val="24"/>
          <w:szCs w:val="24"/>
          <w:highlight w:val="none"/>
        </w:rPr>
        <w:t>管理人认为某笔认购申请会有损于本产品其他份额持有人利益时，或基于投资运作和风险控制需要，可拒绝该笔认购申请；</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4.当投资者认购金额将导致单笔认购金额上限、单个投资者持仓上限、计划募集金额上限、产品规模上限等各指标超限时，</w:t>
      </w:r>
      <w:r>
        <w:rPr>
          <w:rFonts w:hint="eastAsia" w:ascii="宋体" w:hAnsi="宋体" w:eastAsia="宋体"/>
          <w:sz w:val="24"/>
          <w:szCs w:val="24"/>
          <w:highlight w:val="none"/>
        </w:rPr>
        <w:t>产品</w:t>
      </w:r>
      <w:r>
        <w:rPr>
          <w:rFonts w:ascii="宋体" w:hAnsi="宋体" w:eastAsia="宋体"/>
          <w:sz w:val="24"/>
          <w:szCs w:val="24"/>
          <w:highlight w:val="none"/>
        </w:rPr>
        <w:t>管理人有权拒绝投资者的认购申请；</w:t>
      </w:r>
    </w:p>
    <w:p>
      <w:pPr>
        <w:spacing w:line="300" w:lineRule="auto"/>
        <w:ind w:firstLine="480" w:firstLineChars="200"/>
        <w:rPr>
          <w:rFonts w:hint="eastAsia" w:ascii="宋体" w:hAnsi="宋体"/>
          <w:sz w:val="24"/>
          <w:szCs w:val="24"/>
          <w:highlight w:val="none"/>
        </w:rPr>
      </w:pPr>
      <w:r>
        <w:rPr>
          <w:rFonts w:hint="eastAsia" w:ascii="宋体" w:hAnsi="宋体" w:eastAsia="宋体"/>
          <w:sz w:val="24"/>
          <w:szCs w:val="24"/>
          <w:highlight w:val="none"/>
        </w:rPr>
        <w:t>5.</w:t>
      </w:r>
      <w:r>
        <w:rPr>
          <w:rFonts w:hint="eastAsia" w:ascii="宋体" w:hAnsi="宋体" w:cs="宋体"/>
          <w:sz w:val="24"/>
          <w:highlight w:val="none"/>
        </w:rPr>
        <w:t>根据法律法规或监管要求，如发生投资者未能满足管理人的客户尽职调查、大额和可疑交易监测及报告、反恐怖融资及制裁名单筛查等措施的配合义务时（包括但不限于未及时提供与更新身份资料等），或投资者被列入反洗钱特别预防措施名单、或其属于反洗钱特别预防措施名单中相关主体的代理人、受其指使的组织和人员、其直接或者间接控制的组织，或当投资者出现较高风险情形、本理财产品洗钱风险等级调整导致客户风险与产品洗钱风险等级不能匹配等情形发生，并且投资者无法采取有效措施降低该等风险情形的；</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6.法律法规规定或产品管理人基于审慎考虑认定的其他情形。</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如果投资者的认购申请被拒绝，被拒绝的认购款项将全额退还给投资者，扣款日至资金返还日期间是否计付利息，以销售服务机构的规定为准。</w:t>
      </w:r>
    </w:p>
    <w:p>
      <w:pPr>
        <w:spacing w:line="300" w:lineRule="auto"/>
        <w:ind w:firstLine="480" w:firstLineChars="200"/>
        <w:jc w:val="left"/>
        <w:outlineLvl w:val="1"/>
        <w:rPr>
          <w:rFonts w:hint="eastAsia" w:ascii="宋体" w:hAnsi="宋体" w:eastAsia="宋体"/>
          <w:sz w:val="24"/>
          <w:szCs w:val="24"/>
          <w:highlight w:val="none"/>
        </w:rPr>
      </w:pPr>
      <w:r>
        <w:rPr>
          <w:rFonts w:hint="eastAsia" w:ascii="宋体" w:hAnsi="宋体" w:cs="宋体"/>
          <w:sz w:val="24"/>
          <w:highlight w:val="none"/>
        </w:rPr>
        <w:t>（</w:t>
      </w:r>
      <w:r>
        <w:rPr>
          <w:rFonts w:ascii="宋体" w:hAnsi="宋体" w:eastAsia="宋体"/>
          <w:sz w:val="24"/>
          <w:szCs w:val="24"/>
          <w:highlight w:val="none"/>
        </w:rPr>
        <w:t>四</w:t>
      </w:r>
      <w:r>
        <w:rPr>
          <w:rFonts w:hint="eastAsia" w:ascii="宋体" w:hAnsi="宋体" w:cs="宋体"/>
          <w:sz w:val="24"/>
          <w:highlight w:val="none"/>
        </w:rPr>
        <w:t>）</w:t>
      </w:r>
      <w:r>
        <w:rPr>
          <w:rFonts w:ascii="宋体" w:hAnsi="宋体" w:eastAsia="宋体"/>
          <w:sz w:val="24"/>
          <w:szCs w:val="24"/>
          <w:highlight w:val="none"/>
        </w:rPr>
        <w:t>产品成立</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1.本产品管理人有权根据市场情况缩短或延长</w:t>
      </w:r>
      <w:r>
        <w:rPr>
          <w:rFonts w:hint="eastAsia" w:ascii="宋体" w:hAnsi="宋体" w:eastAsia="宋体"/>
          <w:sz w:val="24"/>
          <w:szCs w:val="24"/>
          <w:highlight w:val="none"/>
        </w:rPr>
        <w:t>认购</w:t>
      </w:r>
      <w:r>
        <w:rPr>
          <w:rFonts w:ascii="宋体" w:hAnsi="宋体" w:eastAsia="宋体"/>
          <w:sz w:val="24"/>
          <w:szCs w:val="24"/>
          <w:highlight w:val="none"/>
        </w:rPr>
        <w:t>期，根据</w:t>
      </w:r>
      <w:r>
        <w:rPr>
          <w:rFonts w:hint="eastAsia" w:ascii="宋体" w:hAnsi="宋体" w:eastAsia="宋体"/>
          <w:sz w:val="24"/>
          <w:szCs w:val="24"/>
          <w:highlight w:val="none"/>
        </w:rPr>
        <w:t>认购</w:t>
      </w:r>
      <w:r>
        <w:rPr>
          <w:rFonts w:ascii="宋体" w:hAnsi="宋体" w:eastAsia="宋体"/>
          <w:sz w:val="24"/>
          <w:szCs w:val="24"/>
          <w:highlight w:val="none"/>
        </w:rPr>
        <w:t>期调整成立日。</w:t>
      </w:r>
    </w:p>
    <w:p>
      <w:pPr>
        <w:spacing w:line="300" w:lineRule="auto"/>
        <w:ind w:left="479" w:leftChars="228"/>
        <w:jc w:val="left"/>
        <w:rPr>
          <w:rFonts w:hint="eastAsia" w:ascii="宋体" w:hAnsi="宋体" w:eastAsia="宋体"/>
          <w:sz w:val="24"/>
          <w:szCs w:val="24"/>
          <w:highlight w:val="none"/>
        </w:rPr>
      </w:pPr>
      <w:r>
        <w:rPr>
          <w:rFonts w:ascii="宋体" w:hAnsi="宋体" w:eastAsia="宋体"/>
          <w:sz w:val="24"/>
          <w:szCs w:val="24"/>
          <w:highlight w:val="none"/>
        </w:rPr>
        <w:t>2.若出现如下情况之一，本产品管理人有权利但无义务决定本产品不成立：（1）认购总金额未达规模下限；</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（2）相关法律法规或监管规定或政策发生变化；</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（3）可能影响产品正常成立或运作的其他情况；</w:t>
      </w:r>
    </w:p>
    <w:p>
      <w:pPr>
        <w:spacing w:line="300" w:lineRule="auto"/>
        <w:ind w:firstLine="480" w:firstLineChars="200"/>
        <w:jc w:val="left"/>
        <w:rPr>
          <w:rFonts w:hint="eastAsia" w:ascii="宋体" w:hAnsi="宋体" w:eastAsia="宋体"/>
          <w:sz w:val="24"/>
          <w:szCs w:val="24"/>
          <w:highlight w:val="none"/>
        </w:rPr>
      </w:pPr>
      <w:r>
        <w:rPr>
          <w:rFonts w:ascii="宋体" w:hAnsi="宋体" w:eastAsia="宋体"/>
          <w:sz w:val="24"/>
          <w:szCs w:val="24"/>
          <w:highlight w:val="none"/>
        </w:rPr>
        <w:t>（4）本产品管理人根据实际情况合理判断不适宜产品成立或运作的</w:t>
      </w:r>
      <w:r>
        <w:rPr>
          <w:rFonts w:hint="eastAsia" w:ascii="宋体" w:hAnsi="宋体" w:eastAsia="宋体"/>
          <w:sz w:val="24"/>
          <w:szCs w:val="24"/>
          <w:highlight w:val="none"/>
        </w:rPr>
        <w:t>。</w:t>
      </w:r>
    </w:p>
    <w:p>
      <w:pPr>
        <w:spacing w:line="300" w:lineRule="auto"/>
        <w:ind w:firstLine="480" w:firstLineChars="200"/>
        <w:jc w:val="left"/>
        <w:rPr>
          <w:rFonts w:hint="eastAsia" w:ascii="宋体" w:hAnsi="宋体" w:eastAsia="宋体"/>
          <w:b/>
          <w:bCs/>
          <w:sz w:val="24"/>
          <w:szCs w:val="24"/>
          <w:highlight w:val="none"/>
        </w:rPr>
      </w:pPr>
      <w:r>
        <w:rPr>
          <w:rFonts w:hint="eastAsia" w:ascii="宋体" w:hAnsi="宋体" w:eastAsia="宋体"/>
          <w:sz w:val="24"/>
          <w:szCs w:val="24"/>
          <w:highlight w:val="none"/>
        </w:rPr>
        <w:t>若有投资者购买了本产品且本产品不成立，本产品管理人将不晚于产品计划成立日对产品不成立进行信息披露，在认购期结束后5个工作日内，投资者认购资金将由销售服务机构返还至投资者原认购账户。</w:t>
      </w:r>
    </w:p>
    <w:p>
      <w:pPr>
        <w:spacing w:line="300" w:lineRule="auto"/>
        <w:ind w:firstLine="482" w:firstLineChars="200"/>
        <w:jc w:val="left"/>
        <w:rPr>
          <w:rFonts w:hint="eastAsia" w:ascii="宋体" w:hAnsi="宋体" w:eastAsia="宋体"/>
          <w:b/>
          <w:bCs/>
          <w:sz w:val="24"/>
          <w:szCs w:val="24"/>
          <w:highlight w:val="none"/>
        </w:rPr>
      </w:pPr>
    </w:p>
    <w:p>
      <w:pPr>
        <w:spacing w:line="300" w:lineRule="auto"/>
        <w:jc w:val="left"/>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六、产品估值</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本产品说明书估值条款所涉及的资产相关描述，仅为估值条款完备性而设计，并不代表本产品投资范围一定涉及该资产。本产品的投资范围仍以“四、投资管理”约定为准。</w:t>
      </w:r>
    </w:p>
    <w:p>
      <w:pPr>
        <w:numPr>
          <w:ilvl w:val="0"/>
          <w:numId w:val="8"/>
        </w:numPr>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估值原则</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本理财产品实行净值化管理，按照《企业会计准则》的要求确认和计量理财产品的资产与负债，生成理财产品净值。其中，金融工具的公允价值确定应遵循以下基本原则：</w:t>
      </w:r>
    </w:p>
    <w:p>
      <w:pPr>
        <w:numPr>
          <w:ilvl w:val="255"/>
          <w:numId w:val="0"/>
        </w:num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1.匹配性原则。金融工具的公允价值确定方法应与其类型、性质及所属理财产品的类型相匹配。</w:t>
      </w:r>
    </w:p>
    <w:p>
      <w:pPr>
        <w:numPr>
          <w:ilvl w:val="255"/>
          <w:numId w:val="0"/>
        </w:num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2.一致性原则。理财产品持有的具有相同特征的金融工具的估值原则、程序及技术应当保持一致。估值技术一经确定，应保持稳定，不能随意变更，除非变更估值技术或其应用方法能使估值结果在当前情况下同样或者更能代表公允价值。</w:t>
      </w:r>
    </w:p>
    <w:p>
      <w:pPr>
        <w:numPr>
          <w:ilvl w:val="255"/>
          <w:numId w:val="0"/>
        </w:num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3.审慎性原则。充分了解金融工具特征，运用相关、可靠的估值参数进行估值，不高估公允价值收益，不低估公允价值损失。</w:t>
      </w:r>
    </w:p>
    <w:p>
      <w:pPr>
        <w:numPr>
          <w:ilvl w:val="255"/>
          <w:numId w:val="0"/>
        </w:num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4.合规披露原则。根据金融工具性质、重要性及复杂程度等因素，披露公允价值相关信息。</w:t>
      </w:r>
    </w:p>
    <w:p>
      <w:pPr>
        <w:numPr>
          <w:ilvl w:val="255"/>
          <w:numId w:val="0"/>
        </w:num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5.清晰性原则。估值方法应清晰明了，便于理解和应用、能清晰反映金融资产的性质。</w:t>
      </w:r>
    </w:p>
    <w:p>
      <w:pPr>
        <w:numPr>
          <w:ilvl w:val="255"/>
          <w:numId w:val="0"/>
        </w:numPr>
        <w:spacing w:line="300" w:lineRule="auto"/>
        <w:ind w:firstLine="482" w:firstLineChars="200"/>
        <w:jc w:val="left"/>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（二）估值对象</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本理财产品所持有的所有金融资产与金融负债。</w:t>
      </w:r>
    </w:p>
    <w:p>
      <w:pPr>
        <w:spacing w:line="300" w:lineRule="auto"/>
        <w:ind w:firstLine="482" w:firstLineChars="200"/>
        <w:jc w:val="left"/>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（三）估值日</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本产品估值日为</w:t>
      </w:r>
      <w:r>
        <w:rPr>
          <w:rFonts w:ascii="宋体" w:hAnsi="宋体" w:eastAsia="宋体"/>
          <w:sz w:val="24"/>
          <w:szCs w:val="24"/>
          <w:highlight w:val="none"/>
        </w:rPr>
        <w:t>自产品成立日</w:t>
      </w:r>
      <w:r>
        <w:rPr>
          <w:rFonts w:hint="eastAsia" w:ascii="宋体" w:hAnsi="宋体" w:eastAsia="宋体"/>
          <w:sz w:val="24"/>
          <w:szCs w:val="24"/>
          <w:highlight w:val="none"/>
        </w:rPr>
        <w:t>至到期日（不含）期间</w:t>
      </w:r>
      <w:r>
        <w:rPr>
          <w:rFonts w:ascii="宋体" w:hAnsi="宋体" w:eastAsia="宋体"/>
          <w:sz w:val="24"/>
          <w:szCs w:val="24"/>
          <w:highlight w:val="none"/>
        </w:rPr>
        <w:t>的每个</w:t>
      </w:r>
      <w:r>
        <w:rPr>
          <w:rFonts w:hint="eastAsia" w:ascii="宋体" w:hAnsi="宋体" w:eastAsia="宋体"/>
          <w:sz w:val="24"/>
          <w:szCs w:val="24"/>
          <w:highlight w:val="none"/>
        </w:rPr>
        <w:t>周五</w:t>
      </w:r>
      <w:r>
        <w:rPr>
          <w:rFonts w:ascii="宋体" w:hAnsi="宋体" w:eastAsia="宋体"/>
          <w:sz w:val="24"/>
          <w:szCs w:val="24"/>
          <w:highlight w:val="none"/>
        </w:rPr>
        <w:t>（如遇非交易日则</w:t>
      </w:r>
      <w:r>
        <w:rPr>
          <w:rFonts w:hint="eastAsia" w:ascii="宋体" w:hAnsi="宋体" w:eastAsia="宋体"/>
          <w:sz w:val="24"/>
          <w:szCs w:val="24"/>
          <w:highlight w:val="none"/>
        </w:rPr>
        <w:t>提前至上一交易日</w:t>
      </w:r>
      <w:r>
        <w:rPr>
          <w:rFonts w:ascii="宋体" w:hAnsi="宋体" w:eastAsia="宋体"/>
          <w:sz w:val="24"/>
          <w:szCs w:val="24"/>
          <w:highlight w:val="none"/>
        </w:rPr>
        <w:t>）</w:t>
      </w:r>
      <w:r>
        <w:rPr>
          <w:rFonts w:hint="eastAsia" w:ascii="宋体" w:hAnsi="宋体" w:eastAsia="宋体"/>
          <w:sz w:val="24"/>
          <w:szCs w:val="24"/>
          <w:highlight w:val="none"/>
        </w:rPr>
        <w:t>，根据产品持有的资产价格变化对估值日产品进行估值并于</w:t>
      </w:r>
      <w:r>
        <w:rPr>
          <w:rFonts w:ascii="宋体" w:hAnsi="宋体" w:eastAsia="宋体"/>
          <w:sz w:val="24"/>
          <w:szCs w:val="24"/>
          <w:highlight w:val="none"/>
        </w:rPr>
        <w:t>估值日的后2个</w:t>
      </w:r>
      <w:r>
        <w:rPr>
          <w:rFonts w:hint="eastAsia" w:ascii="宋体" w:hAnsi="宋体" w:eastAsia="宋体"/>
          <w:sz w:val="24"/>
          <w:szCs w:val="24"/>
          <w:highlight w:val="none"/>
        </w:rPr>
        <w:t>交易日</w:t>
      </w:r>
      <w:r>
        <w:rPr>
          <w:rFonts w:ascii="宋体" w:hAnsi="宋体" w:eastAsia="宋体"/>
          <w:sz w:val="24"/>
          <w:szCs w:val="24"/>
          <w:highlight w:val="none"/>
        </w:rPr>
        <w:t>内进行披露</w:t>
      </w:r>
      <w:r>
        <w:rPr>
          <w:rFonts w:hint="eastAsia" w:ascii="宋体" w:hAnsi="宋体" w:eastAsia="宋体"/>
          <w:sz w:val="24"/>
          <w:szCs w:val="24"/>
          <w:highlight w:val="none"/>
        </w:rPr>
        <w:t>，如有临时调整或其他特殊安排，以管理人披露的结果为准</w:t>
      </w:r>
      <w:r>
        <w:rPr>
          <w:rFonts w:ascii="宋体" w:hAnsi="宋体" w:eastAsia="宋体"/>
          <w:sz w:val="24"/>
          <w:szCs w:val="24"/>
          <w:highlight w:val="none"/>
        </w:rPr>
        <w:t>。份额</w:t>
      </w:r>
      <w:r>
        <w:rPr>
          <w:rFonts w:hint="eastAsia" w:ascii="宋体" w:hAnsi="宋体" w:eastAsia="宋体"/>
          <w:sz w:val="24"/>
          <w:szCs w:val="24"/>
          <w:highlight w:val="none"/>
        </w:rPr>
        <w:t>净值为缴纳增值税等相关税费，并提取固定管理费、托管费、销售服务费等相关费用后的理财产品单位份额净值，份额净值精确到小数点后</w:t>
      </w:r>
      <w:r>
        <w:rPr>
          <w:rFonts w:ascii="宋体" w:hAnsi="宋体" w:eastAsia="宋体"/>
          <w:sz w:val="24"/>
          <w:szCs w:val="24"/>
          <w:highlight w:val="none"/>
        </w:rPr>
        <w:t>6位，小数点6位以后四舍五入</w:t>
      </w:r>
      <w:r>
        <w:rPr>
          <w:rFonts w:hint="eastAsia" w:ascii="宋体" w:hAnsi="宋体" w:eastAsia="宋体"/>
          <w:sz w:val="24"/>
          <w:szCs w:val="24"/>
          <w:highlight w:val="none"/>
        </w:rPr>
        <w:t>。如本理财产品设置不同的产品份额类别，则每个产品份额将单独进行估值。</w:t>
      </w:r>
    </w:p>
    <w:p>
      <w:pPr>
        <w:spacing w:line="300" w:lineRule="auto"/>
        <w:ind w:firstLine="482" w:firstLineChars="200"/>
        <w:jc w:val="left"/>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（四）估值方法</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1.存款及回购等（包含正、逆回购），以本金列示，按商定利率在实际持有期间内逐日计提利息。</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在证券交易所上市的股票（如有），以其估值日在证券交易所挂牌的市价（收盘价）估值；估值日无交易的，最近交易日后经济环境未发生重大变化且证券发行机构未发生影响证券价格的重大事件的，以最近交易日的市价（收盘价）估值；最近交易日后经济环境发生了重大变化或证券发行机构发生影响证券价格的重大事件的，参考类似投资品种的现行市价及重大变化因素调整最近交易市价；对于长期停牌股票，按行业通行的估值方法处理。</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标准化债权类资产（含证券交易所和全国银行间市场交易的债券、资产支持证券和资产支持票据等），以交易为目的的，按第三方估值机构（中债、中证等）提供的估值数据，对本产品持有的标准化债权类资产进行估值，但若因其交易不活跃或未来现金流难以确认，或经济环境发生重大变化、债券发行主体发生重大事件等，导致第三方估值机构提供的估值数据无法反映其公允价值的，或者第三方估值机构未提供估值价格等客观原因，为保护投资者利益，经管理人和托管人合理判断后，可采用其他估值技术对其进行估值，管理人应持续评估上述估值技术的适当性，并在此情况发生改变时做出适当调整；以收取合同现金流量为目的并持有到期的，按照企业会计准则要求，以摊余成本法计量（需满足监管规定，如有调整，按照监管的最新规定执行）。</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4.未上市期间的有价证券应区分如下情况处理：</w:t>
      </w:r>
      <w:r>
        <w:rPr>
          <w:rFonts w:ascii="宋体" w:hAnsi="宋体" w:eastAsia="宋体"/>
          <w:sz w:val="24"/>
          <w:szCs w:val="24"/>
          <w:highlight w:val="none"/>
        </w:rPr>
        <w:t>A、送股、转增股、配股和公</w:t>
      </w:r>
      <w:r>
        <w:rPr>
          <w:rFonts w:hint="eastAsia" w:ascii="宋体" w:hAnsi="宋体" w:eastAsia="宋体"/>
          <w:sz w:val="24"/>
          <w:szCs w:val="24"/>
          <w:highlight w:val="none"/>
        </w:rPr>
        <w:t>开增发新股（如有），按估值日在证券交易所挂牌的同一股票的市价（收盘价）估值；该日无交易的，以最近交易日的市价（收盘价）估值；</w:t>
      </w:r>
      <w:r>
        <w:rPr>
          <w:rFonts w:ascii="宋体" w:hAnsi="宋体" w:eastAsia="宋体"/>
          <w:sz w:val="24"/>
          <w:szCs w:val="24"/>
          <w:highlight w:val="none"/>
        </w:rPr>
        <w:t>B、首次公开发行</w:t>
      </w:r>
      <w:r>
        <w:rPr>
          <w:rFonts w:hint="eastAsia" w:ascii="宋体" w:hAnsi="宋体" w:eastAsia="宋体"/>
          <w:sz w:val="24"/>
          <w:szCs w:val="24"/>
          <w:highlight w:val="none"/>
        </w:rPr>
        <w:t>未上市或未挂牌转让的股票（如有）、债券，采用估值技术确定公允价值，在估值技术难以可靠计量公允价值的情况下，按成本估值；</w:t>
      </w:r>
      <w:r>
        <w:rPr>
          <w:rFonts w:ascii="宋体" w:hAnsi="宋体" w:eastAsia="宋体"/>
          <w:sz w:val="24"/>
          <w:szCs w:val="24"/>
          <w:highlight w:val="none"/>
        </w:rPr>
        <w:t>C、发行时明确一定期限</w:t>
      </w:r>
      <w:r>
        <w:rPr>
          <w:rFonts w:hint="eastAsia" w:ascii="宋体" w:hAnsi="宋体" w:eastAsia="宋体"/>
          <w:sz w:val="24"/>
          <w:szCs w:val="24"/>
          <w:highlight w:val="none"/>
        </w:rPr>
        <w:t>限售期的股票（包括但不限于非公开发行股票、首次公开发行股票时公司股东公开发售股份、通过大宗交易取得的带限售期的股票等，不包括停牌、新发行未上市、回购交易中的质押券等流通受限股票）（如有），按监管机构或行业协会有关规定估值。</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5.非上市股权的估值：非上市股权类资产，按照国家最新规定，采用合理的估值技术进行估值。</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6.非标准化债权：在符合企业会计准则及监管要求前提下，可采用摊余成本法计量；其它资产，以公允价值估值，公允价值不能确定的，按照最新监管规定进行估值。</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对于以摊余成本法计量或以公允价值计量且其变动计入其他综合收益的资产，按照企业会计准则要求，采用第三方减值计量结果或模型进行预期信用损失模型计提。</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7.证券投资基金的估值：</w:t>
      </w:r>
    </w:p>
    <w:p>
      <w:pPr>
        <w:spacing w:line="300" w:lineRule="auto"/>
        <w:ind w:firstLine="480" w:firstLineChars="200"/>
        <w:outlineLvl w:val="2"/>
        <w:rPr>
          <w:rFonts w:hint="eastAsia" w:ascii="宋体" w:hAnsi="宋体" w:eastAsia="宋体"/>
          <w:sz w:val="24"/>
          <w:szCs w:val="24"/>
          <w:highlight w:val="none"/>
        </w:rPr>
      </w:pPr>
      <w:r>
        <w:rPr>
          <w:rFonts w:hint="eastAsia" w:ascii="宋体" w:hAnsi="宋体" w:eastAsia="宋体"/>
          <w:sz w:val="24"/>
          <w:szCs w:val="24"/>
          <w:highlight w:val="none"/>
        </w:rPr>
        <w:t>（1）投资于非上市基金</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A.境内非货币市场基金，按所投资基金估值日的份额净值估值。估值日未披</w:t>
      </w:r>
      <w:r>
        <w:rPr>
          <w:rFonts w:hint="eastAsia" w:ascii="宋体" w:hAnsi="宋体" w:eastAsia="宋体"/>
          <w:sz w:val="24"/>
          <w:szCs w:val="24"/>
          <w:highlight w:val="none"/>
        </w:rPr>
        <w:t>露净值，以其最近公布的基金份额净值为基础估值。</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B.境内货币市场基金，按所投资基金前一估值日后至估值日期间（含节假日）</w:t>
      </w:r>
      <w:r>
        <w:rPr>
          <w:rFonts w:hint="eastAsia" w:ascii="宋体" w:hAnsi="宋体" w:eastAsia="宋体"/>
          <w:sz w:val="24"/>
          <w:szCs w:val="24"/>
          <w:highlight w:val="none"/>
        </w:rPr>
        <w:t>的万份收益计提估值日基金收益。</w:t>
      </w:r>
    </w:p>
    <w:p>
      <w:pPr>
        <w:spacing w:line="300" w:lineRule="auto"/>
        <w:ind w:firstLine="480" w:firstLineChars="200"/>
        <w:outlineLvl w:val="2"/>
        <w:rPr>
          <w:rFonts w:hint="eastAsia" w:ascii="宋体" w:hAnsi="宋体" w:eastAsia="宋体"/>
          <w:sz w:val="24"/>
          <w:szCs w:val="24"/>
          <w:highlight w:val="none"/>
        </w:rPr>
      </w:pPr>
      <w:r>
        <w:rPr>
          <w:rFonts w:hint="eastAsia" w:ascii="宋体" w:hAnsi="宋体" w:eastAsia="宋体"/>
          <w:sz w:val="24"/>
          <w:szCs w:val="24"/>
          <w:highlight w:val="none"/>
        </w:rPr>
        <w:t>（2）投资于交易所上市基金</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A.ETF基金、境内上市开放式基金（LOF）、境内上市定期开放式基金、封闭</w:t>
      </w:r>
      <w:r>
        <w:rPr>
          <w:rFonts w:hint="eastAsia" w:ascii="宋体" w:hAnsi="宋体" w:eastAsia="宋体"/>
          <w:sz w:val="24"/>
          <w:szCs w:val="24"/>
          <w:highlight w:val="none"/>
        </w:rPr>
        <w:t>式基金，按所投资基金估值日的收盘价估值。</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B.境内上市交易型货币市场基金，如所投资基金披露份额净值，则按所投资</w:t>
      </w:r>
      <w:r>
        <w:rPr>
          <w:rFonts w:hint="eastAsia" w:ascii="宋体" w:hAnsi="宋体" w:eastAsia="宋体"/>
          <w:sz w:val="24"/>
          <w:szCs w:val="24"/>
          <w:highlight w:val="none"/>
        </w:rPr>
        <w:t>基金估值日的份额净值估值；如所投资基金披露万份（百份）收益，则按所投资基金前一估值日后至估值日期间（含节假日）的万份（百份）收益计提估值日基金收益。</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C.如遇所投资基金不公布基金份额净值、进行折算或拆分、估值日无交易等</w:t>
      </w:r>
      <w:r>
        <w:rPr>
          <w:rFonts w:hint="eastAsia" w:ascii="宋体" w:hAnsi="宋体" w:eastAsia="宋体"/>
          <w:sz w:val="24"/>
          <w:szCs w:val="24"/>
          <w:highlight w:val="none"/>
        </w:rPr>
        <w:t>特殊情况，以其最近公布的基金份额净值或收盘价为基础估值。</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8.若本产品存续期间持有其他投资品种，以管理人和托管人共同认可的方法估值。</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在任何情况下，如采用以上规定的方法对资产进行估值，均应被认为采用了适当的估值方法。但是，如果管理人或托管人认为按以上规定的方法对本产品资产进行估值不能客观反映其公允价值的，可协商一致后，变更其估值方式，并从协商一致日起执行。</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对于以上估值方法，相关法律法规以及监管部门有另行规定的，按照监管最新规定执行。如监管并无明确规定和要求的，由本产品管理人与托管人协商确定计算方法。</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按以上估值方法进行估值时，所造成的误差不作为单位资产净值错误处理。</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扣除项：应由产品承担的产品管理费用、资产服务费用（如有）和税款（如有）等。</w:t>
      </w:r>
    </w:p>
    <w:p>
      <w:pPr>
        <w:spacing w:line="300" w:lineRule="auto"/>
        <w:ind w:firstLine="482" w:firstLineChars="200"/>
        <w:jc w:val="left"/>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（五）暂停估值情形</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当资产估值因不可抗力或其他情形导致本产品管理人和托管人无法准</w:t>
      </w:r>
      <w:r>
        <w:rPr>
          <w:rFonts w:hint="eastAsia" w:ascii="宋体" w:hAnsi="宋体" w:eastAsia="宋体"/>
          <w:sz w:val="24"/>
          <w:szCs w:val="24"/>
          <w:highlight w:val="none"/>
        </w:rPr>
        <w:t>确评估资产价值时；</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理财产品投资所涉及的交易市场遇法定节假日或因其他原因暂停营业</w:t>
      </w:r>
      <w:r>
        <w:rPr>
          <w:rFonts w:hint="eastAsia" w:ascii="宋体" w:hAnsi="宋体" w:eastAsia="宋体"/>
          <w:sz w:val="24"/>
          <w:szCs w:val="24"/>
          <w:highlight w:val="none"/>
        </w:rPr>
        <w:t>时；</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3.</w:t>
      </w:r>
      <w:r>
        <w:rPr>
          <w:rFonts w:ascii="宋体" w:hAnsi="宋体" w:eastAsia="宋体"/>
          <w:sz w:val="24"/>
          <w:szCs w:val="24"/>
          <w:highlight w:val="none"/>
        </w:rPr>
        <w:t>理财产品投资的其他资产产品合同约定暂停估值或无法估值的情形发</w:t>
      </w:r>
      <w:r>
        <w:rPr>
          <w:rFonts w:hint="eastAsia" w:ascii="宋体" w:hAnsi="宋体" w:eastAsia="宋体"/>
          <w:sz w:val="24"/>
          <w:szCs w:val="24"/>
          <w:highlight w:val="none"/>
        </w:rPr>
        <w:t>生，导致理财产品无法估值时；</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4.</w:t>
      </w:r>
      <w:r>
        <w:rPr>
          <w:rFonts w:ascii="宋体" w:hAnsi="宋体" w:eastAsia="宋体"/>
          <w:sz w:val="24"/>
          <w:szCs w:val="24"/>
          <w:highlight w:val="none"/>
        </w:rPr>
        <w:t>产品在前一估值日内，产品资产净值50%以上的资产不具备活跃交易</w:t>
      </w:r>
      <w:r>
        <w:rPr>
          <w:rFonts w:hint="eastAsia" w:ascii="宋体" w:hAnsi="宋体" w:eastAsia="宋体"/>
          <w:sz w:val="24"/>
          <w:szCs w:val="24"/>
          <w:highlight w:val="none"/>
        </w:rPr>
        <w:t>市场或者在活跃市场中无报价，且不能采用估值技术可靠计量公允价值的；</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5.法律法规或监管机构</w:t>
      </w:r>
      <w:r>
        <w:rPr>
          <w:rFonts w:ascii="宋体" w:hAnsi="宋体" w:eastAsia="宋体"/>
          <w:sz w:val="24"/>
          <w:szCs w:val="24"/>
          <w:highlight w:val="none"/>
        </w:rPr>
        <w:t>认定的其他情形或管理人、托管人有合理理由认为将影</w:t>
      </w:r>
      <w:r>
        <w:rPr>
          <w:rFonts w:hint="eastAsia" w:ascii="宋体" w:hAnsi="宋体" w:eastAsia="宋体"/>
          <w:sz w:val="24"/>
          <w:szCs w:val="24"/>
          <w:highlight w:val="none"/>
        </w:rPr>
        <w:t>响本理财产品估值的其他情形。</w:t>
      </w:r>
    </w:p>
    <w:p>
      <w:pPr>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rPr>
        <w:t>遇以上情形，产品管理人可暂停本产品估值直至另行通知。</w:t>
      </w:r>
    </w:p>
    <w:p>
      <w:pPr>
        <w:spacing w:line="300" w:lineRule="auto"/>
        <w:ind w:firstLine="482" w:firstLineChars="200"/>
        <w:jc w:val="left"/>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（六）其它</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估值错误的处理。管理人和托管人应采取必要、适当、合理的措施确保理</w:t>
      </w:r>
      <w:r>
        <w:rPr>
          <w:rFonts w:hint="eastAsia" w:ascii="宋体" w:hAnsi="宋体" w:eastAsia="宋体"/>
          <w:sz w:val="24"/>
          <w:szCs w:val="24"/>
          <w:highlight w:val="none"/>
        </w:rPr>
        <w:t>财产品估值的准确性、及时性。估值错误被发现后，管理人和托管人应当及时进行处理，处理的程序如下：（</w:t>
      </w:r>
      <w:r>
        <w:rPr>
          <w:rFonts w:ascii="宋体" w:hAnsi="宋体" w:eastAsia="宋体"/>
          <w:sz w:val="24"/>
          <w:szCs w:val="24"/>
          <w:highlight w:val="none"/>
        </w:rPr>
        <w:t>1）查明估值错误发生的原因，列明所有的管理人和</w:t>
      </w:r>
      <w:r>
        <w:rPr>
          <w:rFonts w:hint="eastAsia" w:ascii="宋体" w:hAnsi="宋体" w:eastAsia="宋体"/>
          <w:sz w:val="24"/>
          <w:szCs w:val="24"/>
          <w:highlight w:val="none"/>
        </w:rPr>
        <w:t>托管人并根据估值错误发生的原因确定估值错误的责任方；（</w:t>
      </w:r>
      <w:r>
        <w:rPr>
          <w:rFonts w:ascii="宋体" w:hAnsi="宋体" w:eastAsia="宋体"/>
          <w:sz w:val="24"/>
          <w:szCs w:val="24"/>
          <w:highlight w:val="none"/>
        </w:rPr>
        <w:t>2）根据适当的估值</w:t>
      </w:r>
      <w:r>
        <w:rPr>
          <w:rFonts w:hint="eastAsia" w:ascii="宋体" w:hAnsi="宋体" w:eastAsia="宋体"/>
          <w:sz w:val="24"/>
          <w:szCs w:val="24"/>
          <w:highlight w:val="none"/>
        </w:rPr>
        <w:t>错误处理原则对因估值错误造成的损失进行评估；（</w:t>
      </w:r>
      <w:r>
        <w:rPr>
          <w:rFonts w:ascii="宋体" w:hAnsi="宋体" w:eastAsia="宋体"/>
          <w:sz w:val="24"/>
          <w:szCs w:val="24"/>
          <w:highlight w:val="none"/>
        </w:rPr>
        <w:t>3）根据管理人和托管人协商</w:t>
      </w:r>
      <w:r>
        <w:rPr>
          <w:rFonts w:hint="eastAsia" w:ascii="宋体" w:hAnsi="宋体" w:eastAsia="宋体"/>
          <w:sz w:val="24"/>
          <w:szCs w:val="24"/>
          <w:highlight w:val="none"/>
        </w:rPr>
        <w:t>的方法，由管理人和托管人共同进行更正，由估值错误的责任方进行赔偿损失。</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特殊情况的处理</w:t>
      </w:r>
      <w:r>
        <w:rPr>
          <w:rFonts w:hint="eastAsia" w:ascii="宋体" w:hAnsi="宋体" w:eastAsia="宋体"/>
          <w:sz w:val="24"/>
          <w:szCs w:val="24"/>
          <w:highlight w:val="none"/>
        </w:rPr>
        <w:t>。</w:t>
      </w:r>
      <w:r>
        <w:rPr>
          <w:rFonts w:ascii="宋体" w:hAnsi="宋体" w:eastAsia="宋体"/>
          <w:sz w:val="24"/>
          <w:szCs w:val="24"/>
          <w:highlight w:val="none"/>
        </w:rPr>
        <w:t>（1）</w:t>
      </w:r>
      <w:r>
        <w:rPr>
          <w:rFonts w:hint="eastAsia" w:ascii="宋体" w:hAnsi="宋体" w:eastAsia="宋体"/>
          <w:sz w:val="24"/>
          <w:szCs w:val="24"/>
          <w:highlight w:val="none"/>
        </w:rPr>
        <w:t>产品</w:t>
      </w:r>
      <w:r>
        <w:rPr>
          <w:rFonts w:ascii="宋体" w:hAnsi="宋体" w:eastAsia="宋体"/>
          <w:sz w:val="24"/>
          <w:szCs w:val="24"/>
          <w:highlight w:val="none"/>
        </w:rPr>
        <w:t>管理人、托管人按本说明书估值方法进行估值时，</w:t>
      </w:r>
      <w:r>
        <w:rPr>
          <w:rFonts w:hint="eastAsia" w:ascii="宋体" w:hAnsi="宋体" w:eastAsia="宋体"/>
          <w:sz w:val="24"/>
          <w:szCs w:val="24"/>
          <w:highlight w:val="none"/>
        </w:rPr>
        <w:t>所造成的误差不作为估值错误处理。</w:t>
      </w:r>
      <w:r>
        <w:rPr>
          <w:rFonts w:hint="eastAsia" w:ascii="宋体" w:hAnsi="宋体" w:eastAsia="宋体"/>
          <w:b/>
          <w:bCs/>
          <w:sz w:val="24"/>
          <w:szCs w:val="24"/>
          <w:highlight w:val="none"/>
        </w:rPr>
        <w:t>（</w:t>
      </w:r>
      <w:r>
        <w:rPr>
          <w:rFonts w:ascii="宋体" w:hAnsi="宋体" w:eastAsia="宋体"/>
          <w:b/>
          <w:bCs/>
          <w:sz w:val="24"/>
          <w:szCs w:val="24"/>
          <w:highlight w:val="none"/>
        </w:rPr>
        <w:t>2）由于不可抗力原因，或由于证券交易所、</w:t>
      </w:r>
      <w:r>
        <w:rPr>
          <w:rFonts w:hint="eastAsia" w:ascii="宋体" w:hAnsi="宋体" w:eastAsia="宋体"/>
          <w:b/>
          <w:bCs/>
          <w:sz w:val="24"/>
          <w:szCs w:val="24"/>
          <w:highlight w:val="none"/>
        </w:rPr>
        <w:t>期货交易所、第三方估值机构、信托公司、基金公司等发送数据错误等非管理人和托管人原因，管理人和托管人虽然已经采取必要、适当、合理的措施进行检查，但未能发现错误的，由此造成的估值错误，管理人和托管人免除赔偿责任。但管理人、托管人应当积极采取必要的措施减轻或消除由此造成的影响。</w:t>
      </w:r>
      <w:r>
        <w:rPr>
          <w:rFonts w:hint="eastAsia" w:ascii="宋体" w:hAnsi="宋体" w:eastAsia="宋体"/>
          <w:sz w:val="24"/>
          <w:szCs w:val="24"/>
          <w:highlight w:val="none"/>
        </w:rPr>
        <w:t>（</w:t>
      </w:r>
      <w:r>
        <w:rPr>
          <w:rFonts w:ascii="宋体" w:hAnsi="宋体" w:eastAsia="宋体"/>
          <w:sz w:val="24"/>
          <w:szCs w:val="24"/>
          <w:highlight w:val="none"/>
        </w:rPr>
        <w:t>3）前述内</w:t>
      </w:r>
      <w:r>
        <w:rPr>
          <w:rFonts w:hint="eastAsia" w:ascii="宋体" w:hAnsi="宋体" w:eastAsia="宋体"/>
          <w:sz w:val="24"/>
          <w:szCs w:val="24"/>
          <w:highlight w:val="none"/>
        </w:rPr>
        <w:t>容如法律法规、监管机关另有规定的，或有关会计准则发生变化等，按照国家最新规定或管理人最新约定估值。如果行业另有通行做法，管理人和托管人本着平等和保护份额持有人利益的原则进行协商。</w:t>
      </w:r>
    </w:p>
    <w:p>
      <w:pPr>
        <w:spacing w:line="300" w:lineRule="auto"/>
        <w:rPr>
          <w:rFonts w:hint="eastAsia" w:ascii="宋体" w:hAnsi="宋体" w:eastAsia="宋体"/>
          <w:b/>
          <w:bCs/>
          <w:sz w:val="24"/>
          <w:szCs w:val="24"/>
          <w:highlight w:val="none"/>
        </w:rPr>
      </w:pP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七、理财产品的费用与税收</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（一）理财产品的费用</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1</w:t>
      </w:r>
      <w:r>
        <w:rPr>
          <w:rFonts w:hint="eastAsia" w:ascii="宋体" w:hAnsi="宋体" w:eastAsia="宋体"/>
          <w:b/>
          <w:bCs/>
          <w:sz w:val="24"/>
          <w:szCs w:val="24"/>
          <w:highlight w:val="none"/>
        </w:rPr>
        <w:t>.</w:t>
      </w:r>
      <w:r>
        <w:rPr>
          <w:rFonts w:ascii="宋体" w:hAnsi="宋体" w:eastAsia="宋体"/>
          <w:b/>
          <w:bCs/>
          <w:sz w:val="24"/>
          <w:szCs w:val="24"/>
          <w:highlight w:val="none"/>
        </w:rPr>
        <w:t>理财产品费用指投资管理人为成立理财产品及处理理财产品事务目的而</w:t>
      </w:r>
      <w:r>
        <w:rPr>
          <w:rFonts w:hint="eastAsia" w:ascii="宋体" w:hAnsi="宋体" w:eastAsia="宋体"/>
          <w:b/>
          <w:bCs/>
          <w:sz w:val="24"/>
          <w:szCs w:val="24"/>
          <w:highlight w:val="none"/>
        </w:rPr>
        <w:t>支出的所有费用，包括但不限于管理人收取的固定管理费、超额业绩报酬，托管人收取的托管费，销售服务机构收取的销售服务费，交易费用（包括但不限于交易佣金、撮合费用等），理财产品验资费，审计费，律师费，保全费，信息披露费、清算费、执行费用等相关费用，</w:t>
      </w:r>
      <w:r>
        <w:rPr>
          <w:rFonts w:hint="eastAsia" w:ascii="宋体" w:hAnsi="宋体" w:eastAsia="宋体"/>
          <w:b/>
          <w:bCs/>
          <w:sz w:val="24"/>
          <w:szCs w:val="24"/>
          <w:highlight w:val="none"/>
          <w:lang w:bidi="ar"/>
        </w:rPr>
        <w:t>以及根据法律法规、监管规定或理财产品销售文件约定，可以在理财产品财产中列支的其他费用，具体以实际发生为准；如通过间接投资产生的诉讼费、律师费、保险费、保全费、评估费等执行费用（经确认由理财产品支付的），由理财产品划付至公募基金、信托计划、资产管理计划等资产管理产品的资产账户，并由资管产品的受托人或托管人支付给相关机构；根据国家有关规定或理财产品文件约定，可以在理财产品财产中列支的其他费用。</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2.</w:t>
      </w:r>
      <w:r>
        <w:rPr>
          <w:rFonts w:ascii="宋体" w:hAnsi="宋体" w:eastAsia="宋体"/>
          <w:b/>
          <w:bCs/>
          <w:sz w:val="24"/>
          <w:szCs w:val="24"/>
          <w:highlight w:val="none"/>
        </w:rPr>
        <w:t>理财产品费用按本产品说明书及管理人与费用收取方之间的协议约定从</w:t>
      </w:r>
      <w:r>
        <w:rPr>
          <w:rFonts w:hint="eastAsia" w:ascii="宋体" w:hAnsi="宋体" w:eastAsia="宋体"/>
          <w:b/>
          <w:bCs/>
          <w:sz w:val="24"/>
          <w:szCs w:val="24"/>
          <w:highlight w:val="none"/>
        </w:rPr>
        <w:t>理财产品资产中支付。管理人或理财产品参与方以固有财产先行垫付的，有权从理财产品资产中优先受偿。</w:t>
      </w:r>
    </w:p>
    <w:p>
      <w:pPr>
        <w:widowControl/>
        <w:spacing w:line="300" w:lineRule="auto"/>
        <w:ind w:firstLine="482" w:firstLineChars="200"/>
        <w:jc w:val="left"/>
        <w:rPr>
          <w:rFonts w:hint="eastAsia" w:ascii="宋体" w:hAnsi="宋体" w:eastAsia="宋体"/>
          <w:b/>
          <w:bCs/>
          <w:sz w:val="24"/>
          <w:szCs w:val="24"/>
          <w:highlight w:val="none"/>
        </w:rPr>
      </w:pPr>
      <w:r>
        <w:rPr>
          <w:rFonts w:ascii="宋体" w:hAnsi="宋体" w:eastAsia="宋体"/>
          <w:b/>
          <w:bCs/>
          <w:sz w:val="24"/>
          <w:szCs w:val="24"/>
          <w:highlight w:val="none"/>
        </w:rPr>
        <w:t>3.</w:t>
      </w:r>
      <w:r>
        <w:rPr>
          <w:rFonts w:hint="eastAsia" w:ascii="宋体" w:hAnsi="宋体" w:eastAsia="宋体"/>
          <w:b/>
          <w:bCs/>
          <w:sz w:val="24"/>
          <w:szCs w:val="24"/>
          <w:highlight w:val="none"/>
        </w:rPr>
        <w:t>固定管理费：</w:t>
      </w:r>
      <w:r>
        <w:rPr>
          <w:rFonts w:hint="eastAsia" w:ascii="宋体" w:hAnsi="宋体" w:eastAsia="宋体"/>
          <w:b/>
          <w:bCs/>
          <w:sz w:val="24"/>
          <w:szCs w:val="24"/>
          <w:highlight w:val="none"/>
          <w:lang w:bidi="ar"/>
        </w:rPr>
        <w:t>管理人收取理财产品固定管理费，每个自然日计提，按季收取，</w:t>
      </w:r>
      <w:r>
        <w:rPr>
          <w:rFonts w:hint="eastAsia" w:ascii="宋体" w:hAnsi="宋体" w:eastAsia="宋体" w:cs="宋体"/>
          <w:b/>
          <w:bCs/>
          <w:color w:val="000000"/>
          <w:sz w:val="24"/>
          <w:szCs w:val="24"/>
          <w:highlight w:val="none"/>
        </w:rPr>
        <w:t>同时管理人有权根据实际情况延后</w:t>
      </w:r>
      <w:r>
        <w:rPr>
          <w:rFonts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rPr>
        <w:t>提前支付上述费用。产品到期或提前终止情况下，在产品到期日或提前终止日后支付剩余应付未付的费用。</w:t>
      </w:r>
      <w:r>
        <w:rPr>
          <w:rFonts w:hint="eastAsia" w:ascii="宋体" w:hAnsi="宋体" w:eastAsia="宋体"/>
          <w:b/>
          <w:bCs/>
          <w:sz w:val="24"/>
          <w:szCs w:val="24"/>
          <w:highlight w:val="none"/>
        </w:rPr>
        <w:t>不同类别份额的固定管理费分别计算并计提。计算方式如下：</w:t>
      </w:r>
    </w:p>
    <w:p>
      <w:pPr>
        <w:widowControl/>
        <w:spacing w:line="300" w:lineRule="auto"/>
        <w:ind w:firstLine="482" w:firstLineChars="200"/>
        <w:jc w:val="left"/>
        <w:rPr>
          <w:rFonts w:hint="eastAsia" w:ascii="宋体" w:hAnsi="宋体" w:eastAsia="宋体"/>
          <w:b/>
          <w:bCs/>
          <w:sz w:val="24"/>
          <w:szCs w:val="24"/>
          <w:highlight w:val="none"/>
        </w:rPr>
      </w:pPr>
      <w:r>
        <w:rPr>
          <w:rFonts w:hint="eastAsia" w:ascii="宋体" w:hAnsi="宋体" w:eastAsia="宋体"/>
          <w:b/>
          <w:bCs/>
          <w:sz w:val="24"/>
          <w:szCs w:val="24"/>
          <w:highlight w:val="none"/>
          <w:lang w:bidi="ar"/>
        </w:rPr>
        <w:t>各类份额</w:t>
      </w:r>
      <w:r>
        <w:rPr>
          <w:rFonts w:hint="eastAsia" w:ascii="宋体" w:hAnsi="宋体" w:eastAsia="宋体"/>
          <w:b/>
          <w:bCs/>
          <w:sz w:val="24"/>
          <w:szCs w:val="24"/>
          <w:highlight w:val="none"/>
        </w:rPr>
        <w:t>每个自然日计提的固定管理费</w:t>
      </w:r>
      <w:r>
        <w:rPr>
          <w:rFonts w:ascii="宋体" w:hAnsi="宋体" w:eastAsia="宋体"/>
          <w:b/>
          <w:bCs/>
          <w:sz w:val="24"/>
          <w:szCs w:val="24"/>
          <w:highlight w:val="none"/>
        </w:rPr>
        <w:t>=</w:t>
      </w:r>
      <w:r>
        <w:rPr>
          <w:rFonts w:hint="eastAsia" w:ascii="宋体" w:hAnsi="宋体" w:eastAsia="宋体"/>
          <w:b/>
          <w:bCs/>
          <w:sz w:val="24"/>
          <w:szCs w:val="24"/>
          <w:highlight w:val="none"/>
        </w:rPr>
        <w:t>上一自然日</w:t>
      </w:r>
      <w:r>
        <w:rPr>
          <w:rFonts w:hint="eastAsia" w:ascii="宋体" w:hAnsi="宋体" w:eastAsia="宋体"/>
          <w:b/>
          <w:bCs/>
          <w:sz w:val="24"/>
          <w:szCs w:val="24"/>
          <w:highlight w:val="none"/>
          <w:lang w:bidi="ar"/>
        </w:rPr>
        <w:t>相应份额</w:t>
      </w:r>
      <w:r>
        <w:rPr>
          <w:rFonts w:hint="eastAsia" w:ascii="宋体" w:hAnsi="宋体" w:eastAsia="宋体"/>
          <w:b/>
          <w:bCs/>
          <w:sz w:val="24"/>
          <w:szCs w:val="24"/>
          <w:highlight w:val="none"/>
        </w:rPr>
        <w:t>净资产×当前执行的固定管理费率÷</w:t>
      </w:r>
      <w:r>
        <w:rPr>
          <w:rFonts w:ascii="宋体" w:hAnsi="宋体" w:eastAsia="宋体"/>
          <w:b/>
          <w:bCs/>
          <w:sz w:val="24"/>
          <w:szCs w:val="24"/>
          <w:highlight w:val="none"/>
        </w:rPr>
        <w:t>365</w:t>
      </w:r>
      <w:r>
        <w:rPr>
          <w:rFonts w:hint="eastAsia" w:ascii="宋体" w:hAnsi="宋体" w:eastAsia="宋体"/>
          <w:b/>
          <w:bCs/>
          <w:sz w:val="24"/>
          <w:szCs w:val="24"/>
          <w:highlight w:val="none"/>
        </w:rPr>
        <w:t>。</w:t>
      </w:r>
    </w:p>
    <w:p>
      <w:pPr>
        <w:widowControl/>
        <w:spacing w:line="300" w:lineRule="auto"/>
        <w:ind w:firstLine="482" w:firstLineChars="200"/>
        <w:jc w:val="left"/>
        <w:rPr>
          <w:rFonts w:hint="eastAsia" w:ascii="宋体" w:hAnsi="宋体" w:eastAsia="宋体"/>
          <w:b/>
          <w:bCs/>
          <w:sz w:val="24"/>
          <w:szCs w:val="24"/>
          <w:highlight w:val="none"/>
        </w:rPr>
      </w:pPr>
      <w:r>
        <w:rPr>
          <w:rFonts w:hint="eastAsia" w:ascii="宋体" w:hAnsi="宋体" w:eastAsia="宋体"/>
          <w:b/>
          <w:bCs/>
          <w:sz w:val="24"/>
          <w:szCs w:val="24"/>
          <w:highlight w:val="none"/>
          <w:lang w:bidi="ar"/>
        </w:rPr>
        <w:t>各类份额</w:t>
      </w:r>
      <w:r>
        <w:rPr>
          <w:rFonts w:hint="eastAsia" w:ascii="宋体" w:hAnsi="宋体" w:eastAsia="宋体"/>
          <w:b/>
          <w:bCs/>
          <w:sz w:val="24"/>
          <w:szCs w:val="24"/>
          <w:highlight w:val="none"/>
        </w:rPr>
        <w:t>固定管理费精确到小数点后</w:t>
      </w:r>
      <w:r>
        <w:rPr>
          <w:rFonts w:ascii="宋体" w:hAnsi="宋体" w:eastAsia="宋体"/>
          <w:b/>
          <w:bCs/>
          <w:sz w:val="24"/>
          <w:szCs w:val="24"/>
          <w:highlight w:val="none"/>
        </w:rPr>
        <w:t>2</w:t>
      </w:r>
      <w:r>
        <w:rPr>
          <w:rFonts w:hint="eastAsia" w:ascii="宋体" w:hAnsi="宋体" w:eastAsia="宋体"/>
          <w:b/>
          <w:bCs/>
          <w:sz w:val="24"/>
          <w:szCs w:val="24"/>
          <w:highlight w:val="none"/>
        </w:rPr>
        <w:t>位，小数点</w:t>
      </w:r>
      <w:r>
        <w:rPr>
          <w:rFonts w:ascii="宋体" w:hAnsi="宋体" w:eastAsia="宋体"/>
          <w:b/>
          <w:bCs/>
          <w:sz w:val="24"/>
          <w:szCs w:val="24"/>
          <w:highlight w:val="none"/>
        </w:rPr>
        <w:t>2</w:t>
      </w:r>
      <w:r>
        <w:rPr>
          <w:rFonts w:hint="eastAsia" w:ascii="宋体" w:hAnsi="宋体" w:eastAsia="宋体"/>
          <w:b/>
          <w:bCs/>
          <w:sz w:val="24"/>
          <w:szCs w:val="24"/>
          <w:highlight w:val="none"/>
        </w:rPr>
        <w:t>位以后</w:t>
      </w:r>
      <w:r>
        <w:rPr>
          <w:rFonts w:hint="eastAsia" w:ascii="宋体" w:hAnsi="宋体" w:eastAsia="宋体"/>
          <w:b/>
          <w:bCs/>
          <w:sz w:val="24"/>
          <w:szCs w:val="24"/>
          <w:highlight w:val="none"/>
          <w:lang w:bidi="ar"/>
        </w:rPr>
        <w:t>四舍五入</w:t>
      </w:r>
      <w:r>
        <w:rPr>
          <w:rFonts w:hint="eastAsia" w:ascii="宋体" w:hAnsi="宋体" w:eastAsia="宋体"/>
          <w:b/>
          <w:bCs/>
          <w:sz w:val="24"/>
          <w:szCs w:val="24"/>
          <w:highlight w:val="none"/>
        </w:rPr>
        <w:t>。本理财产品每个自然日计提的固定管理费为各类份额每个自然日计提的固定管理费总和。</w:t>
      </w:r>
    </w:p>
    <w:p>
      <w:pPr>
        <w:widowControl/>
        <w:numPr>
          <w:ilvl w:val="0"/>
          <w:numId w:val="9"/>
        </w:numPr>
        <w:spacing w:line="300" w:lineRule="auto"/>
        <w:ind w:firstLine="482" w:firstLineChars="200"/>
        <w:jc w:val="left"/>
        <w:rPr>
          <w:rFonts w:hint="eastAsia" w:ascii="宋体" w:hAnsi="宋体" w:eastAsia="宋体"/>
          <w:b/>
          <w:bCs/>
          <w:sz w:val="24"/>
          <w:szCs w:val="24"/>
          <w:highlight w:val="none"/>
        </w:rPr>
      </w:pPr>
      <w:r>
        <w:rPr>
          <w:rFonts w:hint="eastAsia" w:ascii="宋体" w:hAnsi="宋体" w:eastAsia="宋体"/>
          <w:b/>
          <w:bCs/>
          <w:sz w:val="24"/>
          <w:szCs w:val="24"/>
          <w:highlight w:val="none"/>
        </w:rPr>
        <w:t>销售服务费：销售服务机构收取理财产品销售服务费，每个自然日计提，按</w:t>
      </w:r>
      <w:r>
        <w:rPr>
          <w:rFonts w:hint="eastAsia" w:ascii="宋体" w:hAnsi="宋体" w:eastAsia="宋体"/>
          <w:b/>
          <w:bCs/>
          <w:sz w:val="24"/>
          <w:szCs w:val="24"/>
          <w:highlight w:val="none"/>
          <w:lang w:bidi="ar"/>
        </w:rPr>
        <w:t>季</w:t>
      </w:r>
      <w:r>
        <w:rPr>
          <w:rFonts w:hint="eastAsia" w:ascii="宋体" w:hAnsi="宋体" w:eastAsia="宋体"/>
          <w:b/>
          <w:bCs/>
          <w:sz w:val="24"/>
          <w:szCs w:val="24"/>
          <w:highlight w:val="none"/>
        </w:rPr>
        <w:t>收取</w:t>
      </w:r>
      <w:r>
        <w:rPr>
          <w:rFonts w:hint="eastAsia" w:ascii="宋体" w:hAnsi="宋体" w:eastAsia="宋体"/>
          <w:b/>
          <w:bCs/>
          <w:sz w:val="24"/>
          <w:szCs w:val="24"/>
          <w:highlight w:val="none"/>
          <w:lang w:bidi="ar"/>
        </w:rPr>
        <w:t>，</w:t>
      </w:r>
      <w:r>
        <w:rPr>
          <w:rFonts w:hint="eastAsia" w:ascii="宋体" w:hAnsi="宋体" w:eastAsia="宋体" w:cs="宋体"/>
          <w:b/>
          <w:bCs/>
          <w:color w:val="000000"/>
          <w:sz w:val="24"/>
          <w:szCs w:val="24"/>
          <w:highlight w:val="none"/>
        </w:rPr>
        <w:t>同时管理人有权根据实际情况延后</w:t>
      </w:r>
      <w:r>
        <w:rPr>
          <w:rFonts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rPr>
        <w:t>提前支付上述费用。产品到期或提前终止情况下，在产品到期日或提前终止日后支付剩余应付未付的费用。</w:t>
      </w:r>
      <w:r>
        <w:rPr>
          <w:rFonts w:hint="eastAsia" w:ascii="宋体" w:hAnsi="宋体" w:eastAsia="宋体"/>
          <w:b/>
          <w:bCs/>
          <w:sz w:val="24"/>
          <w:szCs w:val="24"/>
          <w:highlight w:val="none"/>
        </w:rPr>
        <w:t>不同类别份额的销售服务费分别计算并计提。计算方式如下：</w:t>
      </w:r>
    </w:p>
    <w:p>
      <w:pPr>
        <w:widowControl/>
        <w:spacing w:line="300" w:lineRule="auto"/>
        <w:ind w:firstLine="482" w:firstLineChars="200"/>
        <w:jc w:val="left"/>
        <w:rPr>
          <w:rFonts w:hint="eastAsia" w:ascii="宋体" w:hAnsi="宋体" w:eastAsia="宋体"/>
          <w:b/>
          <w:bCs/>
          <w:sz w:val="24"/>
          <w:szCs w:val="24"/>
          <w:highlight w:val="none"/>
        </w:rPr>
      </w:pPr>
      <w:r>
        <w:rPr>
          <w:rFonts w:hint="eastAsia" w:ascii="宋体" w:hAnsi="宋体" w:eastAsia="宋体"/>
          <w:b/>
          <w:bCs/>
          <w:sz w:val="24"/>
          <w:szCs w:val="24"/>
          <w:highlight w:val="none"/>
          <w:lang w:bidi="ar"/>
        </w:rPr>
        <w:t>各类份额</w:t>
      </w:r>
      <w:r>
        <w:rPr>
          <w:rFonts w:hint="eastAsia" w:ascii="宋体" w:hAnsi="宋体" w:eastAsia="宋体"/>
          <w:b/>
          <w:bCs/>
          <w:sz w:val="24"/>
          <w:szCs w:val="24"/>
          <w:highlight w:val="none"/>
        </w:rPr>
        <w:t>每个自然日计提的销售服务费</w:t>
      </w:r>
      <w:r>
        <w:rPr>
          <w:rFonts w:ascii="宋体" w:hAnsi="宋体" w:eastAsia="宋体"/>
          <w:b/>
          <w:bCs/>
          <w:sz w:val="24"/>
          <w:szCs w:val="24"/>
          <w:highlight w:val="none"/>
        </w:rPr>
        <w:t>=</w:t>
      </w:r>
      <w:r>
        <w:rPr>
          <w:rFonts w:hint="eastAsia" w:ascii="宋体" w:hAnsi="宋体" w:eastAsia="宋体"/>
          <w:b/>
          <w:bCs/>
          <w:sz w:val="24"/>
          <w:szCs w:val="24"/>
          <w:highlight w:val="none"/>
        </w:rPr>
        <w:t>上一自然日</w:t>
      </w:r>
      <w:r>
        <w:rPr>
          <w:rFonts w:hint="eastAsia" w:ascii="宋体" w:hAnsi="宋体" w:eastAsia="宋体"/>
          <w:b/>
          <w:bCs/>
          <w:sz w:val="24"/>
          <w:szCs w:val="24"/>
          <w:highlight w:val="none"/>
          <w:lang w:bidi="ar"/>
        </w:rPr>
        <w:t>相应份额</w:t>
      </w:r>
      <w:r>
        <w:rPr>
          <w:rFonts w:hint="eastAsia" w:ascii="宋体" w:hAnsi="宋体" w:eastAsia="宋体"/>
          <w:b/>
          <w:bCs/>
          <w:sz w:val="24"/>
          <w:szCs w:val="24"/>
          <w:highlight w:val="none"/>
        </w:rPr>
        <w:t>净资产×相应份额当前执行的销售服务费率÷</w:t>
      </w:r>
      <w:r>
        <w:rPr>
          <w:rFonts w:ascii="宋体" w:hAnsi="宋体" w:eastAsia="宋体"/>
          <w:b/>
          <w:bCs/>
          <w:sz w:val="24"/>
          <w:szCs w:val="24"/>
          <w:highlight w:val="none"/>
        </w:rPr>
        <w:t>365</w:t>
      </w:r>
      <w:r>
        <w:rPr>
          <w:rFonts w:hint="eastAsia" w:ascii="宋体" w:hAnsi="宋体" w:eastAsia="宋体"/>
          <w:b/>
          <w:bCs/>
          <w:sz w:val="24"/>
          <w:szCs w:val="24"/>
          <w:highlight w:val="none"/>
        </w:rPr>
        <w:t>。</w:t>
      </w:r>
    </w:p>
    <w:p>
      <w:pPr>
        <w:widowControl/>
        <w:spacing w:line="300" w:lineRule="auto"/>
        <w:ind w:firstLine="482" w:firstLineChars="200"/>
        <w:jc w:val="left"/>
        <w:rPr>
          <w:rFonts w:hint="eastAsia" w:ascii="宋体" w:hAnsi="宋体" w:eastAsia="宋体"/>
          <w:b/>
          <w:bCs/>
          <w:sz w:val="24"/>
          <w:szCs w:val="24"/>
          <w:highlight w:val="none"/>
        </w:rPr>
      </w:pPr>
      <w:r>
        <w:rPr>
          <w:rFonts w:hint="eastAsia" w:ascii="宋体" w:hAnsi="宋体" w:eastAsia="宋体"/>
          <w:b/>
          <w:bCs/>
          <w:sz w:val="24"/>
          <w:szCs w:val="24"/>
          <w:highlight w:val="none"/>
          <w:lang w:bidi="ar"/>
        </w:rPr>
        <w:t>各类份额</w:t>
      </w:r>
      <w:r>
        <w:rPr>
          <w:rFonts w:hint="eastAsia" w:ascii="宋体" w:hAnsi="宋体" w:eastAsia="宋体"/>
          <w:b/>
          <w:bCs/>
          <w:sz w:val="24"/>
          <w:szCs w:val="24"/>
          <w:highlight w:val="none"/>
        </w:rPr>
        <w:t>销售服务费精确到小数点后</w:t>
      </w:r>
      <w:r>
        <w:rPr>
          <w:rFonts w:ascii="宋体" w:hAnsi="宋体" w:eastAsia="宋体"/>
          <w:b/>
          <w:bCs/>
          <w:sz w:val="24"/>
          <w:szCs w:val="24"/>
          <w:highlight w:val="none"/>
        </w:rPr>
        <w:t>2</w:t>
      </w:r>
      <w:r>
        <w:rPr>
          <w:rFonts w:hint="eastAsia" w:ascii="宋体" w:hAnsi="宋体" w:eastAsia="宋体"/>
          <w:b/>
          <w:bCs/>
          <w:sz w:val="24"/>
          <w:szCs w:val="24"/>
          <w:highlight w:val="none"/>
        </w:rPr>
        <w:t>位，小数点</w:t>
      </w:r>
      <w:r>
        <w:rPr>
          <w:rFonts w:ascii="宋体" w:hAnsi="宋体" w:eastAsia="宋体"/>
          <w:b/>
          <w:bCs/>
          <w:sz w:val="24"/>
          <w:szCs w:val="24"/>
          <w:highlight w:val="none"/>
        </w:rPr>
        <w:t>2</w:t>
      </w:r>
      <w:r>
        <w:rPr>
          <w:rFonts w:hint="eastAsia" w:ascii="宋体" w:hAnsi="宋体" w:eastAsia="宋体"/>
          <w:b/>
          <w:bCs/>
          <w:sz w:val="24"/>
          <w:szCs w:val="24"/>
          <w:highlight w:val="none"/>
        </w:rPr>
        <w:t>位以后</w:t>
      </w:r>
      <w:r>
        <w:rPr>
          <w:rFonts w:hint="eastAsia" w:ascii="宋体" w:hAnsi="宋体" w:eastAsia="宋体"/>
          <w:b/>
          <w:bCs/>
          <w:sz w:val="24"/>
          <w:szCs w:val="24"/>
          <w:highlight w:val="none"/>
          <w:lang w:bidi="ar"/>
        </w:rPr>
        <w:t>四舍五入</w:t>
      </w:r>
      <w:r>
        <w:rPr>
          <w:rFonts w:hint="eastAsia" w:ascii="宋体" w:hAnsi="宋体" w:eastAsia="宋体"/>
          <w:b/>
          <w:bCs/>
          <w:sz w:val="24"/>
          <w:szCs w:val="24"/>
          <w:highlight w:val="none"/>
        </w:rPr>
        <w:t>。本理财产品每个自然日计提的销售服务费为各类份额每个自然日计提的销售服务费总和。</w:t>
      </w:r>
    </w:p>
    <w:p>
      <w:pPr>
        <w:widowControl/>
        <w:numPr>
          <w:ilvl w:val="0"/>
          <w:numId w:val="9"/>
        </w:numPr>
        <w:spacing w:line="300" w:lineRule="auto"/>
        <w:ind w:firstLine="482" w:firstLineChars="200"/>
        <w:jc w:val="left"/>
        <w:rPr>
          <w:rFonts w:hint="eastAsia" w:ascii="宋体" w:hAnsi="宋体" w:eastAsia="宋体"/>
          <w:b/>
          <w:bCs/>
          <w:sz w:val="24"/>
          <w:szCs w:val="24"/>
          <w:highlight w:val="none"/>
        </w:rPr>
      </w:pPr>
      <w:r>
        <w:rPr>
          <w:rFonts w:hint="eastAsia" w:ascii="宋体" w:hAnsi="宋体" w:eastAsia="宋体"/>
          <w:b/>
          <w:bCs/>
          <w:sz w:val="24"/>
          <w:szCs w:val="24"/>
          <w:highlight w:val="none"/>
        </w:rPr>
        <w:t>托管费：托管人收取理财产品托管费，每个自然日计提，按</w:t>
      </w:r>
      <w:r>
        <w:rPr>
          <w:rFonts w:hint="eastAsia" w:ascii="宋体" w:hAnsi="宋体" w:eastAsia="宋体"/>
          <w:b/>
          <w:bCs/>
          <w:sz w:val="24"/>
          <w:szCs w:val="24"/>
          <w:highlight w:val="none"/>
          <w:lang w:bidi="ar"/>
        </w:rPr>
        <w:t>季</w:t>
      </w:r>
      <w:r>
        <w:rPr>
          <w:rFonts w:hint="eastAsia" w:ascii="宋体" w:hAnsi="宋体" w:eastAsia="宋体"/>
          <w:b/>
          <w:bCs/>
          <w:sz w:val="24"/>
          <w:szCs w:val="24"/>
          <w:highlight w:val="none"/>
        </w:rPr>
        <w:t>收取</w:t>
      </w:r>
      <w:r>
        <w:rPr>
          <w:rFonts w:hint="eastAsia" w:ascii="宋体" w:hAnsi="宋体" w:eastAsia="宋体"/>
          <w:b/>
          <w:bCs/>
          <w:sz w:val="24"/>
          <w:szCs w:val="24"/>
          <w:highlight w:val="none"/>
          <w:lang w:bidi="ar"/>
        </w:rPr>
        <w:t>，</w:t>
      </w:r>
      <w:r>
        <w:rPr>
          <w:rFonts w:hint="eastAsia" w:ascii="宋体" w:hAnsi="宋体" w:eastAsia="宋体" w:cs="宋体"/>
          <w:b/>
          <w:bCs/>
          <w:color w:val="000000"/>
          <w:sz w:val="24"/>
          <w:szCs w:val="24"/>
          <w:highlight w:val="none"/>
        </w:rPr>
        <w:t>同时管理人有权根据实际情况延后</w:t>
      </w:r>
      <w:r>
        <w:rPr>
          <w:rFonts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rPr>
        <w:t>提前支付上述费用。产品到期或提前终止情况下，在产品到期日或提前终止日后支付剩余应付未付的费用。</w:t>
      </w:r>
      <w:r>
        <w:rPr>
          <w:rFonts w:hint="eastAsia" w:ascii="宋体" w:hAnsi="宋体" w:eastAsia="宋体"/>
          <w:b/>
          <w:bCs/>
          <w:sz w:val="24"/>
          <w:szCs w:val="24"/>
          <w:highlight w:val="none"/>
        </w:rPr>
        <w:t>计算方式如下：</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lang w:bidi="ar"/>
        </w:rPr>
        <w:t>本理财产品</w:t>
      </w:r>
      <w:r>
        <w:rPr>
          <w:rFonts w:hint="eastAsia" w:ascii="宋体" w:hAnsi="宋体" w:eastAsia="宋体"/>
          <w:b/>
          <w:bCs/>
          <w:sz w:val="24"/>
          <w:szCs w:val="24"/>
          <w:highlight w:val="none"/>
        </w:rPr>
        <w:t>每个自然日计提的托管费</w:t>
      </w:r>
      <w:r>
        <w:rPr>
          <w:rFonts w:ascii="宋体" w:hAnsi="宋体" w:eastAsia="宋体"/>
          <w:b/>
          <w:bCs/>
          <w:sz w:val="24"/>
          <w:szCs w:val="24"/>
          <w:highlight w:val="none"/>
        </w:rPr>
        <w:t>=</w:t>
      </w:r>
      <w:r>
        <w:rPr>
          <w:rFonts w:hint="eastAsia" w:ascii="宋体" w:hAnsi="宋体" w:eastAsia="宋体"/>
          <w:b/>
          <w:bCs/>
          <w:sz w:val="24"/>
          <w:szCs w:val="24"/>
          <w:highlight w:val="none"/>
        </w:rPr>
        <w:t>上一自然日理财产品净资产×当前执行的托管费率÷</w:t>
      </w:r>
      <w:r>
        <w:rPr>
          <w:rFonts w:ascii="宋体" w:hAnsi="宋体" w:eastAsia="宋体"/>
          <w:b/>
          <w:bCs/>
          <w:sz w:val="24"/>
          <w:szCs w:val="24"/>
          <w:highlight w:val="none"/>
        </w:rPr>
        <w:t>365</w:t>
      </w:r>
      <w:r>
        <w:rPr>
          <w:rFonts w:hint="eastAsia" w:ascii="宋体" w:hAnsi="宋体" w:eastAsia="宋体"/>
          <w:b/>
          <w:bCs/>
          <w:sz w:val="24"/>
          <w:szCs w:val="24"/>
          <w:highlight w:val="none"/>
        </w:rPr>
        <w:t>。</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托管费精确到小数点后</w:t>
      </w:r>
      <w:r>
        <w:rPr>
          <w:rFonts w:ascii="宋体" w:hAnsi="宋体" w:eastAsia="宋体"/>
          <w:b/>
          <w:bCs/>
          <w:sz w:val="24"/>
          <w:szCs w:val="24"/>
          <w:highlight w:val="none"/>
        </w:rPr>
        <w:t>2</w:t>
      </w:r>
      <w:r>
        <w:rPr>
          <w:rFonts w:hint="eastAsia" w:ascii="宋体" w:hAnsi="宋体" w:eastAsia="宋体"/>
          <w:b/>
          <w:bCs/>
          <w:sz w:val="24"/>
          <w:szCs w:val="24"/>
          <w:highlight w:val="none"/>
        </w:rPr>
        <w:t>位，小数点</w:t>
      </w:r>
      <w:r>
        <w:rPr>
          <w:rFonts w:ascii="宋体" w:hAnsi="宋体" w:eastAsia="宋体"/>
          <w:b/>
          <w:bCs/>
          <w:sz w:val="24"/>
          <w:szCs w:val="24"/>
          <w:highlight w:val="none"/>
        </w:rPr>
        <w:t>2</w:t>
      </w:r>
      <w:r>
        <w:rPr>
          <w:rFonts w:hint="eastAsia" w:ascii="宋体" w:hAnsi="宋体" w:eastAsia="宋体"/>
          <w:b/>
          <w:bCs/>
          <w:sz w:val="24"/>
          <w:szCs w:val="24"/>
          <w:highlight w:val="none"/>
        </w:rPr>
        <w:t>位以后</w:t>
      </w:r>
      <w:r>
        <w:rPr>
          <w:rFonts w:hint="eastAsia" w:ascii="宋体" w:hAnsi="宋体" w:eastAsia="宋体"/>
          <w:b/>
          <w:bCs/>
          <w:sz w:val="24"/>
          <w:szCs w:val="24"/>
          <w:highlight w:val="none"/>
          <w:lang w:bidi="ar"/>
        </w:rPr>
        <w:t>四舍五入</w:t>
      </w:r>
      <w:r>
        <w:rPr>
          <w:rFonts w:hint="eastAsia" w:ascii="宋体" w:hAnsi="宋体" w:eastAsia="宋体"/>
          <w:b/>
          <w:bCs/>
          <w:sz w:val="24"/>
          <w:szCs w:val="24"/>
          <w:highlight w:val="none"/>
        </w:rPr>
        <w:t>。</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6.</w:t>
      </w:r>
      <w:r>
        <w:rPr>
          <w:rFonts w:hint="eastAsia" w:ascii="宋体" w:hAnsi="宋体" w:eastAsia="宋体"/>
          <w:b/>
          <w:bCs/>
          <w:sz w:val="24"/>
          <w:szCs w:val="24"/>
          <w:highlight w:val="none"/>
        </w:rPr>
        <w:t>超额业绩报酬：管理人收取理财产品超额业绩报酬。理财产品终止日或某类份额终止日的前一日为计提评价日，超额业绩报酬于计提评价日计提并于此后【</w:t>
      </w:r>
      <w:r>
        <w:rPr>
          <w:rFonts w:ascii="宋体" w:hAnsi="宋体" w:eastAsia="宋体"/>
          <w:b/>
          <w:bCs/>
          <w:sz w:val="24"/>
          <w:szCs w:val="24"/>
          <w:highlight w:val="none"/>
        </w:rPr>
        <w:t>10</w:t>
      </w:r>
      <w:r>
        <w:rPr>
          <w:rFonts w:hint="eastAsia" w:ascii="宋体" w:hAnsi="宋体" w:eastAsia="宋体"/>
          <w:b/>
          <w:bCs/>
          <w:sz w:val="24"/>
          <w:szCs w:val="24"/>
          <w:highlight w:val="none"/>
        </w:rPr>
        <w:t>】个工作日内支付</w:t>
      </w:r>
      <w:r>
        <w:rPr>
          <w:rFonts w:ascii="宋体" w:hAnsi="宋体" w:eastAsia="宋体"/>
          <w:b/>
          <w:bCs/>
          <w:sz w:val="24"/>
          <w:szCs w:val="24"/>
          <w:highlight w:val="none"/>
        </w:rPr>
        <w:t>,</w:t>
      </w:r>
      <w:r>
        <w:rPr>
          <w:rFonts w:hint="eastAsia" w:ascii="宋体" w:hAnsi="宋体" w:eastAsia="宋体"/>
          <w:b/>
          <w:bCs/>
          <w:sz w:val="24"/>
          <w:szCs w:val="24"/>
          <w:highlight w:val="none"/>
        </w:rPr>
        <w:t>超额业绩报酬精确到小数点后</w:t>
      </w:r>
      <w:r>
        <w:rPr>
          <w:rFonts w:ascii="宋体" w:hAnsi="宋体" w:eastAsia="宋体"/>
          <w:b/>
          <w:bCs/>
          <w:sz w:val="24"/>
          <w:szCs w:val="24"/>
          <w:highlight w:val="none"/>
        </w:rPr>
        <w:t>2</w:t>
      </w:r>
      <w:r>
        <w:rPr>
          <w:rFonts w:hint="eastAsia" w:ascii="宋体" w:hAnsi="宋体" w:eastAsia="宋体"/>
          <w:b/>
          <w:bCs/>
          <w:sz w:val="24"/>
          <w:szCs w:val="24"/>
          <w:highlight w:val="none"/>
        </w:rPr>
        <w:t>位，小数点</w:t>
      </w:r>
      <w:r>
        <w:rPr>
          <w:rFonts w:ascii="宋体" w:hAnsi="宋体" w:eastAsia="宋体"/>
          <w:b/>
          <w:bCs/>
          <w:sz w:val="24"/>
          <w:szCs w:val="24"/>
          <w:highlight w:val="none"/>
        </w:rPr>
        <w:t>2</w:t>
      </w:r>
      <w:r>
        <w:rPr>
          <w:rFonts w:hint="eastAsia" w:ascii="宋体" w:hAnsi="宋体" w:eastAsia="宋体"/>
          <w:b/>
          <w:bCs/>
          <w:sz w:val="24"/>
          <w:szCs w:val="24"/>
          <w:highlight w:val="none"/>
        </w:rPr>
        <w:t>位以后</w:t>
      </w:r>
      <w:r>
        <w:rPr>
          <w:rFonts w:hint="eastAsia" w:ascii="宋体" w:hAnsi="宋体" w:eastAsia="宋体"/>
          <w:b/>
          <w:bCs/>
          <w:sz w:val="24"/>
          <w:szCs w:val="24"/>
          <w:highlight w:val="none"/>
          <w:lang w:bidi="ar"/>
        </w:rPr>
        <w:t>四舍五入</w:t>
      </w:r>
      <w:r>
        <w:rPr>
          <w:rFonts w:hint="eastAsia" w:ascii="宋体" w:hAnsi="宋体" w:eastAsia="宋体"/>
          <w:b/>
          <w:bCs/>
          <w:sz w:val="24"/>
          <w:szCs w:val="24"/>
          <w:highlight w:val="none"/>
        </w:rPr>
        <w:t>。根据计算方式得到的超额业绩报酬大于</w:t>
      </w:r>
      <w:r>
        <w:rPr>
          <w:rFonts w:ascii="宋体" w:hAnsi="宋体" w:eastAsia="宋体"/>
          <w:b/>
          <w:bCs/>
          <w:sz w:val="24"/>
          <w:szCs w:val="24"/>
          <w:highlight w:val="none"/>
        </w:rPr>
        <w:t>0</w:t>
      </w:r>
      <w:r>
        <w:rPr>
          <w:rFonts w:hint="eastAsia" w:ascii="宋体" w:hAnsi="宋体" w:eastAsia="宋体"/>
          <w:b/>
          <w:bCs/>
          <w:sz w:val="24"/>
          <w:szCs w:val="24"/>
          <w:highlight w:val="none"/>
        </w:rPr>
        <w:t>时，方可计提超额业绩报酬。不同类别份额的超额业绩报酬分别计算并计提。</w:t>
      </w:r>
    </w:p>
    <w:p>
      <w:pPr>
        <w:numPr>
          <w:ilvl w:val="255"/>
          <w:numId w:val="0"/>
        </w:num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超额业绩报酬的计算方式为：</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各类份额年化的名义份额净值收益率超过相应份额的超额业绩报酬计提基准时，计提超出部分的</w:t>
      </w:r>
      <w:r>
        <w:rPr>
          <w:rFonts w:ascii="宋体" w:hAnsi="宋体" w:eastAsia="宋体"/>
          <w:b/>
          <w:bCs/>
          <w:sz w:val="24"/>
          <w:szCs w:val="24"/>
          <w:highlight w:val="none"/>
        </w:rPr>
        <w:t>50%</w:t>
      </w:r>
      <w:r>
        <w:rPr>
          <w:rFonts w:hint="eastAsia" w:ascii="宋体" w:hAnsi="宋体" w:eastAsia="宋体"/>
          <w:b/>
          <w:bCs/>
          <w:sz w:val="24"/>
          <w:szCs w:val="24"/>
          <w:highlight w:val="none"/>
        </w:rPr>
        <w:t>作为超额业绩报酬。计算公式如下：</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各类份额计提评价日应计提的超额业绩报酬</w:t>
      </w:r>
      <w:r>
        <w:rPr>
          <w:rFonts w:ascii="宋体" w:hAnsi="宋体" w:eastAsia="宋体"/>
          <w:b/>
          <w:bCs/>
          <w:sz w:val="24"/>
          <w:szCs w:val="24"/>
          <w:highlight w:val="none"/>
        </w:rPr>
        <w:t>=(</w:t>
      </w:r>
      <w:r>
        <w:rPr>
          <w:rFonts w:hint="eastAsia" w:ascii="宋体" w:hAnsi="宋体" w:eastAsia="宋体"/>
          <w:b/>
          <w:bCs/>
          <w:sz w:val="24"/>
          <w:szCs w:val="24"/>
          <w:highlight w:val="none"/>
        </w:rPr>
        <w:t>相应份额名义份额净值收益率</w:t>
      </w:r>
      <w:r>
        <w:rPr>
          <w:rFonts w:ascii="宋体" w:hAnsi="宋体" w:eastAsia="宋体"/>
          <w:b/>
          <w:bCs/>
          <w:sz w:val="24"/>
          <w:szCs w:val="24"/>
          <w:highlight w:val="none"/>
        </w:rPr>
        <w:t>-</w:t>
      </w:r>
      <w:r>
        <w:rPr>
          <w:rFonts w:hint="eastAsia" w:ascii="宋体" w:hAnsi="宋体" w:eastAsia="宋体"/>
          <w:b/>
          <w:bCs/>
          <w:sz w:val="24"/>
          <w:szCs w:val="24"/>
          <w:highlight w:val="none"/>
        </w:rPr>
        <w:t>相应份额超额业绩报酬计提基准×区间天数÷</w:t>
      </w:r>
      <w:r>
        <w:rPr>
          <w:rFonts w:ascii="宋体" w:hAnsi="宋体" w:eastAsia="宋体"/>
          <w:b/>
          <w:bCs/>
          <w:sz w:val="24"/>
          <w:szCs w:val="24"/>
          <w:highlight w:val="none"/>
        </w:rPr>
        <w:t>365</w:t>
      </w:r>
      <w:r>
        <w:rPr>
          <w:rFonts w:hint="eastAsia" w:ascii="宋体" w:hAnsi="宋体" w:eastAsia="宋体"/>
          <w:b/>
          <w:bCs/>
          <w:sz w:val="24"/>
          <w:szCs w:val="24"/>
          <w:highlight w:val="none"/>
        </w:rPr>
        <w:t>）×理财产品计提评价日的相应份额的总份额×</w:t>
      </w:r>
      <w:r>
        <w:rPr>
          <w:rFonts w:ascii="宋体" w:hAnsi="宋体" w:eastAsia="宋体"/>
          <w:b/>
          <w:bCs/>
          <w:sz w:val="24"/>
          <w:szCs w:val="24"/>
          <w:highlight w:val="none"/>
        </w:rPr>
        <w:t>50%</w:t>
      </w:r>
      <w:r>
        <w:rPr>
          <w:rFonts w:hint="eastAsia" w:ascii="宋体" w:hAnsi="宋体" w:eastAsia="宋体"/>
          <w:b/>
          <w:bCs/>
          <w:sz w:val="24"/>
          <w:szCs w:val="24"/>
          <w:highlight w:val="none"/>
        </w:rPr>
        <w:t>，其中，相应份额名义份额净值收益率</w:t>
      </w:r>
      <w:r>
        <w:rPr>
          <w:rFonts w:ascii="宋体" w:hAnsi="宋体" w:eastAsia="宋体"/>
          <w:b/>
          <w:bCs/>
          <w:sz w:val="24"/>
          <w:szCs w:val="24"/>
          <w:highlight w:val="none"/>
        </w:rPr>
        <w:t>=</w:t>
      </w:r>
      <w:r>
        <w:rPr>
          <w:rFonts w:hint="eastAsia" w:ascii="宋体" w:hAnsi="宋体" w:eastAsia="宋体"/>
          <w:b/>
          <w:bCs/>
          <w:sz w:val="24"/>
          <w:szCs w:val="24"/>
          <w:highlight w:val="none"/>
        </w:rPr>
        <w:t>（该计提评价日的理财产品相应份额的累计份额净值</w:t>
      </w:r>
      <w:r>
        <w:rPr>
          <w:rFonts w:ascii="宋体" w:hAnsi="宋体" w:eastAsia="宋体"/>
          <w:b/>
          <w:bCs/>
          <w:sz w:val="24"/>
          <w:szCs w:val="24"/>
          <w:highlight w:val="none"/>
        </w:rPr>
        <w:t>-</w:t>
      </w:r>
      <w:r>
        <w:rPr>
          <w:rFonts w:hint="eastAsia" w:ascii="宋体" w:hAnsi="宋体" w:eastAsia="宋体"/>
          <w:b/>
          <w:bCs/>
          <w:sz w:val="24"/>
          <w:szCs w:val="24"/>
          <w:highlight w:val="none"/>
        </w:rPr>
        <w:t>产品相应份额单位份额发行价格）÷产品相应份额单位份额发行价格。区间天数是指理财产品成立日（含），截止到计提评价日当天（含）的实际天数。理财产品相应份额的累计份额净值</w:t>
      </w:r>
      <w:r>
        <w:rPr>
          <w:rFonts w:ascii="宋体" w:hAnsi="宋体" w:eastAsia="宋体"/>
          <w:b/>
          <w:bCs/>
          <w:sz w:val="24"/>
          <w:szCs w:val="24"/>
          <w:highlight w:val="none"/>
        </w:rPr>
        <w:t>=</w:t>
      </w:r>
      <w:r>
        <w:rPr>
          <w:rFonts w:hint="eastAsia" w:ascii="宋体" w:hAnsi="宋体" w:eastAsia="宋体"/>
          <w:b/>
          <w:bCs/>
          <w:sz w:val="24"/>
          <w:szCs w:val="24"/>
          <w:highlight w:val="none"/>
        </w:rPr>
        <w:t>相应份额的资产净值</w:t>
      </w:r>
      <w:r>
        <w:rPr>
          <w:rFonts w:ascii="宋体" w:hAnsi="宋体" w:eastAsia="宋体"/>
          <w:b/>
          <w:bCs/>
          <w:sz w:val="24"/>
          <w:szCs w:val="24"/>
          <w:highlight w:val="none"/>
        </w:rPr>
        <w:t>/</w:t>
      </w:r>
      <w:r>
        <w:rPr>
          <w:rFonts w:hint="eastAsia" w:ascii="宋体" w:hAnsi="宋体" w:eastAsia="宋体"/>
          <w:b/>
          <w:bCs/>
          <w:sz w:val="24"/>
          <w:szCs w:val="24"/>
          <w:highlight w:val="none"/>
        </w:rPr>
        <w:t>相应份额的总份额</w:t>
      </w:r>
      <w:r>
        <w:rPr>
          <w:rFonts w:ascii="宋体" w:hAnsi="宋体" w:eastAsia="宋体"/>
          <w:b/>
          <w:bCs/>
          <w:sz w:val="24"/>
          <w:szCs w:val="24"/>
          <w:highlight w:val="none"/>
        </w:rPr>
        <w:t>+</w:t>
      </w:r>
      <w:r>
        <w:rPr>
          <w:rFonts w:hint="eastAsia" w:ascii="宋体" w:hAnsi="宋体" w:eastAsia="宋体"/>
          <w:b/>
          <w:bCs/>
          <w:sz w:val="24"/>
          <w:szCs w:val="24"/>
          <w:highlight w:val="none"/>
        </w:rPr>
        <w:t>产品成立以来相应份额累计单位分红金额。相应份额的累计份额净值四舍五入保留</w:t>
      </w:r>
      <w:r>
        <w:rPr>
          <w:rFonts w:ascii="宋体" w:hAnsi="宋体" w:eastAsia="宋体"/>
          <w:b/>
          <w:bCs/>
          <w:sz w:val="24"/>
          <w:szCs w:val="24"/>
          <w:highlight w:val="none"/>
        </w:rPr>
        <w:t>6</w:t>
      </w:r>
      <w:r>
        <w:rPr>
          <w:rFonts w:hint="eastAsia" w:ascii="宋体" w:hAnsi="宋体" w:eastAsia="宋体"/>
          <w:b/>
          <w:bCs/>
          <w:sz w:val="24"/>
          <w:szCs w:val="24"/>
          <w:highlight w:val="none"/>
        </w:rPr>
        <w:t>位小数。</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本理财产品收取的超额业绩报酬为各类份额超额业绩报酬的总和。</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产品管理人将产品存续期内每个自然日视作计提评价日，并按照产品说明书约定的超额业绩报酬计算方法暂估计提，用于产品估值核算，投资者需知悉，管理人对外披露的净值为暂估计提超额业绩报酬后的结果，但仅以本理财产品终止日或某类份额终止日的前一日确认计提的超额业绩报酬作为结算依据。</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渤银理财有权根据国家政策和适用法律的规定，对本理财产品费用名目、收费条件、收费标准和收费方式进行调整，并提前2个工作日向投资者进行披露。其中，对于渤银理财增加费用名目、提高收费标准等对投资者利益产生实质影响的情形，投资者如不同意调整的，可在渤银理财信息披露的补充或修改后的相关业务调整生效前赎回本理财产品，逾期未赎回的视为同意接受前述调整且继续持有本理财产品。</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（二）理财产品的税收</w:t>
      </w:r>
    </w:p>
    <w:p>
      <w:pPr>
        <w:spacing w:line="300" w:lineRule="auto"/>
        <w:ind w:firstLine="480" w:firstLineChars="200"/>
        <w:rPr>
          <w:rFonts w:hint="eastAsia" w:ascii="宋体" w:hAnsi="宋体" w:eastAsia="宋体"/>
          <w:sz w:val="24"/>
          <w:szCs w:val="24"/>
          <w:highlight w:val="none"/>
        </w:rPr>
      </w:pPr>
      <w:bookmarkStart w:id="1" w:name="_Hlk134619445"/>
      <w:r>
        <w:rPr>
          <w:rFonts w:hint="eastAsia" w:ascii="宋体" w:hAnsi="宋体" w:eastAsia="宋体"/>
          <w:sz w:val="24"/>
          <w:szCs w:val="24"/>
          <w:highlight w:val="none"/>
        </w:rPr>
        <w:t>本产品运作过程中涉及的各纳税主体的纳税义务按国家税收法律、法规执行。除法律法规特别要求外，投资者应缴纳的税收由投资者负责，产品管理人不承担代扣代缴或纳税的义务。理财产品运营过程中发生的增值税应税行为，由理财产品承担增值税及附加税费，该等税款直接从理财产品账户中扣付，由产品管理人进行申报和缴纳。</w:t>
      </w:r>
      <w:bookmarkEnd w:id="1"/>
    </w:p>
    <w:p>
      <w:pPr>
        <w:spacing w:line="300" w:lineRule="auto"/>
        <w:ind w:firstLine="480" w:firstLineChars="200"/>
        <w:rPr>
          <w:rFonts w:hint="eastAsia" w:ascii="宋体" w:hAnsi="宋体" w:eastAsia="宋体"/>
          <w:sz w:val="24"/>
          <w:szCs w:val="24"/>
          <w:highlight w:val="none"/>
        </w:rPr>
      </w:pP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八、理财资金分配</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（一）期间分配</w:t>
      </w:r>
    </w:p>
    <w:p>
      <w:pPr>
        <w:widowControl/>
        <w:spacing w:line="300" w:lineRule="auto"/>
        <w:ind w:firstLine="480" w:firstLineChars="200"/>
        <w:jc w:val="left"/>
        <w:rPr>
          <w:rFonts w:hint="eastAsia" w:ascii="宋体" w:hAnsi="宋体" w:eastAsia="宋体"/>
          <w:sz w:val="24"/>
          <w:szCs w:val="24"/>
          <w:highlight w:val="none"/>
          <w:lang w:bidi="ar"/>
        </w:rPr>
      </w:pPr>
      <w:r>
        <w:rPr>
          <w:rFonts w:hint="eastAsia" w:ascii="宋体" w:hAnsi="宋体" w:eastAsia="宋体"/>
          <w:sz w:val="24"/>
          <w:szCs w:val="24"/>
          <w:highlight w:val="none"/>
          <w:lang w:bidi="ar"/>
        </w:rPr>
        <w:t>在满足收益分配基准日（以管理人确定的为准）理财产品份额净值大于理财产品份额面值的条件下，理财产品管理人可进行不定期分配，分配方式为现金分配。</w:t>
      </w:r>
    </w:p>
    <w:p>
      <w:pPr>
        <w:widowControl/>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lang w:bidi="ar"/>
        </w:rPr>
        <w:t>期间分配原则及方式：</w:t>
      </w:r>
    </w:p>
    <w:p>
      <w:pPr>
        <w:widowControl/>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lang w:bidi="ar"/>
        </w:rPr>
        <w:t>1.同一类别的每一理财产品份额享有同等分配权；</w:t>
      </w:r>
    </w:p>
    <w:p>
      <w:pPr>
        <w:widowControl/>
        <w:spacing w:line="300" w:lineRule="auto"/>
        <w:ind w:firstLine="480" w:firstLineChars="200"/>
        <w:jc w:val="left"/>
        <w:rPr>
          <w:rFonts w:hint="eastAsia" w:ascii="宋体" w:hAnsi="宋体" w:eastAsia="宋体"/>
          <w:sz w:val="24"/>
          <w:szCs w:val="24"/>
          <w:highlight w:val="none"/>
        </w:rPr>
      </w:pPr>
      <w:r>
        <w:rPr>
          <w:rFonts w:hint="eastAsia" w:ascii="宋体" w:hAnsi="宋体" w:eastAsia="宋体"/>
          <w:sz w:val="24"/>
          <w:szCs w:val="24"/>
          <w:highlight w:val="none"/>
          <w:lang w:bidi="ar"/>
        </w:rPr>
        <w:t>2.如需进行收益分配，产品管理人通过本产品说明书信息披露约定的方式，向投资者披露收益分配方案，包括但不限于收益分配基准日、除息日、权益登记日、收益分配对象、收益分配方式、分配金额等内容。</w:t>
      </w:r>
    </w:p>
    <w:p>
      <w:pPr>
        <w:widowControl/>
        <w:spacing w:line="300" w:lineRule="auto"/>
        <w:ind w:firstLine="480" w:firstLineChars="200"/>
        <w:jc w:val="left"/>
        <w:rPr>
          <w:rFonts w:hint="eastAsia" w:ascii="宋体" w:hAnsi="宋体" w:eastAsia="宋体"/>
          <w:sz w:val="24"/>
          <w:szCs w:val="24"/>
          <w:highlight w:val="none"/>
          <w:lang w:bidi="ar"/>
        </w:rPr>
      </w:pPr>
      <w:r>
        <w:rPr>
          <w:rFonts w:hint="eastAsia" w:ascii="宋体" w:hAnsi="宋体" w:eastAsia="宋体"/>
          <w:sz w:val="24"/>
          <w:szCs w:val="24"/>
          <w:highlight w:val="none"/>
          <w:lang w:bidi="ar"/>
        </w:rPr>
        <w:t>3.原则上，产品管理人在理财产品权益登记日后</w:t>
      </w:r>
      <w:r>
        <w:rPr>
          <w:rFonts w:ascii="宋体" w:hAnsi="宋体" w:eastAsia="宋体"/>
          <w:sz w:val="24"/>
          <w:szCs w:val="24"/>
          <w:highlight w:val="none"/>
          <w:lang w:bidi="ar"/>
        </w:rPr>
        <w:t>5</w:t>
      </w:r>
      <w:r>
        <w:rPr>
          <w:rFonts w:hint="eastAsia" w:ascii="宋体" w:hAnsi="宋体" w:eastAsia="宋体"/>
          <w:sz w:val="24"/>
          <w:szCs w:val="24"/>
          <w:highlight w:val="none"/>
          <w:lang w:bidi="ar"/>
        </w:rPr>
        <w:t>个工作日内将投资者可得资金划转至投资者账户。超过</w:t>
      </w:r>
      <w:r>
        <w:rPr>
          <w:rFonts w:ascii="宋体" w:hAnsi="宋体" w:eastAsia="宋体"/>
          <w:sz w:val="24"/>
          <w:szCs w:val="24"/>
          <w:highlight w:val="none"/>
          <w:lang w:bidi="ar"/>
        </w:rPr>
        <w:t>5个工作日的，</w:t>
      </w:r>
      <w:r>
        <w:rPr>
          <w:rFonts w:hint="eastAsia" w:ascii="宋体" w:hAnsi="宋体" w:eastAsia="宋体"/>
          <w:sz w:val="24"/>
          <w:szCs w:val="24"/>
          <w:highlight w:val="none"/>
          <w:lang w:bidi="ar"/>
        </w:rPr>
        <w:t>产品管理人将提前</w:t>
      </w:r>
      <w:r>
        <w:rPr>
          <w:rFonts w:ascii="宋体" w:hAnsi="宋体" w:eastAsia="宋体"/>
          <w:sz w:val="24"/>
          <w:szCs w:val="24"/>
          <w:highlight w:val="none"/>
          <w:lang w:bidi="ar"/>
        </w:rPr>
        <w:t>2个工作日通过本产品说明书信息披露约</w:t>
      </w:r>
      <w:r>
        <w:rPr>
          <w:rFonts w:hint="eastAsia" w:ascii="宋体" w:hAnsi="宋体" w:eastAsia="宋体"/>
          <w:sz w:val="24"/>
          <w:szCs w:val="24"/>
          <w:highlight w:val="none"/>
          <w:lang w:bidi="ar"/>
        </w:rPr>
        <w:t>定的方式，向投资者进行披露。</w:t>
      </w:r>
    </w:p>
    <w:p>
      <w:pPr>
        <w:widowControl/>
        <w:spacing w:line="300" w:lineRule="auto"/>
        <w:ind w:firstLine="480" w:firstLineChars="200"/>
        <w:jc w:val="left"/>
        <w:rPr>
          <w:rFonts w:hint="eastAsia" w:ascii="宋体" w:hAnsi="宋体" w:eastAsia="宋体"/>
          <w:sz w:val="24"/>
          <w:szCs w:val="24"/>
          <w:highlight w:val="none"/>
          <w:lang w:bidi="ar"/>
        </w:rPr>
      </w:pPr>
      <w:r>
        <w:rPr>
          <w:rFonts w:hint="eastAsia" w:ascii="宋体" w:hAnsi="宋体" w:eastAsia="宋体"/>
          <w:sz w:val="24"/>
          <w:szCs w:val="24"/>
          <w:highlight w:val="none"/>
          <w:lang w:bidi="ar"/>
        </w:rPr>
        <w:t>4.在符合法律法规及理财产品合同约定，并对理财产品份额持有人利益无实质不利影响的前提下，理财产品管理人可通过公告形式对理财产品期间收益分配原则及方式进行调整。</w:t>
      </w:r>
    </w:p>
    <w:p>
      <w:pPr>
        <w:widowControl/>
        <w:spacing w:line="300" w:lineRule="auto"/>
        <w:ind w:firstLine="480" w:firstLineChars="200"/>
        <w:jc w:val="left"/>
        <w:rPr>
          <w:rFonts w:hint="eastAsia" w:ascii="宋体" w:hAnsi="宋体" w:eastAsia="宋体"/>
          <w:sz w:val="24"/>
          <w:szCs w:val="24"/>
          <w:highlight w:val="none"/>
        </w:rPr>
      </w:pP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（二）终止分配</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1.本产品在扣除渤银理财应收取费用及其他应由产品承担的税费后的</w:t>
      </w:r>
      <w:r>
        <w:rPr>
          <w:rFonts w:ascii="宋体" w:hAnsi="宋体" w:eastAsia="宋体"/>
          <w:b/>
          <w:bCs/>
          <w:sz w:val="24"/>
          <w:szCs w:val="24"/>
          <w:highlight w:val="none"/>
        </w:rPr>
        <w:t>投资</w:t>
      </w:r>
      <w:r>
        <w:rPr>
          <w:rFonts w:hint="eastAsia" w:ascii="宋体" w:hAnsi="宋体" w:eastAsia="宋体"/>
          <w:b/>
          <w:bCs/>
          <w:sz w:val="24"/>
          <w:szCs w:val="24"/>
          <w:highlight w:val="none"/>
        </w:rPr>
        <w:t>损益</w:t>
      </w:r>
      <w:r>
        <w:rPr>
          <w:rFonts w:hint="eastAsia" w:ascii="宋体" w:hAnsi="宋体" w:eastAsia="宋体"/>
          <w:sz w:val="24"/>
          <w:szCs w:val="24"/>
          <w:highlight w:val="none"/>
        </w:rPr>
        <w:t>全部归属投资者。</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2.如产品正常到期或提前终止，理财资金于到期日（实际到期日或提前终止日）后【5】个工作日内根据实际情况进行分配，如遇非工作日则顺延至下一工作日。</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3.投资者到期日应得资金计算公式如下：</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投资者应得资金</w:t>
      </w:r>
      <w:r>
        <w:rPr>
          <w:rFonts w:ascii="宋体" w:hAnsi="宋体" w:eastAsia="宋体"/>
          <w:sz w:val="24"/>
          <w:szCs w:val="24"/>
          <w:highlight w:val="none"/>
        </w:rPr>
        <w:t>=到期日产品某</w:t>
      </w:r>
      <w:r>
        <w:rPr>
          <w:rFonts w:hint="eastAsia" w:ascii="宋体" w:hAnsi="宋体" w:eastAsia="宋体"/>
          <w:sz w:val="24"/>
          <w:szCs w:val="24"/>
          <w:highlight w:val="none"/>
        </w:rPr>
        <w:t>类</w:t>
      </w:r>
      <w:r>
        <w:rPr>
          <w:rFonts w:ascii="宋体" w:hAnsi="宋体" w:eastAsia="宋体"/>
          <w:sz w:val="24"/>
          <w:szCs w:val="24"/>
          <w:highlight w:val="none"/>
        </w:rPr>
        <w:t>份额可分配的总金额/产品某</w:t>
      </w:r>
      <w:r>
        <w:rPr>
          <w:rFonts w:hint="eastAsia" w:ascii="宋体" w:hAnsi="宋体" w:eastAsia="宋体"/>
          <w:sz w:val="24"/>
          <w:szCs w:val="24"/>
          <w:highlight w:val="none"/>
        </w:rPr>
        <w:t>类</w:t>
      </w:r>
      <w:r>
        <w:rPr>
          <w:rFonts w:ascii="宋体" w:hAnsi="宋体" w:eastAsia="宋体"/>
          <w:sz w:val="24"/>
          <w:szCs w:val="24"/>
          <w:highlight w:val="none"/>
        </w:rPr>
        <w:t>份额总份额*投资者</w:t>
      </w:r>
      <w:r>
        <w:rPr>
          <w:rFonts w:hint="eastAsia" w:ascii="宋体" w:hAnsi="宋体" w:eastAsia="宋体"/>
          <w:sz w:val="24"/>
          <w:szCs w:val="24"/>
          <w:highlight w:val="none"/>
        </w:rPr>
        <w:t>持有</w:t>
      </w:r>
      <w:r>
        <w:rPr>
          <w:rFonts w:ascii="宋体" w:hAnsi="宋体" w:eastAsia="宋体"/>
          <w:sz w:val="24"/>
          <w:szCs w:val="24"/>
          <w:highlight w:val="none"/>
        </w:rPr>
        <w:t>某</w:t>
      </w:r>
      <w:r>
        <w:rPr>
          <w:rFonts w:hint="eastAsia" w:ascii="宋体" w:hAnsi="宋体" w:eastAsia="宋体"/>
          <w:sz w:val="24"/>
          <w:szCs w:val="24"/>
          <w:highlight w:val="none"/>
        </w:rPr>
        <w:t>类</w:t>
      </w:r>
      <w:r>
        <w:rPr>
          <w:rFonts w:ascii="宋体" w:hAnsi="宋体" w:eastAsia="宋体"/>
          <w:sz w:val="24"/>
          <w:szCs w:val="24"/>
          <w:highlight w:val="none"/>
        </w:rPr>
        <w:t>份额</w:t>
      </w:r>
      <w:r>
        <w:rPr>
          <w:rFonts w:hint="eastAsia" w:ascii="宋体" w:hAnsi="宋体" w:eastAsia="宋体"/>
          <w:sz w:val="24"/>
          <w:szCs w:val="24"/>
          <w:highlight w:val="none"/>
        </w:rPr>
        <w:t>的份额数。</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4.若</w:t>
      </w:r>
      <w:r>
        <w:rPr>
          <w:rFonts w:hint="eastAsia" w:ascii="宋体" w:hAnsi="宋体" w:eastAsia="宋体"/>
          <w:sz w:val="24"/>
          <w:szCs w:val="24"/>
          <w:highlight w:val="none"/>
        </w:rPr>
        <w:t>认购</w:t>
      </w:r>
      <w:r>
        <w:rPr>
          <w:rFonts w:ascii="宋体" w:hAnsi="宋体" w:eastAsia="宋体"/>
          <w:sz w:val="24"/>
          <w:szCs w:val="24"/>
          <w:highlight w:val="none"/>
        </w:rPr>
        <w:t>期发生变化（</w:t>
      </w:r>
      <w:r>
        <w:rPr>
          <w:rFonts w:hint="eastAsia" w:ascii="宋体" w:hAnsi="宋体" w:eastAsia="宋体"/>
          <w:sz w:val="24"/>
          <w:szCs w:val="24"/>
          <w:highlight w:val="none"/>
        </w:rPr>
        <w:t>认购</w:t>
      </w:r>
      <w:r>
        <w:rPr>
          <w:rFonts w:ascii="宋体" w:hAnsi="宋体" w:eastAsia="宋体"/>
          <w:sz w:val="24"/>
          <w:szCs w:val="24"/>
          <w:highlight w:val="none"/>
        </w:rPr>
        <w:t>期提前结束或</w:t>
      </w:r>
      <w:r>
        <w:rPr>
          <w:rFonts w:hint="eastAsia" w:ascii="宋体" w:hAnsi="宋体" w:eastAsia="宋体"/>
          <w:sz w:val="24"/>
          <w:szCs w:val="24"/>
          <w:highlight w:val="none"/>
        </w:rPr>
        <w:t>认购</w:t>
      </w:r>
      <w:r>
        <w:rPr>
          <w:rFonts w:ascii="宋体" w:hAnsi="宋体" w:eastAsia="宋体"/>
          <w:sz w:val="24"/>
          <w:szCs w:val="24"/>
          <w:highlight w:val="none"/>
        </w:rPr>
        <w:t>期延长）、</w:t>
      </w:r>
      <w:r>
        <w:rPr>
          <w:rFonts w:hint="eastAsia" w:ascii="宋体" w:hAnsi="宋体" w:eastAsia="宋体"/>
          <w:sz w:val="24"/>
          <w:szCs w:val="24"/>
          <w:highlight w:val="none"/>
        </w:rPr>
        <w:t>产品成立日</w:t>
      </w:r>
      <w:r>
        <w:rPr>
          <w:rFonts w:ascii="宋体" w:hAnsi="宋体" w:eastAsia="宋体"/>
          <w:sz w:val="24"/>
          <w:szCs w:val="24"/>
          <w:highlight w:val="none"/>
        </w:rPr>
        <w:t>发生变</w:t>
      </w:r>
      <w:r>
        <w:rPr>
          <w:rFonts w:hint="eastAsia" w:ascii="宋体" w:hAnsi="宋体" w:eastAsia="宋体"/>
          <w:sz w:val="24"/>
          <w:szCs w:val="24"/>
          <w:highlight w:val="none"/>
        </w:rPr>
        <w:t>化或者清算期遇非工作日或其他原因延长，产品到期日视情况将可能相应进行调整，若进行调整，渤银理财将以本产品说明书约定的方式通知投资者。</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5.投资者通过</w:t>
      </w:r>
      <w:r>
        <w:rPr>
          <w:rFonts w:hint="eastAsia" w:ascii="宋体" w:hAnsi="宋体" w:eastAsia="宋体"/>
          <w:sz w:val="24"/>
          <w:szCs w:val="24"/>
          <w:highlight w:val="none"/>
        </w:rPr>
        <w:t>销售服务</w:t>
      </w:r>
      <w:r>
        <w:rPr>
          <w:rFonts w:ascii="宋体" w:hAnsi="宋体" w:eastAsia="宋体"/>
          <w:sz w:val="24"/>
          <w:szCs w:val="24"/>
          <w:highlight w:val="none"/>
        </w:rPr>
        <w:t>机构购买理财产品的，理财资金划转至投资者账户的</w:t>
      </w:r>
      <w:r>
        <w:rPr>
          <w:rFonts w:hint="eastAsia" w:ascii="宋体" w:hAnsi="宋体" w:eastAsia="宋体"/>
          <w:sz w:val="24"/>
          <w:szCs w:val="24"/>
          <w:highlight w:val="none"/>
        </w:rPr>
        <w:t>时间以销售服务机构的清算时间为准。</w:t>
      </w:r>
    </w:p>
    <w:p>
      <w:pPr>
        <w:spacing w:line="300" w:lineRule="auto"/>
        <w:rPr>
          <w:rFonts w:hint="eastAsia" w:ascii="宋体" w:hAnsi="宋体" w:eastAsia="宋体"/>
          <w:b/>
          <w:bCs/>
          <w:sz w:val="24"/>
          <w:szCs w:val="24"/>
          <w:highlight w:val="none"/>
        </w:rPr>
      </w:pP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九、理财产品的终止和清算</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（一）理财产品的终止</w:t>
      </w:r>
    </w:p>
    <w:p>
      <w:pPr>
        <w:spacing w:line="300" w:lineRule="auto"/>
        <w:ind w:firstLine="482" w:firstLineChars="200"/>
        <w:outlineLvl w:val="2"/>
        <w:rPr>
          <w:rFonts w:hint="eastAsia" w:ascii="宋体" w:hAnsi="宋体" w:eastAsia="宋体"/>
          <w:b/>
          <w:bCs/>
          <w:sz w:val="24"/>
          <w:szCs w:val="24"/>
          <w:highlight w:val="none"/>
        </w:rPr>
      </w:pPr>
      <w:r>
        <w:rPr>
          <w:rFonts w:hint="eastAsia" w:ascii="宋体" w:hAnsi="宋体" w:eastAsia="宋体"/>
          <w:b/>
          <w:bCs/>
          <w:sz w:val="24"/>
          <w:szCs w:val="24"/>
          <w:highlight w:val="none"/>
        </w:rPr>
        <w:t>1、提前终止</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为保护投资者利益，管理人有权按照本理财产品资金运作的实际情况，主动终止本理财产品。管理人提前终止本理财产品的原因包括但不限于：</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1）遇不可抗力事件、法律法规规定、国家有权机关强制要求等原因导致理财产品无法继续存续的；</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2）遇国家金融政策出现重大调整，或本产品所投资资产市场价格大幅下滑，或渤银理财认为将影响理财产品正常运作、需要提前终止本产品的其他情形的；</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3）本产品所投资资产的信用状况发生恶化，渤银理财合理判断可能影响到期正常兑付时；</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4）因投资者理财资金被有权机关扣划等原因导致理财产品剩余资产无法满足相关法律法规规定、所投资市场要求或协议等相关法律文件约定，或者继续存续无法实现投资目标；</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5）因相关投资管理机构解散、破产、撤销、被取消业务资格等原因无法继续履行相应职责导致产品无法继续运作；</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6）相关投资管理机构或运用理财资金的第三方主体实施符合法律法规规定或协议等相关文件约定的行为导致理财产品被动提前终止；</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7）提前终止产品比维持产品运作更有利于保护产品持有人的权益；</w:t>
      </w:r>
    </w:p>
    <w:p>
      <w:pPr>
        <w:spacing w:line="300" w:lineRule="auto"/>
        <w:ind w:firstLine="480" w:firstLineChars="200"/>
        <w:rPr>
          <w:rFonts w:hint="eastAsia" w:ascii="宋体" w:hAnsi="宋体" w:eastAsia="宋体"/>
          <w:sz w:val="24"/>
          <w:szCs w:val="24"/>
          <w:highlight w:val="none"/>
          <w:lang w:eastAsia="zh-CN"/>
        </w:rPr>
      </w:pPr>
      <w:r>
        <w:rPr>
          <w:rFonts w:hint="eastAsia" w:ascii="宋体" w:hAnsi="宋体" w:eastAsia="宋体"/>
          <w:sz w:val="24"/>
          <w:szCs w:val="24"/>
          <w:highlight w:val="none"/>
        </w:rPr>
        <w:t>（8）所投资资产部分或全部提前偿付</w:t>
      </w:r>
      <w:r>
        <w:rPr>
          <w:rFonts w:hint="eastAsia" w:ascii="宋体" w:hAnsi="宋体" w:eastAsia="宋体"/>
          <w:sz w:val="24"/>
          <w:szCs w:val="24"/>
          <w:highlight w:val="none"/>
          <w:lang w:eastAsia="zh-CN"/>
        </w:rPr>
        <w:t>；</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（9</w:t>
      </w:r>
      <w:r>
        <w:rPr>
          <w:rFonts w:ascii="宋体" w:hAnsi="宋体" w:eastAsia="宋体"/>
          <w:sz w:val="24"/>
          <w:szCs w:val="24"/>
          <w:highlight w:val="none"/>
        </w:rPr>
        <w:t>）法律法规规定或监管部门认定的其他情形。</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理财产品不因投资者死亡、丧失民事行为能力、破产而终止；投资者的法定继承人、承继人或指定受益人以及继任管理人承担本理财产品项下的相应权利和义务。</w:t>
      </w:r>
    </w:p>
    <w:p>
      <w:pPr>
        <w:spacing w:line="300" w:lineRule="auto"/>
        <w:ind w:firstLine="482" w:firstLineChars="200"/>
        <w:outlineLvl w:val="2"/>
        <w:rPr>
          <w:rFonts w:hint="eastAsia" w:ascii="宋体" w:hAnsi="宋体" w:eastAsia="宋体"/>
          <w:b/>
          <w:bCs/>
          <w:sz w:val="24"/>
          <w:szCs w:val="24"/>
          <w:highlight w:val="none"/>
        </w:rPr>
      </w:pPr>
      <w:r>
        <w:rPr>
          <w:rFonts w:hint="eastAsia" w:ascii="宋体" w:hAnsi="宋体" w:eastAsia="宋体"/>
          <w:b/>
          <w:bCs/>
          <w:sz w:val="24"/>
          <w:szCs w:val="24"/>
          <w:highlight w:val="none"/>
        </w:rPr>
        <w:t>2、延期终止</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发生下列任一情形的，理财产品管理人有权以投资者利益最大化为原则，根据市场情况综合判断决定延长产品期限，推迟理财产品到期日：</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1）预计在</w:t>
      </w:r>
      <w:r>
        <w:rPr>
          <w:rFonts w:hint="eastAsia" w:ascii="宋体" w:hAnsi="宋体" w:eastAsia="宋体"/>
          <w:sz w:val="24"/>
          <w:szCs w:val="24"/>
          <w:highlight w:val="none"/>
        </w:rPr>
        <w:t>理财产品</w:t>
      </w:r>
      <w:r>
        <w:rPr>
          <w:rFonts w:ascii="宋体" w:hAnsi="宋体" w:eastAsia="宋体"/>
          <w:sz w:val="24"/>
          <w:szCs w:val="24"/>
          <w:highlight w:val="none"/>
        </w:rPr>
        <w:t>预计到期日，</w:t>
      </w:r>
      <w:r>
        <w:rPr>
          <w:rFonts w:hint="eastAsia" w:ascii="宋体" w:hAnsi="宋体" w:eastAsia="宋体"/>
          <w:sz w:val="24"/>
          <w:szCs w:val="24"/>
          <w:highlight w:val="none"/>
        </w:rPr>
        <w:t>理财产品</w:t>
      </w:r>
      <w:r>
        <w:rPr>
          <w:rFonts w:ascii="宋体" w:hAnsi="宋体" w:eastAsia="宋体"/>
          <w:sz w:val="24"/>
          <w:szCs w:val="24"/>
          <w:highlight w:val="none"/>
        </w:rPr>
        <w:t>财产因</w:t>
      </w:r>
      <w:r>
        <w:rPr>
          <w:rFonts w:hint="eastAsia" w:ascii="宋体" w:hAnsi="宋体" w:eastAsia="宋体"/>
          <w:sz w:val="24"/>
          <w:szCs w:val="24"/>
          <w:highlight w:val="none"/>
        </w:rPr>
        <w:t>理财产品</w:t>
      </w:r>
      <w:r>
        <w:rPr>
          <w:rFonts w:ascii="宋体" w:hAnsi="宋体" w:eastAsia="宋体"/>
          <w:sz w:val="24"/>
          <w:szCs w:val="24"/>
          <w:highlight w:val="none"/>
        </w:rPr>
        <w:t>所投资的资产的市场风险、信用风险等原因将无法全部变现；</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2）预计</w:t>
      </w:r>
      <w:r>
        <w:rPr>
          <w:rFonts w:hint="eastAsia" w:ascii="宋体" w:hAnsi="宋体" w:eastAsia="宋体"/>
          <w:sz w:val="24"/>
          <w:szCs w:val="24"/>
          <w:highlight w:val="none"/>
        </w:rPr>
        <w:t>理财产品</w:t>
      </w:r>
      <w:r>
        <w:rPr>
          <w:rFonts w:ascii="宋体" w:hAnsi="宋体" w:eastAsia="宋体"/>
          <w:sz w:val="24"/>
          <w:szCs w:val="24"/>
          <w:highlight w:val="none"/>
        </w:rPr>
        <w:t>所投资的</w:t>
      </w:r>
      <w:r>
        <w:rPr>
          <w:rFonts w:hint="eastAsia" w:ascii="宋体" w:hAnsi="宋体" w:eastAsia="宋体"/>
          <w:sz w:val="24"/>
          <w:szCs w:val="24"/>
          <w:highlight w:val="none"/>
        </w:rPr>
        <w:t>公募基金、</w:t>
      </w:r>
      <w:r>
        <w:rPr>
          <w:rFonts w:ascii="宋体" w:hAnsi="宋体" w:eastAsia="宋体"/>
          <w:sz w:val="24"/>
          <w:szCs w:val="24"/>
          <w:highlight w:val="none"/>
        </w:rPr>
        <w:t>信托计划、</w:t>
      </w:r>
      <w:r>
        <w:rPr>
          <w:rFonts w:hint="eastAsia" w:ascii="宋体" w:hAnsi="宋体" w:eastAsia="宋体"/>
          <w:sz w:val="24"/>
          <w:szCs w:val="24"/>
          <w:highlight w:val="none"/>
        </w:rPr>
        <w:t>资产管理计划等资产管理产品</w:t>
      </w:r>
      <w:r>
        <w:rPr>
          <w:rFonts w:ascii="宋体" w:hAnsi="宋体" w:eastAsia="宋体"/>
          <w:sz w:val="24"/>
          <w:szCs w:val="24"/>
          <w:highlight w:val="none"/>
        </w:rPr>
        <w:t>的受托人或管理人将不能按期向管理人划付</w:t>
      </w:r>
      <w:r>
        <w:rPr>
          <w:rFonts w:hint="eastAsia" w:ascii="宋体" w:hAnsi="宋体" w:eastAsia="宋体"/>
          <w:sz w:val="24"/>
          <w:szCs w:val="24"/>
          <w:highlight w:val="none"/>
        </w:rPr>
        <w:t>理财产品</w:t>
      </w:r>
      <w:r>
        <w:rPr>
          <w:rFonts w:ascii="宋体" w:hAnsi="宋体" w:eastAsia="宋体"/>
          <w:sz w:val="24"/>
          <w:szCs w:val="24"/>
          <w:highlight w:val="none"/>
        </w:rPr>
        <w:t>的本金和收益；</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3）</w:t>
      </w:r>
      <w:r>
        <w:rPr>
          <w:rFonts w:hint="eastAsia" w:ascii="宋体" w:hAnsi="宋体" w:eastAsia="宋体"/>
          <w:sz w:val="24"/>
          <w:szCs w:val="24"/>
          <w:highlight w:val="none"/>
        </w:rPr>
        <w:t>理财产品</w:t>
      </w:r>
      <w:r>
        <w:rPr>
          <w:rFonts w:ascii="宋体" w:hAnsi="宋体" w:eastAsia="宋体"/>
          <w:sz w:val="24"/>
          <w:szCs w:val="24"/>
          <w:highlight w:val="none"/>
        </w:rPr>
        <w:t>财产涉及诉讼（或仲裁），且预计诉讼（或仲裁）及执行程序于</w:t>
      </w:r>
      <w:r>
        <w:rPr>
          <w:rFonts w:hint="eastAsia" w:ascii="宋体" w:hAnsi="宋体" w:eastAsia="宋体"/>
          <w:sz w:val="24"/>
          <w:szCs w:val="24"/>
          <w:highlight w:val="none"/>
        </w:rPr>
        <w:t>理财产品</w:t>
      </w:r>
      <w:r>
        <w:rPr>
          <w:rFonts w:ascii="宋体" w:hAnsi="宋体" w:eastAsia="宋体"/>
          <w:sz w:val="24"/>
          <w:szCs w:val="24"/>
          <w:highlight w:val="none"/>
        </w:rPr>
        <w:t>预计到期日尚未终结；</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4）管理人与托管人、</w:t>
      </w:r>
      <w:r>
        <w:rPr>
          <w:rFonts w:hint="eastAsia" w:ascii="宋体" w:hAnsi="宋体" w:eastAsia="宋体"/>
          <w:sz w:val="24"/>
          <w:szCs w:val="24"/>
          <w:highlight w:val="none"/>
        </w:rPr>
        <w:t>销售服务机构</w:t>
      </w:r>
      <w:r>
        <w:rPr>
          <w:rFonts w:ascii="宋体" w:hAnsi="宋体" w:eastAsia="宋体"/>
          <w:sz w:val="24"/>
          <w:szCs w:val="24"/>
          <w:highlight w:val="none"/>
        </w:rPr>
        <w:t>协商一致决定延期；</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5）管理人认为有必要延期的其他情形；</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6）法律规定的及本《理财产品说明书》约定的其他情形。</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（二）理财产品的清算</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理财产品到期日为理财产品终止日（含提前终止或延期终止）。产品到期后，理财产品终止运作，进入清算期，清算期内产生的利息（如有）归投资者所有。理财资产清算后扣除理财相关费用、缴纳所欠税款并清偿理财产品负债后，理财利益按投资者持有的理财产品份额比例进行分配。清算期原则上不得超过【5】个工作日，清算期超过【5】个工作日的，将依约定进行公告。</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2.如果渤银理财提前终止本理财产品，渤银理财将</w:t>
      </w:r>
      <w:r>
        <w:rPr>
          <w:rFonts w:hint="eastAsia" w:ascii="宋体" w:hAnsi="宋体" w:eastAsia="宋体"/>
          <w:sz w:val="24"/>
          <w:szCs w:val="24"/>
          <w:highlight w:val="none"/>
        </w:rPr>
        <w:t>不</w:t>
      </w:r>
      <w:r>
        <w:rPr>
          <w:rFonts w:ascii="宋体" w:hAnsi="宋体" w:eastAsia="宋体"/>
          <w:sz w:val="24"/>
          <w:szCs w:val="24"/>
          <w:highlight w:val="none"/>
        </w:rPr>
        <w:t>晚于提前终止日通知投资者，并在提前终止日后</w:t>
      </w:r>
      <w:r>
        <w:rPr>
          <w:rFonts w:hint="eastAsia" w:ascii="宋体" w:hAnsi="宋体" w:eastAsia="宋体"/>
          <w:sz w:val="24"/>
          <w:szCs w:val="24"/>
          <w:highlight w:val="none"/>
        </w:rPr>
        <w:t>【</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w:t>
      </w:r>
      <w:r>
        <w:rPr>
          <w:rFonts w:ascii="宋体" w:hAnsi="宋体" w:eastAsia="宋体"/>
          <w:sz w:val="24"/>
          <w:szCs w:val="24"/>
          <w:highlight w:val="none"/>
        </w:rPr>
        <w:t>个工作日内支付投资者应得资金。投资者通过</w:t>
      </w:r>
      <w:r>
        <w:rPr>
          <w:rFonts w:hint="eastAsia" w:ascii="宋体" w:hAnsi="宋体" w:eastAsia="宋体"/>
          <w:sz w:val="24"/>
          <w:szCs w:val="24"/>
          <w:highlight w:val="none"/>
        </w:rPr>
        <w:t>销售服务机构</w:t>
      </w:r>
      <w:r>
        <w:rPr>
          <w:rFonts w:ascii="宋体" w:hAnsi="宋体" w:eastAsia="宋体"/>
          <w:sz w:val="24"/>
          <w:szCs w:val="24"/>
          <w:highlight w:val="none"/>
        </w:rPr>
        <w:t>购买本理财产品的，理财资金划转至投资者账户的时间以该</w:t>
      </w:r>
      <w:r>
        <w:rPr>
          <w:rFonts w:hint="eastAsia" w:ascii="宋体" w:hAnsi="宋体" w:eastAsia="宋体"/>
          <w:sz w:val="24"/>
          <w:szCs w:val="24"/>
          <w:highlight w:val="none"/>
        </w:rPr>
        <w:t>销售服务机构</w:t>
      </w:r>
      <w:r>
        <w:rPr>
          <w:rFonts w:ascii="宋体" w:hAnsi="宋体" w:eastAsia="宋体"/>
          <w:sz w:val="24"/>
          <w:szCs w:val="24"/>
          <w:highlight w:val="none"/>
        </w:rPr>
        <w:t>的清算时间为准。若产品提前终止，产品到期日相应调整为提前终止日。</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3.如管理人决定本理财产品延期终止的，将</w:t>
      </w:r>
      <w:r>
        <w:rPr>
          <w:rFonts w:hint="eastAsia" w:ascii="宋体" w:hAnsi="宋体" w:eastAsia="宋体"/>
          <w:sz w:val="24"/>
          <w:szCs w:val="24"/>
          <w:highlight w:val="none"/>
        </w:rPr>
        <w:t>不</w:t>
      </w:r>
      <w:r>
        <w:rPr>
          <w:rFonts w:ascii="宋体" w:hAnsi="宋体" w:eastAsia="宋体"/>
          <w:sz w:val="24"/>
          <w:szCs w:val="24"/>
          <w:highlight w:val="none"/>
        </w:rPr>
        <w:t>晚于理财产品计划终止日向投资者披露，对延期事项进行说明，并说明延期期限及到期之日，自披露之日即视为相关信息已送达，并</w:t>
      </w:r>
      <w:r>
        <w:rPr>
          <w:rFonts w:hint="eastAsia" w:ascii="宋体" w:hAnsi="宋体" w:eastAsia="宋体"/>
          <w:sz w:val="24"/>
          <w:szCs w:val="24"/>
          <w:highlight w:val="none"/>
        </w:rPr>
        <w:t>自</w:t>
      </w:r>
      <w:r>
        <w:rPr>
          <w:rFonts w:ascii="宋体" w:hAnsi="宋体" w:eastAsia="宋体"/>
          <w:sz w:val="24"/>
          <w:szCs w:val="24"/>
          <w:highlight w:val="none"/>
        </w:rPr>
        <w:t>约定生效之日起生效。</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理财产品终止日，如遇理财产品项下资产因包括但不限于市场风险、信用风险等原因不能全部变现，本产品存在二次或多次清算的可能。如产品管理人拟进行二次或多次清算的，将依约定进行公告。对于未变现资产部分，产品管理人以投资者利益最大化的原则，寻求未变现资产变现方式，在资产变现后，产品持有的现金类资产在扣除理财相关费用、缴纳所欠税款并清偿理财产品负债后，在【5】个工作日内按投资者持有的理财产品份额比例向投资者进行再次分配。</w:t>
      </w:r>
    </w:p>
    <w:p>
      <w:pPr>
        <w:spacing w:line="300" w:lineRule="auto"/>
        <w:ind w:firstLine="482" w:firstLineChars="200"/>
        <w:rPr>
          <w:rFonts w:hint="eastAsia" w:ascii="宋体" w:hAnsi="宋体" w:eastAsia="宋体"/>
          <w:b/>
          <w:bCs/>
          <w:sz w:val="24"/>
          <w:szCs w:val="24"/>
          <w:highlight w:val="none"/>
        </w:rPr>
      </w:pP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十、参与主体</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（一）投资管理人</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本理财产品的投资管理人为渤银理财。渤银理财负责本理财产品的投资运作和产品管理，投资者在此授权并同意渤银理财享有以下权利：</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w:t>
      </w:r>
      <w:r>
        <w:rPr>
          <w:rFonts w:ascii="宋体" w:hAnsi="宋体" w:eastAsia="宋体"/>
          <w:sz w:val="24"/>
          <w:szCs w:val="24"/>
          <w:highlight w:val="none"/>
        </w:rPr>
        <w:t>按照本理财产品文件的约定，管理、运用和处分理财产品资金。</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w:t>
      </w:r>
      <w:r>
        <w:rPr>
          <w:rFonts w:ascii="宋体" w:hAnsi="宋体" w:eastAsia="宋体"/>
          <w:sz w:val="24"/>
          <w:szCs w:val="24"/>
          <w:highlight w:val="none"/>
        </w:rPr>
        <w:t>按照本理财产品文件的约定，及时、足额获得</w:t>
      </w:r>
      <w:r>
        <w:rPr>
          <w:rFonts w:hint="eastAsia" w:ascii="宋体" w:hAnsi="宋体" w:eastAsia="宋体"/>
          <w:sz w:val="24"/>
          <w:szCs w:val="24"/>
          <w:highlight w:val="none"/>
        </w:rPr>
        <w:t>固定</w:t>
      </w:r>
      <w:r>
        <w:rPr>
          <w:rFonts w:ascii="宋体" w:hAnsi="宋体" w:eastAsia="宋体"/>
          <w:sz w:val="24"/>
          <w:szCs w:val="24"/>
          <w:highlight w:val="none"/>
        </w:rPr>
        <w:t>管理费和本产品说明书</w:t>
      </w:r>
      <w:r>
        <w:rPr>
          <w:rFonts w:hint="eastAsia" w:ascii="宋体" w:hAnsi="宋体" w:eastAsia="宋体"/>
          <w:sz w:val="24"/>
          <w:szCs w:val="24"/>
          <w:highlight w:val="none"/>
        </w:rPr>
        <w:t>约定的其他费用（如有）。</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w:t>
      </w:r>
      <w:r>
        <w:rPr>
          <w:rFonts w:ascii="宋体" w:hAnsi="宋体" w:eastAsia="宋体"/>
          <w:sz w:val="24"/>
          <w:szCs w:val="24"/>
          <w:highlight w:val="none"/>
        </w:rPr>
        <w:t>管理人以其固有财产先行垫付因处理本理财产品相关事务所支出的理财</w:t>
      </w:r>
      <w:r>
        <w:rPr>
          <w:rFonts w:hint="eastAsia" w:ascii="宋体" w:hAnsi="宋体" w:eastAsia="宋体"/>
          <w:sz w:val="24"/>
          <w:szCs w:val="24"/>
          <w:highlight w:val="none"/>
        </w:rPr>
        <w:t>产品费用及税费的，对理财产品资金享有优先受偿的权利。</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4</w:t>
      </w:r>
      <w:r>
        <w:rPr>
          <w:rFonts w:hint="eastAsia" w:ascii="宋体" w:hAnsi="宋体" w:eastAsia="宋体"/>
          <w:sz w:val="24"/>
          <w:szCs w:val="24"/>
          <w:highlight w:val="none"/>
        </w:rPr>
        <w:t>.</w:t>
      </w:r>
      <w:r>
        <w:rPr>
          <w:rFonts w:ascii="宋体" w:hAnsi="宋体" w:eastAsia="宋体"/>
          <w:sz w:val="24"/>
          <w:szCs w:val="24"/>
          <w:highlight w:val="none"/>
        </w:rPr>
        <w:t>管理人有权根据本理财产品文件的约定提前终止或延长本理财产品的期</w:t>
      </w:r>
      <w:r>
        <w:rPr>
          <w:rFonts w:hint="eastAsia" w:ascii="宋体" w:hAnsi="宋体" w:eastAsia="宋体"/>
          <w:sz w:val="24"/>
          <w:szCs w:val="24"/>
          <w:highlight w:val="none"/>
        </w:rPr>
        <w:t>限。</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5</w:t>
      </w:r>
      <w:r>
        <w:rPr>
          <w:rFonts w:hint="eastAsia" w:ascii="宋体" w:hAnsi="宋体" w:eastAsia="宋体"/>
          <w:sz w:val="24"/>
          <w:szCs w:val="24"/>
          <w:highlight w:val="none"/>
        </w:rPr>
        <w:t>.</w:t>
      </w:r>
      <w:r>
        <w:rPr>
          <w:rFonts w:ascii="宋体" w:hAnsi="宋体" w:eastAsia="宋体"/>
          <w:sz w:val="24"/>
          <w:szCs w:val="24"/>
          <w:highlight w:val="none"/>
        </w:rPr>
        <w:t>管理人有权调整本理财产品的认购规模上限、认购起点、认购金额上限、</w:t>
      </w:r>
      <w:r>
        <w:rPr>
          <w:rFonts w:hint="eastAsia" w:ascii="宋体" w:hAnsi="宋体" w:eastAsia="宋体"/>
          <w:sz w:val="24"/>
          <w:szCs w:val="24"/>
          <w:highlight w:val="none"/>
        </w:rPr>
        <w:t>认购资金的最低金额、单笔认购上限等要素。</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6</w:t>
      </w:r>
      <w:r>
        <w:rPr>
          <w:rFonts w:hint="eastAsia" w:ascii="宋体" w:hAnsi="宋体" w:eastAsia="宋体"/>
          <w:sz w:val="24"/>
          <w:szCs w:val="24"/>
          <w:highlight w:val="none"/>
        </w:rPr>
        <w:t>.</w:t>
      </w:r>
      <w:r>
        <w:rPr>
          <w:rFonts w:ascii="宋体" w:hAnsi="宋体" w:eastAsia="宋体"/>
          <w:sz w:val="24"/>
          <w:szCs w:val="24"/>
          <w:highlight w:val="none"/>
        </w:rPr>
        <w:t>管理人有权按照法律规定和监管机构的要求将投资者的信息向有权部门</w:t>
      </w:r>
      <w:r>
        <w:rPr>
          <w:rFonts w:hint="eastAsia" w:ascii="宋体" w:hAnsi="宋体" w:eastAsia="宋体"/>
          <w:sz w:val="24"/>
          <w:szCs w:val="24"/>
          <w:highlight w:val="none"/>
        </w:rPr>
        <w:t>或相关机构披露。</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7.</w:t>
      </w:r>
      <w:r>
        <w:rPr>
          <w:rFonts w:ascii="宋体" w:hAnsi="宋体" w:eastAsia="宋体"/>
          <w:b/>
          <w:bCs/>
          <w:sz w:val="24"/>
          <w:szCs w:val="24"/>
          <w:highlight w:val="none"/>
        </w:rPr>
        <w:t>管理人有权决定非标准化债权</w:t>
      </w:r>
      <w:r>
        <w:rPr>
          <w:rFonts w:hint="eastAsia" w:ascii="宋体" w:hAnsi="宋体" w:eastAsia="宋体"/>
          <w:b/>
          <w:bCs/>
          <w:sz w:val="24"/>
          <w:szCs w:val="24"/>
          <w:highlight w:val="none"/>
        </w:rPr>
        <w:t>类</w:t>
      </w:r>
      <w:r>
        <w:rPr>
          <w:rFonts w:ascii="宋体" w:hAnsi="宋体" w:eastAsia="宋体"/>
          <w:b/>
          <w:bCs/>
          <w:sz w:val="24"/>
          <w:szCs w:val="24"/>
          <w:highlight w:val="none"/>
        </w:rPr>
        <w:t>资产投资的管理、合同条款变更、赎回、处</w:t>
      </w:r>
      <w:r>
        <w:rPr>
          <w:rFonts w:hint="eastAsia" w:ascii="宋体" w:hAnsi="宋体" w:eastAsia="宋体"/>
          <w:b/>
          <w:bCs/>
          <w:sz w:val="24"/>
          <w:szCs w:val="24"/>
          <w:highlight w:val="none"/>
        </w:rPr>
        <w:t>置与披露事宜，并有权指令信托受托人（如有）按管理人指令执行，包括但不限于：有权决定非标准化债权类资产及其底层资产投放的先决条件是否放弃或延后、有权决定非标准化债权投资的相关罚息的降低或免除、有权决定是否同意非标准化债权类资产的债务人提前还款（含全部及部分）或展期及展期条件、有权决定投后监管的执行、有权决定违约救济措施的选择。</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8.</w:t>
      </w:r>
      <w:r>
        <w:rPr>
          <w:rFonts w:ascii="宋体" w:hAnsi="宋体" w:eastAsia="宋体"/>
          <w:sz w:val="24"/>
          <w:szCs w:val="24"/>
          <w:highlight w:val="none"/>
        </w:rPr>
        <w:t>管理人有权决定所投资资产的投后管理、合同</w:t>
      </w:r>
      <w:r>
        <w:rPr>
          <w:rFonts w:hint="eastAsia" w:ascii="宋体" w:hAnsi="宋体" w:eastAsia="宋体"/>
          <w:sz w:val="24"/>
          <w:szCs w:val="24"/>
          <w:highlight w:val="none"/>
        </w:rPr>
        <w:t>条款变更、偿还或赎回、处置与披露事宜，并有权指令信托受托人（如有）按管理人指令或自行执行，包括但不限于：有权决定放款条件或投资资金支付先决条件是否放弃或延后、有权决定初始投资期限内是否同意融资人部分或全部赎回可续期贷款</w:t>
      </w:r>
      <w:r>
        <w:rPr>
          <w:rFonts w:ascii="宋体" w:hAnsi="宋体" w:eastAsia="宋体"/>
          <w:sz w:val="24"/>
          <w:szCs w:val="24"/>
          <w:highlight w:val="none"/>
        </w:rPr>
        <w:t>/永续债权投资、有权决定可续期贷款/永续债权投资是否进行利率重置、</w:t>
      </w:r>
      <w:r>
        <w:rPr>
          <w:rFonts w:hint="eastAsia" w:ascii="宋体" w:hAnsi="宋体" w:eastAsia="宋体"/>
          <w:sz w:val="24"/>
          <w:szCs w:val="24"/>
          <w:highlight w:val="none"/>
        </w:rPr>
        <w:t>有权决定贷后监管和投后监管的执行、有权决定违约救济措施的选择。</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9.</w:t>
      </w:r>
      <w:r>
        <w:rPr>
          <w:rFonts w:ascii="宋体" w:hAnsi="宋体" w:eastAsia="宋体"/>
          <w:sz w:val="24"/>
          <w:szCs w:val="24"/>
          <w:highlight w:val="none"/>
        </w:rPr>
        <w:t>以理财产品投资管理人的名义，依照法律法规相关规定以及为理财产品的</w:t>
      </w:r>
      <w:r>
        <w:rPr>
          <w:rFonts w:hint="eastAsia" w:ascii="宋体" w:hAnsi="宋体" w:eastAsia="宋体"/>
          <w:sz w:val="24"/>
          <w:szCs w:val="24"/>
          <w:highlight w:val="none"/>
        </w:rPr>
        <w:t>利益，对被投资的公募基金、信托计划、资产管理计划等资产管理产品、公司</w:t>
      </w:r>
      <w:r>
        <w:rPr>
          <w:rFonts w:ascii="宋体" w:hAnsi="宋体" w:eastAsia="宋体"/>
          <w:sz w:val="24"/>
          <w:szCs w:val="24"/>
          <w:highlight w:val="none"/>
        </w:rPr>
        <w:t>/企业等行使出资人/投资者权利（包括但不限于表决投票的权利）以及行使</w:t>
      </w:r>
      <w:r>
        <w:rPr>
          <w:rFonts w:hint="eastAsia" w:ascii="宋体" w:hAnsi="宋体" w:eastAsia="宋体"/>
          <w:sz w:val="24"/>
          <w:szCs w:val="24"/>
          <w:highlight w:val="none"/>
        </w:rPr>
        <w:t>因理财产品财产投资于证券类基础资产（含债券）或其他基础资产（包括但不限于债权类资产）所产生的相关权利。</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10.</w:t>
      </w:r>
      <w:r>
        <w:rPr>
          <w:rFonts w:ascii="宋体" w:hAnsi="宋体" w:eastAsia="宋体"/>
          <w:sz w:val="24"/>
          <w:szCs w:val="24"/>
          <w:highlight w:val="none"/>
        </w:rPr>
        <w:t>以理财产品投资管理人的名义，依照法律法规相关规定以及代表理财产</w:t>
      </w:r>
      <w:r>
        <w:rPr>
          <w:rFonts w:hint="eastAsia" w:ascii="宋体" w:hAnsi="宋体" w:eastAsia="宋体"/>
          <w:sz w:val="24"/>
          <w:szCs w:val="24"/>
          <w:highlight w:val="none"/>
        </w:rPr>
        <w:t>品份额持有人的利益行使代为追索的权利（包括但不限于提起诉讼</w:t>
      </w:r>
      <w:r>
        <w:rPr>
          <w:rFonts w:ascii="宋体" w:hAnsi="宋体" w:eastAsia="宋体"/>
          <w:sz w:val="24"/>
          <w:szCs w:val="24"/>
          <w:highlight w:val="none"/>
        </w:rPr>
        <w:t>/仲裁、申请</w:t>
      </w:r>
      <w:r>
        <w:rPr>
          <w:rFonts w:hint="eastAsia" w:ascii="宋体" w:hAnsi="宋体" w:eastAsia="宋体"/>
          <w:sz w:val="24"/>
          <w:szCs w:val="24"/>
          <w:highlight w:val="none"/>
        </w:rPr>
        <w:t>保全</w:t>
      </w:r>
      <w:r>
        <w:rPr>
          <w:rFonts w:ascii="宋体" w:hAnsi="宋体" w:eastAsia="宋体"/>
          <w:sz w:val="24"/>
          <w:szCs w:val="24"/>
          <w:highlight w:val="none"/>
        </w:rPr>
        <w:t>/执行的权利）或者实施其他风险处置，</w:t>
      </w:r>
      <w:r>
        <w:rPr>
          <w:rFonts w:hint="eastAsia" w:ascii="宋体" w:hAnsi="宋体" w:eastAsia="宋体"/>
          <w:sz w:val="24"/>
          <w:szCs w:val="24"/>
          <w:highlight w:val="none"/>
        </w:rPr>
        <w:t>行使</w:t>
      </w:r>
      <w:r>
        <w:rPr>
          <w:rFonts w:ascii="宋体" w:hAnsi="宋体" w:eastAsia="宋体"/>
          <w:sz w:val="24"/>
          <w:szCs w:val="24"/>
          <w:highlight w:val="none"/>
        </w:rPr>
        <w:t>、放弃、变更相关权利义务等</w:t>
      </w:r>
      <w:r>
        <w:rPr>
          <w:rFonts w:hint="eastAsia" w:ascii="宋体" w:hAnsi="宋体" w:eastAsia="宋体"/>
          <w:sz w:val="24"/>
          <w:szCs w:val="24"/>
          <w:highlight w:val="none"/>
        </w:rPr>
        <w:t>法律行为。</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1.</w:t>
      </w:r>
      <w:r>
        <w:rPr>
          <w:rFonts w:ascii="宋体" w:hAnsi="宋体" w:eastAsia="宋体"/>
          <w:sz w:val="24"/>
          <w:szCs w:val="24"/>
          <w:highlight w:val="none"/>
        </w:rPr>
        <w:t>在法律法规、监管政策允许的前提下调整估值日。</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2.</w:t>
      </w:r>
      <w:r>
        <w:rPr>
          <w:rFonts w:ascii="宋体" w:hAnsi="宋体" w:eastAsia="宋体"/>
          <w:sz w:val="24"/>
          <w:szCs w:val="24"/>
          <w:highlight w:val="none"/>
        </w:rPr>
        <w:t>法律法规、监管政策和本理财产品文件约定的其他权利</w:t>
      </w:r>
      <w:r>
        <w:rPr>
          <w:rFonts w:hint="eastAsia" w:ascii="宋体" w:hAnsi="宋体" w:eastAsia="宋体"/>
          <w:sz w:val="24"/>
          <w:szCs w:val="24"/>
          <w:highlight w:val="none"/>
        </w:rPr>
        <w:t>。</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（二）托管人</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本理财产品的托管人为</w:t>
      </w:r>
      <w:r>
        <w:rPr>
          <w:rFonts w:hint="eastAsia" w:ascii="宋体" w:hAnsi="宋体" w:eastAsia="宋体"/>
          <w:sz w:val="24"/>
          <w:szCs w:val="24"/>
          <w:highlight w:val="none"/>
          <w:lang w:val="en-US" w:eastAsia="zh-CN"/>
        </w:rPr>
        <w:t>渤海银行股份有限公司</w:t>
      </w:r>
      <w:r>
        <w:rPr>
          <w:rFonts w:hint="eastAsia" w:ascii="宋体" w:hAnsi="宋体" w:eastAsia="宋体"/>
          <w:sz w:val="24"/>
          <w:szCs w:val="24"/>
          <w:highlight w:val="none"/>
        </w:rPr>
        <w:t>，地址</w:t>
      </w:r>
      <w:r>
        <w:rPr>
          <w:rFonts w:hint="eastAsia" w:ascii="宋体" w:hAnsi="宋体" w:eastAsia="宋体"/>
          <w:sz w:val="24"/>
          <w:szCs w:val="24"/>
          <w:highlight w:val="none"/>
          <w:lang w:val="en-US" w:eastAsia="zh-CN"/>
        </w:rPr>
        <w:t>为天津市海河东路218号渤海银行大厦</w:t>
      </w:r>
      <w:r>
        <w:rPr>
          <w:rFonts w:ascii="宋体" w:hAnsi="宋体" w:eastAsia="宋体"/>
          <w:sz w:val="24"/>
          <w:szCs w:val="24"/>
          <w:highlight w:val="none"/>
        </w:rPr>
        <w:t>，</w:t>
      </w:r>
      <w:r>
        <w:rPr>
          <w:rFonts w:hint="eastAsia" w:ascii="宋体" w:hAnsi="宋体" w:eastAsia="宋体"/>
          <w:sz w:val="24"/>
          <w:szCs w:val="24"/>
          <w:highlight w:val="none"/>
        </w:rPr>
        <w:t>托管人</w:t>
      </w:r>
      <w:r>
        <w:rPr>
          <w:rFonts w:ascii="宋体" w:hAnsi="宋体" w:eastAsia="宋体"/>
          <w:sz w:val="24"/>
          <w:szCs w:val="24"/>
          <w:highlight w:val="none"/>
        </w:rPr>
        <w:t>主要职责</w:t>
      </w:r>
      <w:r>
        <w:rPr>
          <w:rFonts w:hint="eastAsia" w:ascii="宋体" w:hAnsi="宋体" w:eastAsia="宋体"/>
          <w:sz w:val="24"/>
          <w:szCs w:val="24"/>
          <w:highlight w:val="none"/>
        </w:rPr>
        <w:t>为提供包括账户开立、资金保管、资金清算、估值核算等理财产品托管服务。</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投资管理人为理财产品资金管理之目的，以本理财产品的名义在托管人处单独开立资金账户，理财产品资金的一切收支活动，包括但不限于接收募集资金、划付对外投资资金、缴纳理财产品税费、接收理财产品回收资金、支付理财产品费用以及向份额持有人划付理财产品利益分配款项，均必须通过该账户进行。</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（三）销售服务机构</w:t>
      </w:r>
    </w:p>
    <w:p>
      <w:pPr>
        <w:spacing w:line="300" w:lineRule="auto"/>
        <w:ind w:firstLine="480" w:firstLineChars="200"/>
        <w:rPr>
          <w:rFonts w:hint="eastAsia" w:ascii="宋体" w:hAnsi="宋体" w:eastAsia="宋体"/>
          <w:sz w:val="24"/>
          <w:szCs w:val="24"/>
          <w:highlight w:val="none"/>
        </w:rPr>
      </w:pPr>
      <w:bookmarkStart w:id="2" w:name="_Hlk136876402"/>
      <w:r>
        <w:rPr>
          <w:rFonts w:hint="eastAsia" w:ascii="宋体" w:hAnsi="宋体" w:eastAsia="宋体" w:cs="宋体"/>
          <w:sz w:val="24"/>
          <w:szCs w:val="24"/>
          <w:highlight w:val="none"/>
        </w:rPr>
        <w:t>★【</w:t>
      </w:r>
      <w:r>
        <w:rPr>
          <w:rFonts w:hint="eastAsia" w:ascii="宋体" w:hAnsi="宋体" w:eastAsia="宋体"/>
          <w:sz w:val="24"/>
          <w:szCs w:val="24"/>
          <w:highlight w:val="none"/>
        </w:rPr>
        <w:t>A类份额】：</w:t>
      </w:r>
    </w:p>
    <w:p>
      <w:pPr>
        <w:spacing w:line="300" w:lineRule="auto"/>
        <w:ind w:firstLine="480" w:firstLineChars="20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渤海银行股份有限公司，住所：天津市海河东路218号渤海银行大厦，客户服务热线：95541。</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B</w:t>
      </w:r>
      <w:r>
        <w:rPr>
          <w:rFonts w:hint="eastAsia" w:ascii="宋体" w:hAnsi="宋体" w:eastAsia="宋体"/>
          <w:sz w:val="24"/>
          <w:szCs w:val="24"/>
          <w:highlight w:val="none"/>
        </w:rPr>
        <w:t>类份额】：</w:t>
      </w:r>
    </w:p>
    <w:p>
      <w:pPr>
        <w:spacing w:line="300" w:lineRule="auto"/>
        <w:ind w:firstLine="480" w:firstLineChars="20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渤海银行股份有限公司，住所：天津市海河东路218号渤海银行大厦，客户服务热线：95541。</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C</w:t>
      </w:r>
      <w:r>
        <w:rPr>
          <w:rFonts w:hint="eastAsia" w:ascii="宋体" w:hAnsi="宋体" w:eastAsia="宋体"/>
          <w:sz w:val="24"/>
          <w:szCs w:val="24"/>
          <w:highlight w:val="none"/>
        </w:rPr>
        <w:t>类份额】：</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日照银行股份有限公司，住所：山东省日照市烟台路197号，客户服务热线：400-68-96588。</w:t>
      </w:r>
    </w:p>
    <w:p>
      <w:pPr>
        <w:spacing w:line="300" w:lineRule="auto"/>
        <w:ind w:firstLine="480" w:firstLineChars="200"/>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富滇银行股份有限公司，住所：云南省昆明市西山区西园路1912号，客户服务热线：0871-96533。</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D</w:t>
      </w:r>
      <w:r>
        <w:rPr>
          <w:rFonts w:hint="eastAsia" w:ascii="宋体" w:hAnsi="宋体" w:eastAsia="宋体"/>
          <w:sz w:val="24"/>
          <w:szCs w:val="24"/>
          <w:highlight w:val="none"/>
        </w:rPr>
        <w:t>类份额】：</w:t>
      </w:r>
    </w:p>
    <w:p>
      <w:pPr>
        <w:spacing w:line="300" w:lineRule="auto"/>
        <w:ind w:firstLine="480" w:firstLineChars="20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渤海银行股份有限公司，住所：天津市海河东路218号渤海银行大厦，客户服务热线：95541。</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E</w:t>
      </w:r>
      <w:r>
        <w:rPr>
          <w:rFonts w:hint="eastAsia" w:ascii="宋体" w:hAnsi="宋体" w:eastAsia="宋体"/>
          <w:sz w:val="24"/>
          <w:szCs w:val="24"/>
          <w:highlight w:val="none"/>
        </w:rPr>
        <w:t>类份额】：</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海南银行股份有限公司，住所：海口市龙华区海秀东路31号，客户服务热线：0898-96566。</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山西银行股份有限公司，住所：山西转型综合改革示范区学府产业园区高新街15号，客户服务热线：0351-96588。</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江苏苏商银行股份有限公司，住所：江苏省南京市建邺区庐山路248号，客 户服务热线：956101。</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内蒙古银行股份有限公司，住所：呼和浩特市赛罕区腾飞南路33号，客户服务热线：40005-96019。</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九江银行股份有限公司，住所：江西省九江市濂溪区长虹大道619号，客户服务热线：95316。</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苏州银行股份有限公司，住所：江苏省苏州工业园区钟园路728号，客户服务热线：96067。</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鄂尔多斯银行股份有限公司，住所：内蒙古自治区鄂尔多斯市东胜区乌审西街6号，客户服务热线：4000096622。</w:t>
      </w:r>
    </w:p>
    <w:p>
      <w:pPr>
        <w:spacing w:line="300" w:lineRule="auto"/>
        <w:ind w:firstLine="480" w:firstLineChars="200"/>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富滇银行股份有限公司，住所：云南省昆明市西山区西园路1912号，客户服务热线：0871-96533。</w:t>
      </w:r>
    </w:p>
    <w:p>
      <w:pPr>
        <w:spacing w:line="300" w:lineRule="auto"/>
        <w:ind w:firstLine="480" w:firstLineChars="200"/>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福建海峡银行股份有限公司，住：福建省福州市台江区江滨中大道358号海峡银行大厦，客户服务热线：4008939999。</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F</w:t>
      </w:r>
      <w:r>
        <w:rPr>
          <w:rFonts w:hint="eastAsia" w:ascii="宋体" w:hAnsi="宋体" w:eastAsia="宋体"/>
          <w:sz w:val="24"/>
          <w:szCs w:val="24"/>
          <w:highlight w:val="none"/>
        </w:rPr>
        <w:t>类份额】：</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温州银行股份有限公司，住所：浙江省温州市鹿城区会展路1316号，客户服务热线：0577-96699。</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秦皇岛银行股份有限公司，河北省秦皇岛市海港区河北大街西段560号，客户服务热线：0335-96336。</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厦门银行股份有限公司，住所：福建省厦门市思明区湖滨北路101号商业银行大厦，客户服务热线：4008588888。</w:t>
      </w:r>
    </w:p>
    <w:p>
      <w:pPr>
        <w:spacing w:line="300" w:lineRule="auto"/>
        <w:ind w:firstLine="480" w:firstLineChars="200"/>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富滇银行股份有限公司，住所：云南省昆明市西山区西园路1912号，客户服务热线：0871-96533。</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G</w:t>
      </w:r>
      <w:r>
        <w:rPr>
          <w:rFonts w:hint="eastAsia" w:ascii="宋体" w:hAnsi="宋体" w:eastAsia="宋体"/>
          <w:sz w:val="24"/>
          <w:szCs w:val="24"/>
          <w:highlight w:val="none"/>
        </w:rPr>
        <w:t>类份额】：</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渤海银行股份有限公司，住所：天津市海河东路218号渤海银行大厦，客户服务热线：95541。</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H</w:t>
      </w:r>
      <w:r>
        <w:rPr>
          <w:rFonts w:hint="eastAsia" w:ascii="宋体" w:hAnsi="宋体" w:eastAsia="宋体"/>
          <w:sz w:val="24"/>
          <w:szCs w:val="24"/>
          <w:highlight w:val="none"/>
        </w:rPr>
        <w:t>类份额】：</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苏州银行股份有限公司，住所：江苏省苏州工业园区钟园路728号，客户服务热线：96067。</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J</w:t>
      </w:r>
      <w:r>
        <w:rPr>
          <w:rFonts w:hint="eastAsia" w:ascii="宋体" w:hAnsi="宋体" w:eastAsia="宋体"/>
          <w:sz w:val="24"/>
          <w:szCs w:val="24"/>
          <w:highlight w:val="none"/>
        </w:rPr>
        <w:t>类份额】：</w:t>
      </w:r>
    </w:p>
    <w:p>
      <w:pPr>
        <w:spacing w:line="30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渤海银行股份有限公司，住所：天津市海河东路218号渤海银行大厦，客户服务热线：95541。</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K</w:t>
      </w:r>
      <w:r>
        <w:rPr>
          <w:rFonts w:hint="eastAsia" w:ascii="宋体" w:hAnsi="宋体" w:eastAsia="宋体"/>
          <w:sz w:val="24"/>
          <w:szCs w:val="24"/>
          <w:highlight w:val="none"/>
        </w:rPr>
        <w:t>类份额】：</w:t>
      </w:r>
    </w:p>
    <w:p>
      <w:pPr>
        <w:spacing w:line="300" w:lineRule="auto"/>
        <w:ind w:firstLine="480" w:firstLineChars="200"/>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渤海银行股份有限公司，住所：天津市海河东路218号渤海银行大厦，客户服务热线：95541。</w:t>
      </w:r>
    </w:p>
    <w:p>
      <w:pPr>
        <w:spacing w:line="300" w:lineRule="auto"/>
        <w:ind w:firstLine="482" w:firstLineChars="200"/>
        <w:outlineLvl w:val="9"/>
        <w:rPr>
          <w:rFonts w:hint="eastAsia" w:ascii="宋体" w:hAnsi="宋体" w:eastAsia="宋体"/>
          <w:b/>
          <w:bCs/>
          <w:sz w:val="24"/>
          <w:szCs w:val="24"/>
          <w:highlight w:val="none"/>
        </w:rPr>
      </w:pPr>
      <w:r>
        <w:rPr>
          <w:rFonts w:hint="eastAsia" w:ascii="宋体" w:hAnsi="宋体" w:eastAsia="宋体"/>
          <w:b/>
          <w:bCs/>
          <w:sz w:val="24"/>
          <w:szCs w:val="24"/>
          <w:highlight w:val="none"/>
        </w:rPr>
        <w:t>产品管理人以及符合《理财公司理财产品销售管理暂行办法》和国家金融监督管理总局规定，办理理财产品销售业务的机构。销售服务机构的主要职责为提供包括本理财产品宣传推广；投资者风险承受能力评估和投资者适当性管理，客户身份识别、尽职调查等反洗钱、反恐怖融资、反扩散融资及非居民金融账户涉税信息尽职调查等；份额认购/申购/赎回、协助管理人与投资者签署本理财产品销售文件、协助投资者与管理人沟通和客户维护等销售服务。</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销售服务机构如有调整，以管理人公告为准。</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（四）投资合作机构</w:t>
      </w:r>
    </w:p>
    <w:p>
      <w:pPr>
        <w:spacing w:line="300" w:lineRule="auto"/>
        <w:ind w:firstLine="480" w:firstLineChars="200"/>
        <w:rPr>
          <w:rFonts w:hint="eastAsia" w:ascii="宋体" w:hAnsi="宋体" w:eastAsia="宋体"/>
          <w:b/>
          <w:bCs/>
          <w:sz w:val="24"/>
          <w:szCs w:val="24"/>
          <w:highlight w:val="none"/>
        </w:rPr>
      </w:pPr>
      <w:r>
        <w:rPr>
          <w:rFonts w:hint="eastAsia" w:ascii="宋体" w:hAnsi="宋体" w:eastAsia="宋体"/>
          <w:sz w:val="24"/>
          <w:szCs w:val="24"/>
          <w:highlight w:val="none"/>
        </w:rPr>
        <w:t>投资合作机构包括但不限于理财产品所投资资产管理产品的发行机构、根据合同约定从事理财产品受托投资的机构以及与理财产品投资管理相关的投资顾问等；主要职责为进行受托资金的投资管理，根据合同约定从事受托投资或提供投资顾问等服务，具体职责以管理人与投资合作机构签署的合同为准</w:t>
      </w:r>
      <w:bookmarkEnd w:id="2"/>
      <w:r>
        <w:rPr>
          <w:rFonts w:hint="eastAsia" w:ascii="宋体" w:hAnsi="宋体" w:eastAsia="宋体"/>
          <w:sz w:val="24"/>
          <w:szCs w:val="24"/>
          <w:highlight w:val="none"/>
        </w:rPr>
        <w:t>。</w:t>
      </w: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十一、信息披露</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（一）信息披露的原则</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产品管理人遵循真实性、准确性、完整性和及时性原则进行信息披露。</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（二）信息披露的渠道</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1.渤银理财官方网站（www.cbhbwm.com.cn）及本理财产品销售服务机构的官方网站及/或营业网点、电子销售渠道等作为信息披露渠道。本理财产品认购期间和存续期间，产品管理人将通过产品管理人或销售服务机构的信息披露渠道开展本理财产品的信息披露工作，请投资者及时关注。</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2.产品管理人通过产品管理人或</w:t>
      </w:r>
      <w:r>
        <w:rPr>
          <w:rFonts w:hint="eastAsia" w:ascii="宋体" w:hAnsi="宋体" w:eastAsia="宋体"/>
          <w:b/>
          <w:bCs/>
          <w:sz w:val="24"/>
          <w:szCs w:val="24"/>
          <w:highlight w:val="none"/>
        </w:rPr>
        <w:t>销售服务机构</w:t>
      </w:r>
      <w:r>
        <w:rPr>
          <w:rFonts w:ascii="宋体" w:hAnsi="宋体" w:eastAsia="宋体"/>
          <w:b/>
          <w:bCs/>
          <w:sz w:val="24"/>
          <w:szCs w:val="24"/>
          <w:highlight w:val="none"/>
        </w:rPr>
        <w:t>的信息披露渠道发布理财产品有关</w:t>
      </w:r>
      <w:r>
        <w:rPr>
          <w:rFonts w:hint="eastAsia" w:ascii="宋体" w:hAnsi="宋体" w:eastAsia="宋体"/>
          <w:b/>
          <w:bCs/>
          <w:sz w:val="24"/>
          <w:szCs w:val="24"/>
          <w:highlight w:val="none"/>
        </w:rPr>
        <w:t>信息，即视为已适当履行其信息披露义务。如产品管理人认为需要直接联系投资者的，将依据本说明书投资者信息中投资者预留的信息进行通知。因投资者原因而导致该等通知失败的，产品管理人不承担相应责任。</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3.投资者应定期通过约定的信息披露渠道获知有关理财产品相关信息。以上相</w:t>
      </w:r>
      <w:r>
        <w:rPr>
          <w:rFonts w:hint="eastAsia" w:ascii="宋体" w:hAnsi="宋体" w:eastAsia="宋体"/>
          <w:b/>
          <w:bCs/>
          <w:sz w:val="24"/>
          <w:szCs w:val="24"/>
          <w:highlight w:val="none"/>
        </w:rPr>
        <w:t>关信息自披露之日即视为已送达投资者，也视为产品管理人已适当披露理财产品相关信息。投资者承诺将及时接收、浏览和阅读该等信息。如投资者对本产品的运作状况有任何疑问，可向产品管理人或销售服务机构进行咨询。</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4.在保障投资者知情权的前提下，产品管理人保留变更信息披露渠道的权利。</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（三）信息披露的内容和时间</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产品净值信息披露</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本产品管理人将至少</w:t>
      </w:r>
      <w:r>
        <w:rPr>
          <w:rFonts w:hint="eastAsia" w:ascii="宋体" w:hAnsi="宋体" w:eastAsia="宋体"/>
          <w:b/>
          <w:bCs/>
          <w:sz w:val="24"/>
          <w:szCs w:val="24"/>
          <w:highlight w:val="none"/>
        </w:rPr>
        <w:t>每周</w:t>
      </w:r>
      <w:r>
        <w:rPr>
          <w:rFonts w:hint="eastAsia" w:ascii="宋体" w:hAnsi="宋体" w:eastAsia="宋体"/>
          <w:sz w:val="24"/>
          <w:szCs w:val="24"/>
          <w:highlight w:val="none"/>
        </w:rPr>
        <w:t>向投资者</w:t>
      </w:r>
      <w:r>
        <w:rPr>
          <w:rFonts w:ascii="宋体" w:hAnsi="宋体" w:eastAsia="宋体"/>
          <w:sz w:val="24"/>
          <w:szCs w:val="24"/>
          <w:highlight w:val="none"/>
        </w:rPr>
        <w:t>披露</w:t>
      </w:r>
      <w:r>
        <w:rPr>
          <w:rFonts w:hint="eastAsia" w:ascii="宋体" w:hAnsi="宋体" w:eastAsia="宋体"/>
          <w:sz w:val="24"/>
          <w:szCs w:val="24"/>
          <w:highlight w:val="none"/>
        </w:rPr>
        <w:t>本产品的资产净值和份额净值</w:t>
      </w:r>
      <w:r>
        <w:rPr>
          <w:rFonts w:ascii="宋体" w:hAnsi="宋体" w:eastAsia="宋体"/>
          <w:sz w:val="24"/>
          <w:szCs w:val="24"/>
          <w:highlight w:val="none"/>
        </w:rPr>
        <w:t>。</w:t>
      </w:r>
      <w:r>
        <w:rPr>
          <w:rFonts w:hint="eastAsia" w:ascii="宋体" w:hAnsi="宋体" w:eastAsia="宋体"/>
          <w:sz w:val="24"/>
          <w:szCs w:val="24"/>
          <w:highlight w:val="none"/>
        </w:rPr>
        <w:t>以上规则如有调整，以管理人公告为准。</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产品成立信息披露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A.在产品成立后的5个工作日内发布产品</w:t>
      </w:r>
      <w:r>
        <w:rPr>
          <w:rFonts w:hint="eastAsia" w:ascii="宋体" w:hAnsi="宋体" w:eastAsia="宋体"/>
          <w:sz w:val="24"/>
          <w:szCs w:val="24"/>
          <w:highlight w:val="none"/>
        </w:rPr>
        <w:t>成立</w:t>
      </w:r>
      <w:r>
        <w:rPr>
          <w:rFonts w:ascii="宋体" w:hAnsi="宋体" w:eastAsia="宋体"/>
          <w:sz w:val="24"/>
          <w:szCs w:val="24"/>
          <w:highlight w:val="none"/>
        </w:rPr>
        <w:t>公告。</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B.产品提前成立的，</w:t>
      </w:r>
      <w:r>
        <w:rPr>
          <w:rFonts w:hint="eastAsia" w:ascii="宋体" w:hAnsi="宋体" w:eastAsia="宋体"/>
          <w:sz w:val="24"/>
          <w:szCs w:val="24"/>
          <w:highlight w:val="none"/>
        </w:rPr>
        <w:t>不</w:t>
      </w:r>
      <w:r>
        <w:rPr>
          <w:rFonts w:ascii="宋体" w:hAnsi="宋体" w:eastAsia="宋体"/>
          <w:sz w:val="24"/>
          <w:szCs w:val="24"/>
          <w:highlight w:val="none"/>
        </w:rPr>
        <w:t>晚于实际成立日进行信息披露。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C.产品延迟成立的，</w:t>
      </w:r>
      <w:r>
        <w:rPr>
          <w:rFonts w:hint="eastAsia" w:ascii="宋体" w:hAnsi="宋体" w:eastAsia="宋体"/>
          <w:sz w:val="24"/>
          <w:szCs w:val="24"/>
          <w:highlight w:val="none"/>
        </w:rPr>
        <w:t>不</w:t>
      </w:r>
      <w:r>
        <w:rPr>
          <w:rFonts w:ascii="宋体" w:hAnsi="宋体" w:eastAsia="宋体"/>
          <w:sz w:val="24"/>
          <w:szCs w:val="24"/>
          <w:highlight w:val="none"/>
        </w:rPr>
        <w:t>晚于</w:t>
      </w:r>
      <w:r>
        <w:rPr>
          <w:rFonts w:hint="eastAsia" w:ascii="宋体" w:hAnsi="宋体" w:eastAsia="宋体"/>
          <w:sz w:val="24"/>
          <w:szCs w:val="24"/>
          <w:highlight w:val="none"/>
        </w:rPr>
        <w:t>计划</w:t>
      </w:r>
      <w:r>
        <w:rPr>
          <w:rFonts w:ascii="宋体" w:hAnsi="宋体" w:eastAsia="宋体"/>
          <w:sz w:val="24"/>
          <w:szCs w:val="24"/>
          <w:highlight w:val="none"/>
        </w:rPr>
        <w:t>成立日进行信息披露。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D.若有投资者购买了本产品且本产品不成立，本产品管理人</w:t>
      </w:r>
      <w:r>
        <w:rPr>
          <w:rFonts w:hint="eastAsia" w:ascii="宋体" w:hAnsi="宋体" w:eastAsia="宋体"/>
          <w:sz w:val="24"/>
          <w:szCs w:val="24"/>
          <w:highlight w:val="none"/>
        </w:rPr>
        <w:t>将不晚</w:t>
      </w:r>
      <w:r>
        <w:rPr>
          <w:rFonts w:ascii="宋体" w:hAnsi="宋体" w:eastAsia="宋体"/>
          <w:sz w:val="24"/>
          <w:szCs w:val="24"/>
          <w:highlight w:val="none"/>
        </w:rPr>
        <w:t>于产品计划成立日对产品不成立进行信息披露。</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w:t>
      </w:r>
      <w:r>
        <w:rPr>
          <w:rFonts w:ascii="宋体" w:hAnsi="宋体" w:eastAsia="宋体"/>
          <w:sz w:val="24"/>
          <w:szCs w:val="24"/>
          <w:highlight w:val="none"/>
        </w:rPr>
        <w:t>产品定期报告</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产品管理人将在每个季度结束之日起</w:t>
      </w:r>
      <w:r>
        <w:rPr>
          <w:rFonts w:ascii="宋体" w:hAnsi="宋体" w:eastAsia="宋体"/>
          <w:sz w:val="24"/>
          <w:szCs w:val="24"/>
          <w:highlight w:val="none"/>
        </w:rPr>
        <w:t>15个工作日内</w:t>
      </w:r>
      <w:r>
        <w:rPr>
          <w:rFonts w:hint="eastAsia" w:ascii="宋体" w:hAnsi="宋体" w:eastAsia="宋体"/>
          <w:sz w:val="24"/>
          <w:szCs w:val="24"/>
          <w:highlight w:val="none"/>
        </w:rPr>
        <w:t>、</w:t>
      </w:r>
      <w:r>
        <w:rPr>
          <w:rFonts w:ascii="宋体" w:hAnsi="宋体" w:eastAsia="宋体"/>
          <w:sz w:val="24"/>
          <w:szCs w:val="24"/>
          <w:highlight w:val="none"/>
        </w:rPr>
        <w:t>上半年结束之日起60个工作日内</w:t>
      </w:r>
      <w:r>
        <w:rPr>
          <w:rFonts w:hint="eastAsia" w:ascii="宋体" w:hAnsi="宋体" w:eastAsia="宋体"/>
          <w:sz w:val="24"/>
          <w:szCs w:val="24"/>
          <w:highlight w:val="none"/>
        </w:rPr>
        <w:t>、</w:t>
      </w:r>
      <w:r>
        <w:rPr>
          <w:rFonts w:ascii="宋体" w:hAnsi="宋体" w:eastAsia="宋体"/>
          <w:sz w:val="24"/>
          <w:szCs w:val="24"/>
          <w:highlight w:val="none"/>
        </w:rPr>
        <w:t>每年结束之日起90个工作日内</w:t>
      </w:r>
      <w:r>
        <w:rPr>
          <w:rFonts w:hint="eastAsia" w:ascii="宋体" w:hAnsi="宋体" w:eastAsia="宋体"/>
          <w:sz w:val="24"/>
          <w:szCs w:val="24"/>
          <w:highlight w:val="none"/>
        </w:rPr>
        <w:t>，向投资者披露</w:t>
      </w:r>
      <w:r>
        <w:rPr>
          <w:rFonts w:ascii="宋体" w:hAnsi="宋体" w:eastAsia="宋体"/>
          <w:sz w:val="24"/>
          <w:szCs w:val="24"/>
          <w:highlight w:val="none"/>
        </w:rPr>
        <w:t>产品的季度报告、半年报告及年度报告。理财产品成立不足90个工作日或者剩余存续期不超过90个工作日的</w:t>
      </w:r>
      <w:r>
        <w:rPr>
          <w:rFonts w:hint="eastAsia" w:ascii="宋体" w:hAnsi="宋体" w:eastAsia="宋体"/>
          <w:sz w:val="24"/>
          <w:szCs w:val="24"/>
          <w:highlight w:val="none"/>
        </w:rPr>
        <w:t>，本产品管理人</w:t>
      </w:r>
      <w:r>
        <w:rPr>
          <w:rFonts w:ascii="宋体" w:hAnsi="宋体" w:eastAsia="宋体"/>
          <w:sz w:val="24"/>
          <w:szCs w:val="24"/>
          <w:highlight w:val="none"/>
        </w:rPr>
        <w:t>可以不编制理财产品当期的季度、半年和年度报告。</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w:t>
      </w:r>
      <w:r>
        <w:rPr>
          <w:rFonts w:ascii="宋体" w:hAnsi="宋体" w:eastAsia="宋体"/>
          <w:sz w:val="24"/>
          <w:szCs w:val="24"/>
          <w:highlight w:val="none"/>
        </w:rPr>
        <w:t>产品临时性信息披露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A.如本产品管理人调整产品规模上限或下限，应</w:t>
      </w:r>
      <w:r>
        <w:rPr>
          <w:rFonts w:hint="eastAsia" w:ascii="宋体" w:hAnsi="宋体" w:eastAsia="宋体"/>
          <w:sz w:val="24"/>
          <w:szCs w:val="24"/>
          <w:highlight w:val="none"/>
        </w:rPr>
        <w:t>不</w:t>
      </w:r>
      <w:r>
        <w:rPr>
          <w:rFonts w:ascii="宋体" w:hAnsi="宋体" w:eastAsia="宋体"/>
          <w:sz w:val="24"/>
          <w:szCs w:val="24"/>
          <w:highlight w:val="none"/>
        </w:rPr>
        <w:t>晚于调整规模上限或下限之日进行信息披露。</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B.本产品管理人有权对投资范围、投资资产种类、投资比例进行调整，并至少提前2个工作日进行信息披露。其中，涉及投资范围、投资品种、投资比例调整导致其超出销售文件约定比例的，除超出比例投资比本理财产品风险更低的资产外，需取得投资者书面同意。对于投资者利益产生实质影响的事项（如对投资范围、投资品种、投资比例进行调整等），投资者如不同意相关调整的，可在渤银理财披露的相关调整生效前赎回本理财产品。逾期未赎回的视为投资者书面同意相关调整并继续持有本理财产品。</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C.本产品管理人有权根据市场情况等</w:t>
      </w:r>
      <w:r>
        <w:rPr>
          <w:rFonts w:hint="eastAsia" w:ascii="宋体" w:hAnsi="宋体" w:eastAsia="宋体"/>
          <w:b/>
          <w:bCs/>
          <w:sz w:val="24"/>
          <w:szCs w:val="24"/>
          <w:highlight w:val="none"/>
        </w:rPr>
        <w:t>对</w:t>
      </w:r>
      <w:r>
        <w:rPr>
          <w:rFonts w:ascii="宋体" w:hAnsi="宋体" w:eastAsia="宋体"/>
          <w:b/>
          <w:bCs/>
          <w:sz w:val="24"/>
          <w:szCs w:val="24"/>
          <w:highlight w:val="none"/>
        </w:rPr>
        <w:t>销售</w:t>
      </w:r>
      <w:r>
        <w:rPr>
          <w:rFonts w:hint="eastAsia" w:ascii="宋体" w:hAnsi="宋体" w:eastAsia="宋体"/>
          <w:b/>
          <w:bCs/>
          <w:sz w:val="24"/>
          <w:szCs w:val="24"/>
          <w:highlight w:val="none"/>
        </w:rPr>
        <w:t>服务</w:t>
      </w:r>
      <w:r>
        <w:rPr>
          <w:rFonts w:ascii="宋体" w:hAnsi="宋体" w:eastAsia="宋体"/>
          <w:b/>
          <w:bCs/>
          <w:sz w:val="24"/>
          <w:szCs w:val="24"/>
          <w:highlight w:val="none"/>
        </w:rPr>
        <w:t>费率、</w:t>
      </w:r>
      <w:r>
        <w:rPr>
          <w:rFonts w:hint="eastAsia" w:ascii="宋体" w:hAnsi="宋体" w:eastAsia="宋体"/>
          <w:b/>
          <w:bCs/>
          <w:sz w:val="24"/>
          <w:szCs w:val="24"/>
          <w:highlight w:val="none"/>
        </w:rPr>
        <w:t>固定</w:t>
      </w:r>
      <w:r>
        <w:rPr>
          <w:rFonts w:ascii="宋体" w:hAnsi="宋体" w:eastAsia="宋体"/>
          <w:b/>
          <w:bCs/>
          <w:sz w:val="24"/>
          <w:szCs w:val="24"/>
          <w:highlight w:val="none"/>
        </w:rPr>
        <w:t>管理费率、托管费率等</w:t>
      </w:r>
      <w:r>
        <w:rPr>
          <w:rFonts w:hint="eastAsia" w:ascii="宋体" w:hAnsi="宋体" w:eastAsia="宋体"/>
          <w:b/>
          <w:bCs/>
          <w:sz w:val="24"/>
          <w:szCs w:val="24"/>
          <w:highlight w:val="none"/>
        </w:rPr>
        <w:t>进行阶段性减免和优惠</w:t>
      </w:r>
      <w:r>
        <w:rPr>
          <w:rFonts w:ascii="宋体" w:hAnsi="宋体" w:eastAsia="宋体"/>
          <w:b/>
          <w:bCs/>
          <w:sz w:val="24"/>
          <w:szCs w:val="24"/>
          <w:highlight w:val="none"/>
        </w:rPr>
        <w:t>，</w:t>
      </w:r>
      <w:r>
        <w:rPr>
          <w:rFonts w:hint="eastAsia" w:ascii="宋体" w:hAnsi="宋体" w:eastAsia="宋体"/>
          <w:b/>
          <w:bCs/>
          <w:sz w:val="24"/>
          <w:szCs w:val="24"/>
          <w:highlight w:val="none"/>
        </w:rPr>
        <w:t>不晚于</w:t>
      </w:r>
      <w:r>
        <w:rPr>
          <w:rFonts w:ascii="宋体" w:hAnsi="宋体" w:eastAsia="宋体"/>
          <w:b/>
          <w:bCs/>
          <w:sz w:val="24"/>
          <w:szCs w:val="24"/>
          <w:highlight w:val="none"/>
        </w:rPr>
        <w:t>调整</w:t>
      </w:r>
      <w:r>
        <w:rPr>
          <w:rFonts w:hint="eastAsia" w:ascii="宋体" w:hAnsi="宋体" w:eastAsia="宋体"/>
          <w:b/>
          <w:bCs/>
          <w:sz w:val="24"/>
          <w:szCs w:val="24"/>
          <w:highlight w:val="none"/>
        </w:rPr>
        <w:t>实施日前2个工作日</w:t>
      </w:r>
      <w:r>
        <w:rPr>
          <w:rFonts w:ascii="宋体" w:hAnsi="宋体" w:eastAsia="宋体"/>
          <w:b/>
          <w:bCs/>
          <w:sz w:val="24"/>
          <w:szCs w:val="24"/>
          <w:highlight w:val="none"/>
        </w:rPr>
        <w:t>进行信息披露。</w:t>
      </w:r>
    </w:p>
    <w:p>
      <w:pPr>
        <w:spacing w:line="300" w:lineRule="auto"/>
        <w:ind w:firstLine="482" w:firstLineChars="200"/>
        <w:rPr>
          <w:rFonts w:hint="eastAsia" w:ascii="宋体" w:hAnsi="宋体" w:eastAsia="宋体"/>
          <w:sz w:val="24"/>
          <w:szCs w:val="24"/>
          <w:highlight w:val="none"/>
        </w:rPr>
      </w:pPr>
      <w:r>
        <w:rPr>
          <w:rFonts w:ascii="宋体" w:hAnsi="宋体" w:eastAsia="宋体"/>
          <w:b/>
          <w:bCs/>
          <w:sz w:val="24"/>
          <w:szCs w:val="24"/>
          <w:highlight w:val="none"/>
        </w:rPr>
        <w:t>D.本产品管理人有权对业绩比较基准进行调整，应于调整日前2个工作日进行信息披露。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E.本产品管理人在运用暂停或拒绝认购</w:t>
      </w:r>
      <w:r>
        <w:rPr>
          <w:rFonts w:hint="eastAsia" w:ascii="宋体" w:hAnsi="宋体" w:eastAsia="宋体"/>
          <w:sz w:val="24"/>
          <w:szCs w:val="24"/>
          <w:highlight w:val="none"/>
        </w:rPr>
        <w:t>申请、暂停</w:t>
      </w:r>
      <w:r>
        <w:rPr>
          <w:rFonts w:ascii="宋体" w:hAnsi="宋体" w:eastAsia="宋体"/>
          <w:sz w:val="24"/>
          <w:szCs w:val="24"/>
          <w:highlight w:val="none"/>
        </w:rPr>
        <w:t>理财产品估值等措施后，3个交易日内告知投资者，并说明运用相关措施的原因、拟采取的应对安排等。在发生涉及理财产品认购事项调整时，及时发布临时公告。</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F.本产品管理人因发生不可抗力因素导致产品发行的不利影响时，可以自发生该事项后2个工作日进行信息披露</w:t>
      </w:r>
      <w:r>
        <w:rPr>
          <w:rFonts w:hint="eastAsia" w:ascii="宋体" w:hAnsi="宋体" w:eastAsia="宋体"/>
          <w:sz w:val="24"/>
          <w:szCs w:val="24"/>
          <w:highlight w:val="none"/>
        </w:rPr>
        <w:t>。</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5.</w:t>
      </w:r>
      <w:r>
        <w:rPr>
          <w:rFonts w:ascii="宋体" w:hAnsi="宋体" w:eastAsia="宋体"/>
          <w:sz w:val="24"/>
          <w:szCs w:val="24"/>
          <w:highlight w:val="none"/>
        </w:rPr>
        <w:t>产品重大事项公告</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如发生本产品管理人判断可能影响产品运作的重大不利事项，或对投资者权益或投资收益有重大实质性影响的事件时，本产品管理人将在该事项或事件发生</w:t>
      </w:r>
      <w:r>
        <w:rPr>
          <w:rFonts w:ascii="宋体" w:hAnsi="宋体" w:eastAsia="宋体"/>
          <w:sz w:val="24"/>
          <w:szCs w:val="24"/>
          <w:highlight w:val="none"/>
        </w:rPr>
        <w:t>2个工作日内发布重大事项公告。</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w:t>
      </w:r>
      <w:r>
        <w:rPr>
          <w:rFonts w:ascii="宋体" w:hAnsi="宋体" w:eastAsia="宋体"/>
          <w:sz w:val="24"/>
          <w:szCs w:val="24"/>
          <w:highlight w:val="none"/>
        </w:rPr>
        <w:t>产品终止信息披露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A.在产品到期日后的5个工作日内发布产品到期公告。</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B.本产品管理人提前终止本产品时，将最晚于产品提前终止日对产品提前终止进行信息披露。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C.本产品管理人延期终止本产品时，将最晚于产品计划终止日对产品延期终止进行信息披露。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D.本产品清算期超过5个工作日的，本产品管理人应于产品到期日前向投资者进行信息披露。</w:t>
      </w:r>
    </w:p>
    <w:p>
      <w:pPr>
        <w:spacing w:line="300" w:lineRule="auto"/>
        <w:ind w:firstLine="480" w:firstLineChars="200"/>
        <w:rPr>
          <w:rFonts w:hint="eastAsia" w:ascii="宋体" w:hAnsi="宋体" w:eastAsia="宋体"/>
          <w:b/>
          <w:bCs/>
          <w:sz w:val="24"/>
          <w:szCs w:val="24"/>
          <w:highlight w:val="none"/>
        </w:rPr>
      </w:pPr>
      <w:r>
        <w:rPr>
          <w:rFonts w:hint="eastAsia" w:ascii="宋体" w:hAnsi="宋体" w:eastAsia="宋体"/>
          <w:sz w:val="24"/>
          <w:szCs w:val="24"/>
          <w:highlight w:val="none"/>
        </w:rPr>
        <w:t>7</w:t>
      </w:r>
      <w:r>
        <w:rPr>
          <w:rFonts w:ascii="宋体" w:hAnsi="宋体" w:eastAsia="宋体"/>
          <w:sz w:val="24"/>
          <w:szCs w:val="24"/>
          <w:highlight w:val="none"/>
        </w:rPr>
        <w:t>.在本理财产品存续期内，如出于维持本理财产品正常运营的需要且在不损害投资者利益的前提下，或因国家法律法规、监管规定发生变化，</w:t>
      </w:r>
      <w:r>
        <w:rPr>
          <w:rFonts w:ascii="宋体" w:hAnsi="宋体" w:eastAsia="宋体"/>
          <w:b/>
          <w:bCs/>
          <w:sz w:val="24"/>
          <w:szCs w:val="24"/>
          <w:highlight w:val="none"/>
        </w:rPr>
        <w:t>本产品管理人有权单方对理财产品合同进行修订。本产品管理人决定对理财产品合同进行修订的，将提前两个工作日通过约定的信息披露渠道发布相关信息公告通知投资者。修订后的理财产品合同对投资者具有法律约束力。</w:t>
      </w:r>
    </w:p>
    <w:p>
      <w:pPr>
        <w:spacing w:line="300" w:lineRule="auto"/>
        <w:ind w:firstLine="482" w:firstLineChars="200"/>
        <w:rPr>
          <w:rFonts w:hint="eastAsia" w:ascii="宋体" w:hAnsi="宋体" w:eastAsia="宋体"/>
          <w:b/>
          <w:bCs/>
          <w:sz w:val="24"/>
          <w:szCs w:val="24"/>
          <w:highlight w:val="none"/>
        </w:rPr>
      </w:pPr>
      <w:r>
        <w:rPr>
          <w:rFonts w:ascii="宋体" w:hAnsi="宋体" w:eastAsia="宋体"/>
          <w:b/>
          <w:bCs/>
          <w:sz w:val="24"/>
          <w:szCs w:val="24"/>
          <w:highlight w:val="none"/>
        </w:rPr>
        <w:t>8.投资者同意，本产品管理人通过上述渠道进行信息披露，如果投资者未及时查询，或由于通讯故障、非本产品管理人或非</w:t>
      </w:r>
      <w:r>
        <w:rPr>
          <w:rFonts w:hint="eastAsia" w:ascii="宋体" w:hAnsi="宋体" w:eastAsia="宋体"/>
          <w:b/>
          <w:bCs/>
          <w:sz w:val="24"/>
          <w:szCs w:val="24"/>
          <w:highlight w:val="none"/>
        </w:rPr>
        <w:t>销售服务机构</w:t>
      </w:r>
      <w:r>
        <w:rPr>
          <w:rFonts w:ascii="宋体" w:hAnsi="宋体" w:eastAsia="宋体"/>
          <w:b/>
          <w:bCs/>
          <w:sz w:val="24"/>
          <w:szCs w:val="24"/>
          <w:highlight w:val="none"/>
        </w:rPr>
        <w:t>原因的系统故障以及其他不可抗力等因素的影响使得投资者无法及时了解产品信息，因此而产生的（包括但不限于因未及时获知信息而错过资金使用和再投资的机会等）全部责任和风险，由投资者自行承担。</w:t>
      </w:r>
    </w:p>
    <w:p>
      <w:pPr>
        <w:spacing w:line="300" w:lineRule="auto"/>
        <w:rPr>
          <w:rFonts w:hint="eastAsia" w:ascii="宋体" w:hAnsi="宋体" w:eastAsia="宋体"/>
          <w:b/>
          <w:bCs/>
          <w:sz w:val="24"/>
          <w:szCs w:val="24"/>
          <w:highlight w:val="none"/>
        </w:rPr>
      </w:pPr>
    </w:p>
    <w:p>
      <w:pPr>
        <w:spacing w:line="300" w:lineRule="auto"/>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十二、风险揭示</w:t>
      </w:r>
    </w:p>
    <w:p>
      <w:pPr>
        <w:spacing w:line="300" w:lineRule="auto"/>
        <w:ind w:firstLine="482" w:firstLineChars="200"/>
        <w:jc w:val="left"/>
        <w:rPr>
          <w:rFonts w:hint="eastAsia" w:ascii="宋体" w:hAnsi="宋体" w:eastAsia="宋体"/>
          <w:b/>
          <w:bCs/>
          <w:sz w:val="24"/>
          <w:szCs w:val="24"/>
          <w:highlight w:val="none"/>
        </w:rPr>
      </w:pPr>
      <w:r>
        <w:rPr>
          <w:rFonts w:hint="eastAsia" w:ascii="宋体" w:hAnsi="宋体" w:eastAsia="宋体"/>
          <w:b/>
          <w:bCs/>
          <w:sz w:val="24"/>
          <w:szCs w:val="24"/>
          <w:highlight w:val="none"/>
        </w:rPr>
        <w:t>渤银理财对本理财产品的本金和收益不提供保证承诺，投资者的本金可能因市场变动而蒙受重大损失，投资者应充分认识投资风险，谨慎投资。</w:t>
      </w:r>
    </w:p>
    <w:p>
      <w:pPr>
        <w:spacing w:line="300" w:lineRule="auto"/>
        <w:ind w:firstLine="482" w:firstLineChars="200"/>
        <w:rPr>
          <w:rFonts w:hint="eastAsia" w:ascii="宋体" w:hAnsi="宋体" w:eastAsia="宋体"/>
          <w:sz w:val="24"/>
          <w:szCs w:val="24"/>
          <w:highlight w:val="none"/>
        </w:rPr>
      </w:pPr>
      <w:r>
        <w:rPr>
          <w:rFonts w:hint="eastAsia" w:ascii="宋体" w:hAnsi="宋体" w:eastAsia="宋体"/>
          <w:b/>
          <w:bCs/>
          <w:sz w:val="24"/>
          <w:szCs w:val="24"/>
          <w:highlight w:val="none"/>
        </w:rPr>
        <w:t>本理财产品有投资风险，不保证理财本金和收益，</w:t>
      </w:r>
      <w:r>
        <w:rPr>
          <w:rFonts w:hint="eastAsia" w:ascii="宋体" w:hAnsi="宋体" w:eastAsia="宋体"/>
          <w:sz w:val="24"/>
          <w:szCs w:val="24"/>
          <w:highlight w:val="none"/>
        </w:rPr>
        <w:t>投资者应该充分认识投资风险，在充分了解并清楚知晓本理财产品蕴含风险的基础上，通过自身判断自主参与交易，并自愿承担相关风险，谨慎投资。</w:t>
      </w:r>
    </w:p>
    <w:p>
      <w:pPr>
        <w:spacing w:line="300" w:lineRule="auto"/>
        <w:jc w:val="left"/>
        <w:outlineLvl w:val="0"/>
        <w:rPr>
          <w:rFonts w:hint="eastAsia" w:ascii="宋体" w:hAnsi="宋体" w:eastAsia="宋体"/>
          <w:b/>
          <w:bCs/>
          <w:sz w:val="24"/>
          <w:szCs w:val="24"/>
          <w:highlight w:val="none"/>
        </w:rPr>
      </w:pPr>
      <w:r>
        <w:rPr>
          <w:rFonts w:hint="eastAsia" w:ascii="宋体" w:hAnsi="宋体" w:eastAsia="宋体"/>
          <w:b/>
          <w:bCs/>
          <w:sz w:val="24"/>
          <w:szCs w:val="24"/>
          <w:highlight w:val="none"/>
        </w:rPr>
        <w:t>十三、其他重要事项说明</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（一）保密</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1.渤银理财将加强信息安全管理，根据法律法规及监管要求，对在产品销售和运作过程中获取的投资者信息履行保密义务，除非依照法律法规之规定，或应监管机构及其他有权机关的要求，或与投资者另有约定外，不向第三方披露。</w:t>
      </w:r>
    </w:p>
    <w:p>
      <w:pPr>
        <w:spacing w:line="300" w:lineRule="auto"/>
        <w:ind w:firstLine="480" w:firstLineChars="200"/>
        <w:rPr>
          <w:rFonts w:hint="eastAsia" w:ascii="宋体" w:hAnsi="宋体" w:eastAsia="宋体"/>
          <w:sz w:val="24"/>
          <w:szCs w:val="24"/>
          <w:highlight w:val="none"/>
        </w:rPr>
      </w:pPr>
      <w:r>
        <w:rPr>
          <w:rFonts w:ascii="宋体" w:hAnsi="宋体" w:eastAsia="宋体"/>
          <w:sz w:val="24"/>
          <w:szCs w:val="24"/>
          <w:highlight w:val="none"/>
        </w:rPr>
        <w:t>2.管理人向投资者披露的或投资者因购买本理财产品而获知的有关本理财产品的全部信息（包括但不限于本理财产品销售文件、本理财产品投资安排的全部信息）及本理财产品参与主体的未对外公开的信息均为保密信息。投资者有义务对上述保密信息采取保密措施，未经管理人同意，投资者不得向任何第三方披露该等保密信息，否则应承担相应违约责任，但以下情形除外：（1）向与本次投资有关而需要获知以上信息并受保密协议约束的律师、会计师、顾问和咨询人员披露的；（2）根据适用的法律法规的要求，向有关政府部门、监管机构或者管理机构（包括证券交易所）</w:t>
      </w:r>
      <w:r>
        <w:rPr>
          <w:rFonts w:hint="eastAsia" w:ascii="宋体" w:hAnsi="宋体" w:eastAsia="宋体"/>
          <w:sz w:val="24"/>
          <w:szCs w:val="24"/>
          <w:highlight w:val="none"/>
        </w:rPr>
        <w:t>披露的；（</w:t>
      </w:r>
      <w:r>
        <w:rPr>
          <w:rFonts w:ascii="宋体" w:hAnsi="宋体" w:eastAsia="宋体"/>
          <w:sz w:val="24"/>
          <w:szCs w:val="24"/>
          <w:highlight w:val="none"/>
        </w:rPr>
        <w:t>3）本产品说明书另有约定的。前述保密义务不因本理财产品销售文件或相关协议的无效、被撤销、终止而受影响。</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3.根据监管机构要求，管理人（本款管理人特指除本理财产品的投资管理人渤银理财之外的其他管理人，包括但不限于本理财产品所投资的公募基金/信托计划/资产管理计划等资产管理产品的受托人/资产管理人（如有）、投资顾问（如有））有可能需要向监管机构报送投资者身份信息、持仓信息等相关信息，渤银理财将应管理人申请，在必要范围内向管理人提供相关信息，并要求该等管理人履行投资者信息保密义务。投资者签署本理财产品销售文件即视为已经同意渤银理财在前述范围内向相关方提供投资者身份信息、持仓信息等相关信息。</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4.投资者知晓并同意：产品管理人有权根据适用的法律法规、监管规定或要求，以及为投资者提供理财服务的目的，按照以下的方式处理投资者的个人信息：</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1）为符合监管规定关于投资者尽职调查、登记报送及反洗钱监管的要求，产品管理人将根据法律法规及监管部门的要求收集、存储、使用投资者个人身份信息、持有理财产品信息以及理财产品交易明细信息，并在法律法规或监管部门要求的情况下向有权机关进行登记或上报，由其对投资者的个人信息进行处理。</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（2）为完成理财产品销售流程，产品管理人将向代销机构反馈投资者的理财账号信息，由其对投资者的个人信息进行存储、使用以完成上述流程。</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（3）为及时、准确地响应投资者的投诉，并向投资者提供与产品有关的其他服务，产品管理人将收集、存储、使用投资者个人身份信息、持有理财产品信息以及理财产品交易明细信息。</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如投资者向代销机构提出投诉的，为响应此类投诉请求，产品管理人还可能向代销机构提供投资者个人身份信息、持有理财产品信息以及理财产品交易明细信息，由其对投资者的个人信息进行存储、使用以响应相关投诉。</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4）根据适用的法律法规、监管规定、司法部门、监管机构及其他有权机关的要求，为完成相关司法或行政程序，产品管理人还可能需要按照相关规定或有权机关的指示，在必要范围内向有权机关或代销机构提供投资者的个人信息，由其对投资者的个人信息进行处理，以符合法律法规、监管规定、司法部门、监管机构或其他有权机关的要求，完成相关司法或行政程序。</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在前述目的所需或法律法规允许的范围收集、使用、存储的投资者的个人信息，产品管理人仅会在为实现处理目的所必要的最短期限或法律法规要求的期限内对前述个人信息进行保存。如投资者拒绝提供前述个人信息，则可能会导致相应的处理目的无法实现，并可能影响与理财产品有关的服务。如投资者需就前述个人信息主张权利的，可以通过本理财产品合同所载明的联络方式联系产品管理人。就前述投资者个人信息，产品管理人确认将遵循《个人信息保护法》等法律法规的要求履行保护义务并承担保密责任。</w:t>
      </w:r>
    </w:p>
    <w:p>
      <w:pPr>
        <w:spacing w:line="300" w:lineRule="auto"/>
        <w:ind w:firstLine="482" w:firstLineChars="200"/>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（二）协议的生效与失效</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1.</w:t>
      </w:r>
      <w:r>
        <w:rPr>
          <w:rFonts w:ascii="宋体" w:hAnsi="宋体" w:eastAsia="宋体"/>
          <w:b/>
          <w:bCs/>
          <w:sz w:val="24"/>
          <w:szCs w:val="24"/>
          <w:highlight w:val="none"/>
        </w:rPr>
        <w:t>线下签约方式。本</w:t>
      </w:r>
      <w:r>
        <w:rPr>
          <w:rFonts w:hint="eastAsia" w:ascii="宋体" w:hAnsi="宋体" w:eastAsia="宋体"/>
          <w:b/>
          <w:bCs/>
          <w:sz w:val="24"/>
          <w:szCs w:val="24"/>
          <w:highlight w:val="none"/>
        </w:rPr>
        <w:t>理财</w:t>
      </w:r>
      <w:r>
        <w:rPr>
          <w:rFonts w:ascii="宋体" w:hAnsi="宋体" w:eastAsia="宋体"/>
          <w:b/>
          <w:bCs/>
          <w:sz w:val="24"/>
          <w:szCs w:val="24"/>
          <w:highlight w:val="none"/>
        </w:rPr>
        <w:t>产品说明书</w:t>
      </w:r>
      <w:r>
        <w:rPr>
          <w:rFonts w:hint="eastAsia" w:ascii="宋体" w:hAnsi="宋体" w:eastAsia="宋体"/>
          <w:b/>
          <w:bCs/>
          <w:sz w:val="24"/>
          <w:szCs w:val="24"/>
          <w:highlight w:val="none"/>
        </w:rPr>
        <w:t>经投资者</w:t>
      </w:r>
      <w:r>
        <w:rPr>
          <w:rFonts w:ascii="宋体" w:hAnsi="宋体" w:eastAsia="宋体"/>
          <w:b/>
          <w:bCs/>
          <w:sz w:val="24"/>
          <w:szCs w:val="24"/>
          <w:highlight w:val="none"/>
        </w:rPr>
        <w:t>签字或盖章（</w:t>
      </w:r>
      <w:r>
        <w:rPr>
          <w:rFonts w:hint="eastAsia" w:ascii="宋体" w:hAnsi="宋体" w:eastAsia="宋体"/>
          <w:b/>
          <w:bCs/>
          <w:sz w:val="24"/>
          <w:szCs w:val="24"/>
          <w:highlight w:val="none"/>
        </w:rPr>
        <w:t>投资者</w:t>
      </w:r>
      <w:r>
        <w:rPr>
          <w:rFonts w:ascii="宋体" w:hAnsi="宋体" w:eastAsia="宋体"/>
          <w:b/>
          <w:bCs/>
          <w:sz w:val="24"/>
          <w:szCs w:val="24"/>
          <w:highlight w:val="none"/>
        </w:rPr>
        <w:t>为自然人的，应</w:t>
      </w:r>
      <w:r>
        <w:rPr>
          <w:rFonts w:hint="eastAsia" w:ascii="宋体" w:hAnsi="宋体" w:eastAsia="宋体"/>
          <w:b/>
          <w:bCs/>
          <w:sz w:val="24"/>
          <w:szCs w:val="24"/>
          <w:highlight w:val="none"/>
        </w:rPr>
        <w:t>签字；投资者为机构的，应由法定代表人或授权代理人签字或盖人名章并加盖公章）之日起构成对投资者与产品管理人双方具有约束力的法律文件。</w:t>
      </w:r>
    </w:p>
    <w:p>
      <w:pPr>
        <w:spacing w:line="300" w:lineRule="auto"/>
        <w:ind w:firstLine="482" w:firstLineChars="200"/>
        <w:rPr>
          <w:rFonts w:hint="eastAsia" w:ascii="宋体" w:hAnsi="宋体" w:eastAsia="宋体"/>
          <w:b/>
          <w:bCs/>
          <w:sz w:val="24"/>
          <w:szCs w:val="24"/>
          <w:highlight w:val="none"/>
        </w:rPr>
      </w:pPr>
      <w:r>
        <w:rPr>
          <w:rFonts w:hint="eastAsia" w:ascii="宋体" w:hAnsi="宋体" w:eastAsia="宋体"/>
          <w:b/>
          <w:bCs/>
          <w:sz w:val="24"/>
          <w:szCs w:val="24"/>
          <w:highlight w:val="none"/>
        </w:rPr>
        <w:t>2.</w:t>
      </w:r>
      <w:r>
        <w:rPr>
          <w:rFonts w:ascii="宋体" w:hAnsi="宋体" w:eastAsia="宋体"/>
          <w:b/>
          <w:bCs/>
          <w:sz w:val="24"/>
          <w:szCs w:val="24"/>
          <w:highlight w:val="none"/>
        </w:rPr>
        <w:t>电子渠道签约方式。通过电子渠道进行理财交易的，</w:t>
      </w:r>
      <w:r>
        <w:rPr>
          <w:rFonts w:hint="eastAsia" w:ascii="宋体" w:hAnsi="宋体" w:eastAsia="宋体"/>
          <w:b/>
          <w:bCs/>
          <w:sz w:val="24"/>
          <w:szCs w:val="24"/>
          <w:highlight w:val="none"/>
        </w:rPr>
        <w:t>投资者</w:t>
      </w:r>
      <w:r>
        <w:rPr>
          <w:rFonts w:ascii="宋体" w:hAnsi="宋体" w:eastAsia="宋体"/>
          <w:b/>
          <w:bCs/>
          <w:sz w:val="24"/>
          <w:szCs w:val="24"/>
          <w:highlight w:val="none"/>
        </w:rPr>
        <w:t>在相应电子页面</w:t>
      </w:r>
      <w:r>
        <w:rPr>
          <w:rFonts w:hint="eastAsia" w:ascii="宋体" w:hAnsi="宋体" w:eastAsia="宋体"/>
          <w:b/>
          <w:bCs/>
          <w:sz w:val="24"/>
          <w:szCs w:val="24"/>
          <w:highlight w:val="none"/>
        </w:rPr>
        <w:t>点击“确认并同意相关内容”或“确定”或“接受”或“已阅读并同意”或“同意”或其他同等含义词语，即视为其已签署，表示其同意接受本理财</w:t>
      </w:r>
      <w:r>
        <w:rPr>
          <w:rFonts w:ascii="宋体" w:hAnsi="宋体" w:eastAsia="宋体"/>
          <w:b/>
          <w:bCs/>
          <w:sz w:val="24"/>
          <w:szCs w:val="24"/>
          <w:highlight w:val="none"/>
        </w:rPr>
        <w:t>产品说明书</w:t>
      </w:r>
      <w:r>
        <w:rPr>
          <w:rFonts w:hint="eastAsia" w:ascii="宋体" w:hAnsi="宋体" w:eastAsia="宋体"/>
          <w:b/>
          <w:bCs/>
          <w:sz w:val="24"/>
          <w:szCs w:val="24"/>
          <w:highlight w:val="none"/>
        </w:rPr>
        <w:t>，以及对应《投资协议书》《风险揭示书》《理财产品（代理）销售协议书》《投资者权益须知》等相关销售文件的全部约定内容，并认可其法律约束力。</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w:t>
      </w:r>
      <w:r>
        <w:rPr>
          <w:rFonts w:ascii="宋体" w:hAnsi="宋体" w:eastAsia="宋体"/>
          <w:sz w:val="24"/>
          <w:szCs w:val="24"/>
          <w:highlight w:val="none"/>
        </w:rPr>
        <w:t>客户购买理财产品失败、</w:t>
      </w:r>
      <w:r>
        <w:rPr>
          <w:rFonts w:hint="eastAsia" w:ascii="宋体" w:hAnsi="宋体" w:eastAsia="宋体"/>
          <w:sz w:val="24"/>
          <w:szCs w:val="24"/>
          <w:highlight w:val="none"/>
        </w:rPr>
        <w:t>产品管理人</w:t>
      </w:r>
      <w:r>
        <w:rPr>
          <w:rFonts w:ascii="宋体" w:hAnsi="宋体" w:eastAsia="宋体"/>
          <w:sz w:val="24"/>
          <w:szCs w:val="24"/>
          <w:highlight w:val="none"/>
        </w:rPr>
        <w:t>提前终止以及理财产品到期并结清后，本</w:t>
      </w:r>
      <w:r>
        <w:rPr>
          <w:rFonts w:hint="eastAsia" w:ascii="宋体" w:hAnsi="宋体" w:eastAsia="宋体"/>
          <w:sz w:val="24"/>
          <w:szCs w:val="24"/>
          <w:highlight w:val="none"/>
        </w:rPr>
        <w:t>理财</w:t>
      </w:r>
      <w:r>
        <w:rPr>
          <w:rFonts w:ascii="宋体" w:hAnsi="宋体" w:eastAsia="宋体"/>
          <w:sz w:val="24"/>
          <w:szCs w:val="24"/>
          <w:highlight w:val="none"/>
        </w:rPr>
        <w:t>产品说明书</w:t>
      </w:r>
      <w:r>
        <w:rPr>
          <w:rFonts w:hint="eastAsia" w:ascii="宋体" w:hAnsi="宋体" w:eastAsia="宋体"/>
          <w:sz w:val="24"/>
          <w:szCs w:val="24"/>
          <w:highlight w:val="none"/>
        </w:rPr>
        <w:t>自动终止。除非经双方同意，修改后的条款对修改生效前已经成交的行为不发生效力。</w:t>
      </w:r>
    </w:p>
    <w:p>
      <w:pPr>
        <w:spacing w:line="300" w:lineRule="auto"/>
        <w:ind w:firstLine="480" w:firstLineChars="200"/>
        <w:outlineLvl w:val="1"/>
        <w:rPr>
          <w:rFonts w:hint="eastAsia" w:ascii="宋体" w:hAnsi="宋体" w:eastAsia="宋体"/>
          <w:sz w:val="24"/>
          <w:szCs w:val="24"/>
          <w:highlight w:val="none"/>
        </w:rPr>
      </w:pPr>
      <w:r>
        <w:rPr>
          <w:rFonts w:hint="eastAsia" w:ascii="宋体" w:hAnsi="宋体" w:eastAsia="宋体"/>
          <w:sz w:val="24"/>
          <w:szCs w:val="24"/>
          <w:highlight w:val="none"/>
        </w:rPr>
        <w:t>（三）争议的解决</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双方因履行本理财</w:t>
      </w:r>
      <w:r>
        <w:rPr>
          <w:rFonts w:ascii="宋体" w:hAnsi="宋体" w:eastAsia="宋体"/>
          <w:sz w:val="24"/>
          <w:szCs w:val="24"/>
          <w:highlight w:val="none"/>
        </w:rPr>
        <w:t>产品说明书</w:t>
      </w:r>
      <w:r>
        <w:rPr>
          <w:rFonts w:hint="eastAsia" w:ascii="宋体" w:hAnsi="宋体" w:eastAsia="宋体"/>
          <w:sz w:val="24"/>
          <w:szCs w:val="24"/>
          <w:highlight w:val="none"/>
        </w:rPr>
        <w:t>或与本理财</w:t>
      </w:r>
      <w:r>
        <w:rPr>
          <w:rFonts w:ascii="宋体" w:hAnsi="宋体" w:eastAsia="宋体"/>
          <w:sz w:val="24"/>
          <w:szCs w:val="24"/>
          <w:highlight w:val="none"/>
        </w:rPr>
        <w:t>产品说明书</w:t>
      </w:r>
      <w:r>
        <w:rPr>
          <w:rFonts w:hint="eastAsia" w:ascii="宋体" w:hAnsi="宋体" w:eastAsia="宋体"/>
          <w:sz w:val="24"/>
          <w:szCs w:val="24"/>
          <w:highlight w:val="none"/>
        </w:rPr>
        <w:t>有关的活动而产生的一切争议，应首先本着诚实信用原则通过友好协商解决；</w:t>
      </w:r>
      <w:r>
        <w:rPr>
          <w:rFonts w:hint="eastAsia" w:ascii="宋体" w:hAnsi="宋体" w:eastAsia="宋体"/>
          <w:b/>
          <w:bCs/>
          <w:sz w:val="24"/>
          <w:szCs w:val="24"/>
          <w:highlight w:val="none"/>
        </w:rPr>
        <w:t>不能协商解决的，由产品管理人所在地人民法院诉讼解决。诉讼期间，未涉及争议的条款仍需履行</w:t>
      </w:r>
      <w:r>
        <w:rPr>
          <w:rFonts w:hint="eastAsia" w:ascii="宋体" w:hAnsi="宋体" w:eastAsia="宋体"/>
          <w:sz w:val="24"/>
          <w:szCs w:val="24"/>
          <w:highlight w:val="none"/>
        </w:rPr>
        <w:t>。本理财</w:t>
      </w:r>
      <w:r>
        <w:rPr>
          <w:rFonts w:ascii="宋体" w:hAnsi="宋体" w:eastAsia="宋体"/>
          <w:sz w:val="24"/>
          <w:szCs w:val="24"/>
          <w:highlight w:val="none"/>
        </w:rPr>
        <w:t>产品说明书</w:t>
      </w:r>
      <w:r>
        <w:rPr>
          <w:rFonts w:hint="eastAsia" w:ascii="宋体" w:hAnsi="宋体" w:eastAsia="宋体"/>
          <w:sz w:val="24"/>
          <w:szCs w:val="24"/>
          <w:highlight w:val="none"/>
        </w:rPr>
        <w:t>适用中华人民共和国法律。（为本理财</w:t>
      </w:r>
      <w:r>
        <w:rPr>
          <w:rFonts w:ascii="宋体" w:hAnsi="宋体" w:eastAsia="宋体"/>
          <w:sz w:val="24"/>
          <w:szCs w:val="24"/>
          <w:highlight w:val="none"/>
        </w:rPr>
        <w:t>产品说明书</w:t>
      </w:r>
      <w:r>
        <w:rPr>
          <w:rFonts w:hint="eastAsia" w:ascii="宋体" w:hAnsi="宋体" w:eastAsia="宋体"/>
          <w:sz w:val="24"/>
          <w:szCs w:val="24"/>
          <w:highlight w:val="none"/>
        </w:rPr>
        <w:t>之目的，不包括香港特别行政区、澳门特别行政区和台湾地区的法律）。</w:t>
      </w:r>
    </w:p>
    <w:p>
      <w:pPr>
        <w:spacing w:line="300" w:lineRule="auto"/>
        <w:ind w:firstLine="480" w:firstLineChars="200"/>
        <w:rPr>
          <w:rFonts w:hint="eastAsia" w:ascii="宋体" w:hAnsi="宋体" w:eastAsia="宋体"/>
          <w:sz w:val="24"/>
          <w:szCs w:val="24"/>
          <w:highlight w:val="none"/>
        </w:rPr>
      </w:pPr>
    </w:p>
    <w:p>
      <w:pPr>
        <w:spacing w:line="300" w:lineRule="auto"/>
        <w:ind w:firstLine="480" w:firstLineChars="200"/>
        <w:rPr>
          <w:rFonts w:hint="eastAsia" w:ascii="宋体" w:hAnsi="宋体" w:eastAsia="宋体"/>
          <w:sz w:val="24"/>
          <w:szCs w:val="24"/>
          <w:highlight w:val="none"/>
        </w:rPr>
      </w:pP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投资者（个人客户签字）</w:t>
      </w:r>
    </w:p>
    <w:p>
      <w:pPr>
        <w:spacing w:line="300" w:lineRule="auto"/>
        <w:ind w:firstLine="480" w:firstLineChars="200"/>
        <w:rPr>
          <w:rFonts w:hint="eastAsia" w:ascii="宋体" w:hAnsi="宋体" w:eastAsia="宋体"/>
          <w:sz w:val="24"/>
          <w:szCs w:val="24"/>
          <w:highlight w:val="none"/>
        </w:rPr>
      </w:pP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投资者（机构客户盖公章）</w:t>
      </w:r>
    </w:p>
    <w:p>
      <w:pPr>
        <w:spacing w:line="30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法定代表人或授权代理人（签字或盖人名章）</w:t>
      </w:r>
    </w:p>
    <w:p>
      <w:pPr>
        <w:spacing w:line="300" w:lineRule="auto"/>
        <w:ind w:firstLine="480" w:firstLineChars="200"/>
        <w:rPr>
          <w:rFonts w:hint="eastAsia" w:ascii="宋体" w:hAnsi="宋体" w:eastAsia="宋体"/>
          <w:sz w:val="24"/>
          <w:szCs w:val="24"/>
          <w:highlight w:val="none"/>
        </w:rPr>
      </w:pPr>
    </w:p>
    <w:p>
      <w:pPr>
        <w:spacing w:line="30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签约日期</w:t>
      </w:r>
      <w:r>
        <w:rPr>
          <w:rFonts w:ascii="宋体" w:hAnsi="宋体" w:eastAsia="宋体"/>
          <w:sz w:val="24"/>
          <w:szCs w:val="24"/>
          <w:highlight w:val="none"/>
        </w:rPr>
        <w:t>:_______年______月______日</w:t>
      </w:r>
    </w:p>
    <w:p>
      <w:pPr>
        <w:spacing w:line="300" w:lineRule="auto"/>
        <w:ind w:firstLine="480" w:firstLineChars="200"/>
        <w:rPr>
          <w:rFonts w:ascii="宋体" w:hAnsi="宋体" w:eastAsia="宋体"/>
          <w:sz w:val="24"/>
          <w:szCs w:val="24"/>
          <w:highlight w:val="none"/>
        </w:rPr>
      </w:pP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1"/>
      </w:pBdr>
      <w:rPr>
        <w:rFonts w:eastAsia="华文仿宋"/>
      </w:rPr>
    </w:pPr>
    <w:r>
      <w:rPr>
        <w:rFonts w:hint="eastAsia" w:ascii="华文仿宋" w:hAnsi="华文仿宋" w:eastAsia="华文仿宋" w:cs="华文仿宋"/>
        <w:b/>
        <w:bCs/>
        <w:sz w:val="24"/>
      </w:rPr>
      <w:t>渤银理财</w:t>
    </w:r>
    <w:r>
      <w:rPr>
        <w:rFonts w:hint="eastAsia" w:ascii="新宋体" w:hAnsi="新宋体" w:eastAsia="新宋体" w:cs="新宋体"/>
        <w:b/>
        <w:bCs/>
        <w:sz w:val="24"/>
      </w:rPr>
      <w:t>·</w:t>
    </w:r>
    <w:r>
      <w:rPr>
        <w:rFonts w:hint="eastAsia" w:ascii="华文仿宋" w:hAnsi="华文仿宋" w:eastAsia="华文仿宋" w:cs="华文仿宋"/>
        <w:b/>
        <w:bCs/>
        <w:sz w:val="24"/>
        <w:lang w:val="en-US" w:eastAsia="zh-CN"/>
      </w:rPr>
      <w:t>财收有略</w:t>
    </w:r>
    <w:r>
      <w:rPr>
        <w:rFonts w:hint="eastAsia" w:ascii="华文仿宋" w:hAnsi="华文仿宋" w:eastAsia="华文仿宋" w:cs="华文仿宋"/>
        <w:b/>
        <w:bCs/>
        <w:sz w:val="24"/>
      </w:rPr>
      <w:t>系列</w:t>
    </w:r>
  </w:p>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86CAD"/>
    <w:multiLevelType w:val="singleLevel"/>
    <w:tmpl w:val="87F86CAD"/>
    <w:lvl w:ilvl="0" w:tentative="0">
      <w:start w:val="3"/>
      <w:numFmt w:val="chineseCounting"/>
      <w:suff w:val="nothing"/>
      <w:lvlText w:val="（%1）"/>
      <w:lvlJc w:val="left"/>
      <w:rPr>
        <w:rFonts w:hint="eastAsia"/>
      </w:rPr>
    </w:lvl>
  </w:abstractNum>
  <w:abstractNum w:abstractNumId="1">
    <w:nsid w:val="BCC1E8BF"/>
    <w:multiLevelType w:val="singleLevel"/>
    <w:tmpl w:val="BCC1E8BF"/>
    <w:lvl w:ilvl="0" w:tentative="0">
      <w:start w:val="1"/>
      <w:numFmt w:val="decimal"/>
      <w:lvlText w:val="%1."/>
      <w:lvlJc w:val="left"/>
      <w:pPr>
        <w:tabs>
          <w:tab w:val="left" w:pos="312"/>
        </w:tabs>
      </w:pPr>
    </w:lvl>
  </w:abstractNum>
  <w:abstractNum w:abstractNumId="2">
    <w:nsid w:val="C507B729"/>
    <w:multiLevelType w:val="singleLevel"/>
    <w:tmpl w:val="C507B729"/>
    <w:lvl w:ilvl="0" w:tentative="0">
      <w:start w:val="4"/>
      <w:numFmt w:val="decimal"/>
      <w:lvlText w:val="%1."/>
      <w:lvlJc w:val="left"/>
      <w:pPr>
        <w:tabs>
          <w:tab w:val="left" w:pos="312"/>
        </w:tabs>
      </w:pPr>
    </w:lvl>
  </w:abstractNum>
  <w:abstractNum w:abstractNumId="3">
    <w:nsid w:val="240514E1"/>
    <w:multiLevelType w:val="multilevel"/>
    <w:tmpl w:val="240514E1"/>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2C5338DC"/>
    <w:multiLevelType w:val="multilevel"/>
    <w:tmpl w:val="2C5338DC"/>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5">
    <w:nsid w:val="4137AA5D"/>
    <w:multiLevelType w:val="singleLevel"/>
    <w:tmpl w:val="4137AA5D"/>
    <w:lvl w:ilvl="0" w:tentative="0">
      <w:start w:val="1"/>
      <w:numFmt w:val="bullet"/>
      <w:lvlText w:val=""/>
      <w:lvlJc w:val="left"/>
      <w:pPr>
        <w:ind w:left="420" w:hanging="420"/>
      </w:pPr>
      <w:rPr>
        <w:rFonts w:hint="default" w:ascii="Wingdings" w:hAnsi="Wingdings"/>
      </w:rPr>
    </w:lvl>
  </w:abstractNum>
  <w:abstractNum w:abstractNumId="6">
    <w:nsid w:val="49180537"/>
    <w:multiLevelType w:val="singleLevel"/>
    <w:tmpl w:val="49180537"/>
    <w:lvl w:ilvl="0" w:tentative="0">
      <w:start w:val="1"/>
      <w:numFmt w:val="decimal"/>
      <w:lvlText w:val="%1."/>
      <w:lvlJc w:val="left"/>
      <w:pPr>
        <w:tabs>
          <w:tab w:val="left" w:pos="312"/>
        </w:tabs>
      </w:pPr>
      <w:rPr>
        <w:rFonts w:hint="default"/>
        <w:b w:val="0"/>
        <w:bCs w:val="0"/>
      </w:rPr>
    </w:lvl>
  </w:abstractNum>
  <w:abstractNum w:abstractNumId="7">
    <w:nsid w:val="57E61E1F"/>
    <w:multiLevelType w:val="singleLevel"/>
    <w:tmpl w:val="57E61E1F"/>
    <w:lvl w:ilvl="0" w:tentative="0">
      <w:start w:val="1"/>
      <w:numFmt w:val="chineseCounting"/>
      <w:suff w:val="nothing"/>
      <w:lvlText w:val="（%1）"/>
      <w:lvlJc w:val="left"/>
      <w:rPr>
        <w:rFonts w:hint="eastAsia"/>
      </w:rPr>
    </w:lvl>
  </w:abstractNum>
  <w:abstractNum w:abstractNumId="8">
    <w:nsid w:val="686A7DD8"/>
    <w:multiLevelType w:val="multilevel"/>
    <w:tmpl w:val="686A7DD8"/>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3"/>
  </w:num>
  <w:num w:numId="2">
    <w:abstractNumId w:val="4"/>
  </w:num>
  <w:num w:numId="3">
    <w:abstractNumId w:val="5"/>
  </w:num>
  <w:num w:numId="4">
    <w:abstractNumId w:val="8"/>
  </w:num>
  <w:num w:numId="5">
    <w:abstractNumId w:val="6"/>
  </w:num>
  <w:num w:numId="6">
    <w:abstractNumId w:val="0"/>
  </w:num>
  <w:num w:numId="7">
    <w:abstractNumId w:val="1"/>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AA172E"/>
    <w:rsid w:val="001B364D"/>
    <w:rsid w:val="001C4D64"/>
    <w:rsid w:val="001F30F8"/>
    <w:rsid w:val="001F535A"/>
    <w:rsid w:val="002776D1"/>
    <w:rsid w:val="00284EDD"/>
    <w:rsid w:val="002C35EF"/>
    <w:rsid w:val="003052A8"/>
    <w:rsid w:val="00351E6A"/>
    <w:rsid w:val="003F1803"/>
    <w:rsid w:val="00446588"/>
    <w:rsid w:val="00451275"/>
    <w:rsid w:val="00506A21"/>
    <w:rsid w:val="005D511A"/>
    <w:rsid w:val="00716951"/>
    <w:rsid w:val="00817215"/>
    <w:rsid w:val="00870F45"/>
    <w:rsid w:val="008B76F6"/>
    <w:rsid w:val="008C6114"/>
    <w:rsid w:val="00903F09"/>
    <w:rsid w:val="00930C13"/>
    <w:rsid w:val="009444D1"/>
    <w:rsid w:val="00A3719B"/>
    <w:rsid w:val="00A37E8A"/>
    <w:rsid w:val="00A60952"/>
    <w:rsid w:val="00AF7C53"/>
    <w:rsid w:val="00B13E4E"/>
    <w:rsid w:val="00B355E0"/>
    <w:rsid w:val="00B35B11"/>
    <w:rsid w:val="00B44099"/>
    <w:rsid w:val="00B8175E"/>
    <w:rsid w:val="00B831DD"/>
    <w:rsid w:val="00B8697D"/>
    <w:rsid w:val="00BB44F8"/>
    <w:rsid w:val="00C662AF"/>
    <w:rsid w:val="00CC4143"/>
    <w:rsid w:val="00CD3608"/>
    <w:rsid w:val="00CF1492"/>
    <w:rsid w:val="00DA13FF"/>
    <w:rsid w:val="00DD7324"/>
    <w:rsid w:val="00DE1187"/>
    <w:rsid w:val="00EC77BE"/>
    <w:rsid w:val="00F23287"/>
    <w:rsid w:val="00F6305B"/>
    <w:rsid w:val="00F74A08"/>
    <w:rsid w:val="01042591"/>
    <w:rsid w:val="010C320E"/>
    <w:rsid w:val="01145D86"/>
    <w:rsid w:val="01294A8C"/>
    <w:rsid w:val="0139594A"/>
    <w:rsid w:val="013C3FEE"/>
    <w:rsid w:val="014353E6"/>
    <w:rsid w:val="014450E7"/>
    <w:rsid w:val="01460C6D"/>
    <w:rsid w:val="014B5E0B"/>
    <w:rsid w:val="014C3D5F"/>
    <w:rsid w:val="01503092"/>
    <w:rsid w:val="015715DF"/>
    <w:rsid w:val="01631957"/>
    <w:rsid w:val="01654798"/>
    <w:rsid w:val="016A3FAB"/>
    <w:rsid w:val="016C27F8"/>
    <w:rsid w:val="016C7BE0"/>
    <w:rsid w:val="01737DD2"/>
    <w:rsid w:val="0179403D"/>
    <w:rsid w:val="017B3B01"/>
    <w:rsid w:val="01801B5B"/>
    <w:rsid w:val="01806629"/>
    <w:rsid w:val="01875399"/>
    <w:rsid w:val="01875769"/>
    <w:rsid w:val="018779CA"/>
    <w:rsid w:val="018B08DC"/>
    <w:rsid w:val="018C526B"/>
    <w:rsid w:val="018F533F"/>
    <w:rsid w:val="019B38D4"/>
    <w:rsid w:val="019D794A"/>
    <w:rsid w:val="019D7CA1"/>
    <w:rsid w:val="01A618C5"/>
    <w:rsid w:val="01A72EFC"/>
    <w:rsid w:val="01AB43B3"/>
    <w:rsid w:val="01AC48CD"/>
    <w:rsid w:val="01AE3B80"/>
    <w:rsid w:val="01B44B97"/>
    <w:rsid w:val="01B70FDF"/>
    <w:rsid w:val="01B73386"/>
    <w:rsid w:val="01C007AC"/>
    <w:rsid w:val="01C44DA6"/>
    <w:rsid w:val="01C56C0D"/>
    <w:rsid w:val="01CB53C2"/>
    <w:rsid w:val="01D152C6"/>
    <w:rsid w:val="01D55A3C"/>
    <w:rsid w:val="01D81368"/>
    <w:rsid w:val="01DA080F"/>
    <w:rsid w:val="01DC57FC"/>
    <w:rsid w:val="01EF53D0"/>
    <w:rsid w:val="01F0550C"/>
    <w:rsid w:val="02031EC6"/>
    <w:rsid w:val="020763CF"/>
    <w:rsid w:val="020D31BE"/>
    <w:rsid w:val="0210327F"/>
    <w:rsid w:val="021303D8"/>
    <w:rsid w:val="02147D83"/>
    <w:rsid w:val="021A592B"/>
    <w:rsid w:val="021D02DD"/>
    <w:rsid w:val="02234BA1"/>
    <w:rsid w:val="02241A63"/>
    <w:rsid w:val="02301044"/>
    <w:rsid w:val="0232149D"/>
    <w:rsid w:val="02334D86"/>
    <w:rsid w:val="023352A0"/>
    <w:rsid w:val="02366479"/>
    <w:rsid w:val="024570FD"/>
    <w:rsid w:val="02495F3F"/>
    <w:rsid w:val="025410FD"/>
    <w:rsid w:val="02551C75"/>
    <w:rsid w:val="02564C35"/>
    <w:rsid w:val="02571B53"/>
    <w:rsid w:val="026339C9"/>
    <w:rsid w:val="026736F5"/>
    <w:rsid w:val="02825FF2"/>
    <w:rsid w:val="028440A6"/>
    <w:rsid w:val="02853D9B"/>
    <w:rsid w:val="028D5DEF"/>
    <w:rsid w:val="028E165D"/>
    <w:rsid w:val="029245BE"/>
    <w:rsid w:val="02964CA0"/>
    <w:rsid w:val="029B571E"/>
    <w:rsid w:val="029E5C41"/>
    <w:rsid w:val="02B16A21"/>
    <w:rsid w:val="02C00AEF"/>
    <w:rsid w:val="02D11BBD"/>
    <w:rsid w:val="02D36DFF"/>
    <w:rsid w:val="02E234CF"/>
    <w:rsid w:val="02E34932"/>
    <w:rsid w:val="02E80ADF"/>
    <w:rsid w:val="03014E15"/>
    <w:rsid w:val="031275BB"/>
    <w:rsid w:val="031310F4"/>
    <w:rsid w:val="03157F6C"/>
    <w:rsid w:val="03216875"/>
    <w:rsid w:val="03266924"/>
    <w:rsid w:val="03283F3F"/>
    <w:rsid w:val="032F3307"/>
    <w:rsid w:val="03345086"/>
    <w:rsid w:val="033569CA"/>
    <w:rsid w:val="03394097"/>
    <w:rsid w:val="03426208"/>
    <w:rsid w:val="034B5DB7"/>
    <w:rsid w:val="034F1C8B"/>
    <w:rsid w:val="03634E7B"/>
    <w:rsid w:val="03696607"/>
    <w:rsid w:val="036F37FF"/>
    <w:rsid w:val="03911EC9"/>
    <w:rsid w:val="03925C19"/>
    <w:rsid w:val="03A87EB6"/>
    <w:rsid w:val="03AB08C4"/>
    <w:rsid w:val="03B43D86"/>
    <w:rsid w:val="03B93F6B"/>
    <w:rsid w:val="03BB7EF5"/>
    <w:rsid w:val="03BC2744"/>
    <w:rsid w:val="03C05225"/>
    <w:rsid w:val="03C67074"/>
    <w:rsid w:val="03C97FB5"/>
    <w:rsid w:val="03DB7AAF"/>
    <w:rsid w:val="03E257C0"/>
    <w:rsid w:val="03EA433C"/>
    <w:rsid w:val="03EE33B5"/>
    <w:rsid w:val="03F5031F"/>
    <w:rsid w:val="03F84B8F"/>
    <w:rsid w:val="040149FA"/>
    <w:rsid w:val="04104759"/>
    <w:rsid w:val="0411440C"/>
    <w:rsid w:val="041711A3"/>
    <w:rsid w:val="042462EE"/>
    <w:rsid w:val="042D7124"/>
    <w:rsid w:val="0431689E"/>
    <w:rsid w:val="04323BBC"/>
    <w:rsid w:val="04365CAB"/>
    <w:rsid w:val="0438047E"/>
    <w:rsid w:val="04452FBE"/>
    <w:rsid w:val="04455C12"/>
    <w:rsid w:val="044626EB"/>
    <w:rsid w:val="044766B4"/>
    <w:rsid w:val="045A365B"/>
    <w:rsid w:val="045B58A4"/>
    <w:rsid w:val="0460283F"/>
    <w:rsid w:val="04665493"/>
    <w:rsid w:val="0467286A"/>
    <w:rsid w:val="046B1457"/>
    <w:rsid w:val="046E30F5"/>
    <w:rsid w:val="04776119"/>
    <w:rsid w:val="047C23D2"/>
    <w:rsid w:val="048358B6"/>
    <w:rsid w:val="04842FB7"/>
    <w:rsid w:val="04843B64"/>
    <w:rsid w:val="048949AF"/>
    <w:rsid w:val="04987894"/>
    <w:rsid w:val="04997DB7"/>
    <w:rsid w:val="04A02A43"/>
    <w:rsid w:val="04A1017F"/>
    <w:rsid w:val="04A60EE0"/>
    <w:rsid w:val="04AD50E6"/>
    <w:rsid w:val="04AF2F0D"/>
    <w:rsid w:val="04B42C8F"/>
    <w:rsid w:val="04BE33B3"/>
    <w:rsid w:val="04BF456A"/>
    <w:rsid w:val="04BF6442"/>
    <w:rsid w:val="04C47BB3"/>
    <w:rsid w:val="04D67696"/>
    <w:rsid w:val="04D9770D"/>
    <w:rsid w:val="04E01930"/>
    <w:rsid w:val="04E06B0B"/>
    <w:rsid w:val="04E07C42"/>
    <w:rsid w:val="04E1359C"/>
    <w:rsid w:val="04E40635"/>
    <w:rsid w:val="04E92D45"/>
    <w:rsid w:val="04EB77A4"/>
    <w:rsid w:val="04EE4C28"/>
    <w:rsid w:val="05046C75"/>
    <w:rsid w:val="050A1BD8"/>
    <w:rsid w:val="051D565F"/>
    <w:rsid w:val="05212B92"/>
    <w:rsid w:val="05213B51"/>
    <w:rsid w:val="0528137F"/>
    <w:rsid w:val="052A7094"/>
    <w:rsid w:val="053E4C1A"/>
    <w:rsid w:val="05496ED1"/>
    <w:rsid w:val="054C1314"/>
    <w:rsid w:val="054C2A8F"/>
    <w:rsid w:val="05567F35"/>
    <w:rsid w:val="05576563"/>
    <w:rsid w:val="05614D61"/>
    <w:rsid w:val="05627B12"/>
    <w:rsid w:val="05671F48"/>
    <w:rsid w:val="056740AA"/>
    <w:rsid w:val="056A26C6"/>
    <w:rsid w:val="05760C82"/>
    <w:rsid w:val="05844C81"/>
    <w:rsid w:val="05896022"/>
    <w:rsid w:val="059F3409"/>
    <w:rsid w:val="05A2010D"/>
    <w:rsid w:val="05C16718"/>
    <w:rsid w:val="05C554E3"/>
    <w:rsid w:val="05C57B58"/>
    <w:rsid w:val="05CD05E1"/>
    <w:rsid w:val="05CE4CC0"/>
    <w:rsid w:val="05D71D91"/>
    <w:rsid w:val="05DA6FC5"/>
    <w:rsid w:val="05E4064B"/>
    <w:rsid w:val="05F65A68"/>
    <w:rsid w:val="05F83C63"/>
    <w:rsid w:val="05F94582"/>
    <w:rsid w:val="05FA4968"/>
    <w:rsid w:val="06005571"/>
    <w:rsid w:val="06006C56"/>
    <w:rsid w:val="06012560"/>
    <w:rsid w:val="06087F29"/>
    <w:rsid w:val="060A15A2"/>
    <w:rsid w:val="060B0E54"/>
    <w:rsid w:val="060C3189"/>
    <w:rsid w:val="061164B4"/>
    <w:rsid w:val="06124BE4"/>
    <w:rsid w:val="061264E7"/>
    <w:rsid w:val="06145BCC"/>
    <w:rsid w:val="06150C91"/>
    <w:rsid w:val="06166D2E"/>
    <w:rsid w:val="061947F8"/>
    <w:rsid w:val="06195CD2"/>
    <w:rsid w:val="06270C22"/>
    <w:rsid w:val="063C5DF0"/>
    <w:rsid w:val="063E5246"/>
    <w:rsid w:val="06442261"/>
    <w:rsid w:val="064E46B7"/>
    <w:rsid w:val="065F0DF1"/>
    <w:rsid w:val="066A4526"/>
    <w:rsid w:val="066D3524"/>
    <w:rsid w:val="06736A96"/>
    <w:rsid w:val="06746490"/>
    <w:rsid w:val="067759F5"/>
    <w:rsid w:val="067A5010"/>
    <w:rsid w:val="067B3F49"/>
    <w:rsid w:val="06806B3B"/>
    <w:rsid w:val="06893113"/>
    <w:rsid w:val="068D1F56"/>
    <w:rsid w:val="068F18FF"/>
    <w:rsid w:val="069B4E8D"/>
    <w:rsid w:val="06A13DF5"/>
    <w:rsid w:val="06A35599"/>
    <w:rsid w:val="06A643B1"/>
    <w:rsid w:val="06AD4623"/>
    <w:rsid w:val="06B57348"/>
    <w:rsid w:val="06B7175A"/>
    <w:rsid w:val="06C6267D"/>
    <w:rsid w:val="06C87AE5"/>
    <w:rsid w:val="06D65540"/>
    <w:rsid w:val="06DD23CE"/>
    <w:rsid w:val="06DF500E"/>
    <w:rsid w:val="06E42E6C"/>
    <w:rsid w:val="06EA6BB4"/>
    <w:rsid w:val="06EB56BE"/>
    <w:rsid w:val="06EC4EC7"/>
    <w:rsid w:val="06ED3C23"/>
    <w:rsid w:val="06EE1287"/>
    <w:rsid w:val="06EF1AE5"/>
    <w:rsid w:val="06F45FE4"/>
    <w:rsid w:val="06FB0949"/>
    <w:rsid w:val="070D7D3F"/>
    <w:rsid w:val="071D1D22"/>
    <w:rsid w:val="071D3A9F"/>
    <w:rsid w:val="07276289"/>
    <w:rsid w:val="072824A9"/>
    <w:rsid w:val="07284CCE"/>
    <w:rsid w:val="07292F12"/>
    <w:rsid w:val="072C5144"/>
    <w:rsid w:val="073041E0"/>
    <w:rsid w:val="07333910"/>
    <w:rsid w:val="07335A6E"/>
    <w:rsid w:val="07395507"/>
    <w:rsid w:val="073A363C"/>
    <w:rsid w:val="073B2303"/>
    <w:rsid w:val="073C6CB3"/>
    <w:rsid w:val="074D593F"/>
    <w:rsid w:val="07530462"/>
    <w:rsid w:val="075411A5"/>
    <w:rsid w:val="075C2C26"/>
    <w:rsid w:val="07655754"/>
    <w:rsid w:val="077539BA"/>
    <w:rsid w:val="07773A97"/>
    <w:rsid w:val="07794EBD"/>
    <w:rsid w:val="078343D4"/>
    <w:rsid w:val="07925CA3"/>
    <w:rsid w:val="079A66D1"/>
    <w:rsid w:val="079B579C"/>
    <w:rsid w:val="079D0E63"/>
    <w:rsid w:val="07B51929"/>
    <w:rsid w:val="07B57BA9"/>
    <w:rsid w:val="07BA2544"/>
    <w:rsid w:val="07C1484A"/>
    <w:rsid w:val="07C3354E"/>
    <w:rsid w:val="07C70977"/>
    <w:rsid w:val="07D0110F"/>
    <w:rsid w:val="07D56351"/>
    <w:rsid w:val="07D83287"/>
    <w:rsid w:val="07D97197"/>
    <w:rsid w:val="07E1479E"/>
    <w:rsid w:val="07F05DCC"/>
    <w:rsid w:val="07F41AAD"/>
    <w:rsid w:val="07F674F2"/>
    <w:rsid w:val="07FB6382"/>
    <w:rsid w:val="08010DF7"/>
    <w:rsid w:val="08032C0F"/>
    <w:rsid w:val="08065E1A"/>
    <w:rsid w:val="08096CCD"/>
    <w:rsid w:val="080B766C"/>
    <w:rsid w:val="081246B3"/>
    <w:rsid w:val="08134479"/>
    <w:rsid w:val="082224AB"/>
    <w:rsid w:val="08237B93"/>
    <w:rsid w:val="082D7793"/>
    <w:rsid w:val="08442BE6"/>
    <w:rsid w:val="084D0836"/>
    <w:rsid w:val="084F0FDB"/>
    <w:rsid w:val="0850527A"/>
    <w:rsid w:val="08524479"/>
    <w:rsid w:val="085C403E"/>
    <w:rsid w:val="085C4253"/>
    <w:rsid w:val="085E7E3E"/>
    <w:rsid w:val="08677E02"/>
    <w:rsid w:val="08681B66"/>
    <w:rsid w:val="086B0C93"/>
    <w:rsid w:val="0874372B"/>
    <w:rsid w:val="087770B8"/>
    <w:rsid w:val="087E3D7E"/>
    <w:rsid w:val="087F20CC"/>
    <w:rsid w:val="088B0AB4"/>
    <w:rsid w:val="088B2A82"/>
    <w:rsid w:val="089171E5"/>
    <w:rsid w:val="089B30C9"/>
    <w:rsid w:val="089B7A6C"/>
    <w:rsid w:val="08B105CE"/>
    <w:rsid w:val="08B87808"/>
    <w:rsid w:val="08BA354E"/>
    <w:rsid w:val="08BB540E"/>
    <w:rsid w:val="08C75A02"/>
    <w:rsid w:val="08CB15D2"/>
    <w:rsid w:val="08CB1A37"/>
    <w:rsid w:val="08D250A9"/>
    <w:rsid w:val="08DE579E"/>
    <w:rsid w:val="08E37919"/>
    <w:rsid w:val="08E63041"/>
    <w:rsid w:val="08EF631F"/>
    <w:rsid w:val="08F30803"/>
    <w:rsid w:val="09020ECC"/>
    <w:rsid w:val="09083384"/>
    <w:rsid w:val="090A6A05"/>
    <w:rsid w:val="09141A2C"/>
    <w:rsid w:val="091A5F57"/>
    <w:rsid w:val="091C31C5"/>
    <w:rsid w:val="091F143B"/>
    <w:rsid w:val="092142A9"/>
    <w:rsid w:val="092A778E"/>
    <w:rsid w:val="092B6C5C"/>
    <w:rsid w:val="09354A6C"/>
    <w:rsid w:val="094660D8"/>
    <w:rsid w:val="094A54E1"/>
    <w:rsid w:val="094F435D"/>
    <w:rsid w:val="094F66B2"/>
    <w:rsid w:val="0952695D"/>
    <w:rsid w:val="09601B43"/>
    <w:rsid w:val="096035B5"/>
    <w:rsid w:val="09642E21"/>
    <w:rsid w:val="09644169"/>
    <w:rsid w:val="096D2A98"/>
    <w:rsid w:val="096E1E6C"/>
    <w:rsid w:val="096F5DB0"/>
    <w:rsid w:val="09753BC1"/>
    <w:rsid w:val="097D2354"/>
    <w:rsid w:val="097E31A5"/>
    <w:rsid w:val="098118B5"/>
    <w:rsid w:val="098A4F41"/>
    <w:rsid w:val="098C4906"/>
    <w:rsid w:val="09944224"/>
    <w:rsid w:val="09A2690A"/>
    <w:rsid w:val="09A4438F"/>
    <w:rsid w:val="09A72518"/>
    <w:rsid w:val="09BD5153"/>
    <w:rsid w:val="09BE684A"/>
    <w:rsid w:val="09C01E49"/>
    <w:rsid w:val="09C50E20"/>
    <w:rsid w:val="09C714E0"/>
    <w:rsid w:val="09CF1A5A"/>
    <w:rsid w:val="09D33EB6"/>
    <w:rsid w:val="09D9091C"/>
    <w:rsid w:val="09DB7763"/>
    <w:rsid w:val="09DB7AFC"/>
    <w:rsid w:val="09DD12C2"/>
    <w:rsid w:val="09E75BF3"/>
    <w:rsid w:val="09EB4626"/>
    <w:rsid w:val="09EC55FA"/>
    <w:rsid w:val="09EE249F"/>
    <w:rsid w:val="09F124E6"/>
    <w:rsid w:val="09F2402E"/>
    <w:rsid w:val="09F50F0A"/>
    <w:rsid w:val="09F96D60"/>
    <w:rsid w:val="09F973AA"/>
    <w:rsid w:val="09FA741A"/>
    <w:rsid w:val="09FF37AC"/>
    <w:rsid w:val="0A002371"/>
    <w:rsid w:val="0A0D2096"/>
    <w:rsid w:val="0A126CD2"/>
    <w:rsid w:val="0A146ED8"/>
    <w:rsid w:val="0A185C65"/>
    <w:rsid w:val="0A1A1B11"/>
    <w:rsid w:val="0A1C11BB"/>
    <w:rsid w:val="0A1F39F2"/>
    <w:rsid w:val="0A205CDF"/>
    <w:rsid w:val="0A23316C"/>
    <w:rsid w:val="0A2A3978"/>
    <w:rsid w:val="0A2B1ED2"/>
    <w:rsid w:val="0A3018EF"/>
    <w:rsid w:val="0A3046B9"/>
    <w:rsid w:val="0A3158A9"/>
    <w:rsid w:val="0A33035E"/>
    <w:rsid w:val="0A3641AE"/>
    <w:rsid w:val="0A3978EA"/>
    <w:rsid w:val="0A3C149C"/>
    <w:rsid w:val="0A3E6A21"/>
    <w:rsid w:val="0A403B90"/>
    <w:rsid w:val="0A403F8A"/>
    <w:rsid w:val="0A4A4D0B"/>
    <w:rsid w:val="0A4C01AF"/>
    <w:rsid w:val="0A4C2796"/>
    <w:rsid w:val="0A5846D2"/>
    <w:rsid w:val="0A597CEF"/>
    <w:rsid w:val="0A5A2153"/>
    <w:rsid w:val="0A5D698F"/>
    <w:rsid w:val="0A60108A"/>
    <w:rsid w:val="0A677EBA"/>
    <w:rsid w:val="0A6A5C20"/>
    <w:rsid w:val="0A6F1DBF"/>
    <w:rsid w:val="0A765B78"/>
    <w:rsid w:val="0A7923C7"/>
    <w:rsid w:val="0A7D2588"/>
    <w:rsid w:val="0A7E70CF"/>
    <w:rsid w:val="0A805205"/>
    <w:rsid w:val="0AA3116A"/>
    <w:rsid w:val="0AA7585E"/>
    <w:rsid w:val="0ABC665E"/>
    <w:rsid w:val="0ACA3E38"/>
    <w:rsid w:val="0ACB43F4"/>
    <w:rsid w:val="0ACD0F64"/>
    <w:rsid w:val="0AD313EA"/>
    <w:rsid w:val="0AD6551D"/>
    <w:rsid w:val="0ADA3B39"/>
    <w:rsid w:val="0ADD2844"/>
    <w:rsid w:val="0ADF579E"/>
    <w:rsid w:val="0AE0037C"/>
    <w:rsid w:val="0AE108EE"/>
    <w:rsid w:val="0AEF2C34"/>
    <w:rsid w:val="0AFA3CF7"/>
    <w:rsid w:val="0AFE4745"/>
    <w:rsid w:val="0B0116E6"/>
    <w:rsid w:val="0B0734B8"/>
    <w:rsid w:val="0B12756C"/>
    <w:rsid w:val="0B156C70"/>
    <w:rsid w:val="0B162118"/>
    <w:rsid w:val="0B1724CA"/>
    <w:rsid w:val="0B1B222C"/>
    <w:rsid w:val="0B230B3B"/>
    <w:rsid w:val="0B25040E"/>
    <w:rsid w:val="0B2F4D11"/>
    <w:rsid w:val="0B340DD4"/>
    <w:rsid w:val="0B393B17"/>
    <w:rsid w:val="0B3C2356"/>
    <w:rsid w:val="0B4A5CB2"/>
    <w:rsid w:val="0B5012AF"/>
    <w:rsid w:val="0B5569A4"/>
    <w:rsid w:val="0B566C71"/>
    <w:rsid w:val="0B592907"/>
    <w:rsid w:val="0B5A7D16"/>
    <w:rsid w:val="0B5B0251"/>
    <w:rsid w:val="0B5D6ADD"/>
    <w:rsid w:val="0B5F583E"/>
    <w:rsid w:val="0B611E91"/>
    <w:rsid w:val="0B6A2720"/>
    <w:rsid w:val="0B791826"/>
    <w:rsid w:val="0B792BE2"/>
    <w:rsid w:val="0B870C7D"/>
    <w:rsid w:val="0B8B3518"/>
    <w:rsid w:val="0B8D7B78"/>
    <w:rsid w:val="0B910DBF"/>
    <w:rsid w:val="0B992263"/>
    <w:rsid w:val="0BA43AEE"/>
    <w:rsid w:val="0BA75737"/>
    <w:rsid w:val="0BAA5ABC"/>
    <w:rsid w:val="0BBE35A3"/>
    <w:rsid w:val="0BC63B95"/>
    <w:rsid w:val="0BC95CBD"/>
    <w:rsid w:val="0BDE7D01"/>
    <w:rsid w:val="0BE842DD"/>
    <w:rsid w:val="0BEE6B32"/>
    <w:rsid w:val="0BEE6DAA"/>
    <w:rsid w:val="0BF07F8B"/>
    <w:rsid w:val="0BF7154F"/>
    <w:rsid w:val="0BFB0265"/>
    <w:rsid w:val="0BFF259F"/>
    <w:rsid w:val="0C02441A"/>
    <w:rsid w:val="0C0806CC"/>
    <w:rsid w:val="0C1311BF"/>
    <w:rsid w:val="0C156B01"/>
    <w:rsid w:val="0C182201"/>
    <w:rsid w:val="0C1F038E"/>
    <w:rsid w:val="0C26660A"/>
    <w:rsid w:val="0C2831BD"/>
    <w:rsid w:val="0C2F2D6C"/>
    <w:rsid w:val="0C301CE1"/>
    <w:rsid w:val="0C377EDF"/>
    <w:rsid w:val="0C3A7821"/>
    <w:rsid w:val="0C3C0E31"/>
    <w:rsid w:val="0C3C7452"/>
    <w:rsid w:val="0C5B1B3F"/>
    <w:rsid w:val="0C626AE8"/>
    <w:rsid w:val="0C64655F"/>
    <w:rsid w:val="0C6F3D8E"/>
    <w:rsid w:val="0C727B2B"/>
    <w:rsid w:val="0C7631F0"/>
    <w:rsid w:val="0C7C0889"/>
    <w:rsid w:val="0C82038C"/>
    <w:rsid w:val="0C822E5C"/>
    <w:rsid w:val="0C862B95"/>
    <w:rsid w:val="0C864C04"/>
    <w:rsid w:val="0C881F6E"/>
    <w:rsid w:val="0C9A235E"/>
    <w:rsid w:val="0C9F678B"/>
    <w:rsid w:val="0CA0475C"/>
    <w:rsid w:val="0CA0651B"/>
    <w:rsid w:val="0CA23FEC"/>
    <w:rsid w:val="0CA25E65"/>
    <w:rsid w:val="0CA72244"/>
    <w:rsid w:val="0CA97FB4"/>
    <w:rsid w:val="0CAF78CD"/>
    <w:rsid w:val="0CC26CFC"/>
    <w:rsid w:val="0CC6012A"/>
    <w:rsid w:val="0CC90924"/>
    <w:rsid w:val="0CC97039"/>
    <w:rsid w:val="0CCB4F8F"/>
    <w:rsid w:val="0CCC03BC"/>
    <w:rsid w:val="0CD16BA1"/>
    <w:rsid w:val="0CD61295"/>
    <w:rsid w:val="0CD83DC8"/>
    <w:rsid w:val="0CD94816"/>
    <w:rsid w:val="0CE55231"/>
    <w:rsid w:val="0CF63BB5"/>
    <w:rsid w:val="0D033D1F"/>
    <w:rsid w:val="0D084878"/>
    <w:rsid w:val="0D1619AE"/>
    <w:rsid w:val="0D1C507B"/>
    <w:rsid w:val="0D1D6BD1"/>
    <w:rsid w:val="0D223714"/>
    <w:rsid w:val="0D251E65"/>
    <w:rsid w:val="0D2B6E23"/>
    <w:rsid w:val="0D2D013D"/>
    <w:rsid w:val="0D3164CE"/>
    <w:rsid w:val="0D3308AA"/>
    <w:rsid w:val="0D390A19"/>
    <w:rsid w:val="0D3F35FB"/>
    <w:rsid w:val="0D466AF2"/>
    <w:rsid w:val="0D4E3194"/>
    <w:rsid w:val="0D4F6C6D"/>
    <w:rsid w:val="0D503833"/>
    <w:rsid w:val="0D523CD0"/>
    <w:rsid w:val="0D5C2BFC"/>
    <w:rsid w:val="0D5F1DB8"/>
    <w:rsid w:val="0D6B3DCD"/>
    <w:rsid w:val="0D797653"/>
    <w:rsid w:val="0D7F49BC"/>
    <w:rsid w:val="0D880D35"/>
    <w:rsid w:val="0D890710"/>
    <w:rsid w:val="0D8961A8"/>
    <w:rsid w:val="0D962B4E"/>
    <w:rsid w:val="0D991449"/>
    <w:rsid w:val="0D9E4C97"/>
    <w:rsid w:val="0DA3457A"/>
    <w:rsid w:val="0DA9796D"/>
    <w:rsid w:val="0DB54C63"/>
    <w:rsid w:val="0DB93302"/>
    <w:rsid w:val="0DBC2676"/>
    <w:rsid w:val="0DC26A26"/>
    <w:rsid w:val="0DC92D82"/>
    <w:rsid w:val="0DCB691B"/>
    <w:rsid w:val="0DD44F81"/>
    <w:rsid w:val="0DDA65C2"/>
    <w:rsid w:val="0DDC277F"/>
    <w:rsid w:val="0DE43C35"/>
    <w:rsid w:val="0DE61F58"/>
    <w:rsid w:val="0DEA290B"/>
    <w:rsid w:val="0DEB0907"/>
    <w:rsid w:val="0DED50B0"/>
    <w:rsid w:val="0DF0319E"/>
    <w:rsid w:val="0DF6742C"/>
    <w:rsid w:val="0DFF2BA0"/>
    <w:rsid w:val="0E0416B6"/>
    <w:rsid w:val="0E0715CE"/>
    <w:rsid w:val="0E12617F"/>
    <w:rsid w:val="0E1839DC"/>
    <w:rsid w:val="0E254F46"/>
    <w:rsid w:val="0E255215"/>
    <w:rsid w:val="0E290B1D"/>
    <w:rsid w:val="0E315EB8"/>
    <w:rsid w:val="0E3357B0"/>
    <w:rsid w:val="0E3A5A5B"/>
    <w:rsid w:val="0E3B241A"/>
    <w:rsid w:val="0E3C40CE"/>
    <w:rsid w:val="0E3C4F5B"/>
    <w:rsid w:val="0E3F01AA"/>
    <w:rsid w:val="0E3F7BA7"/>
    <w:rsid w:val="0E491CA2"/>
    <w:rsid w:val="0E4F721A"/>
    <w:rsid w:val="0E545FFB"/>
    <w:rsid w:val="0E5A0AFC"/>
    <w:rsid w:val="0E6605E7"/>
    <w:rsid w:val="0E665558"/>
    <w:rsid w:val="0E7570FB"/>
    <w:rsid w:val="0E757730"/>
    <w:rsid w:val="0E7A6FA3"/>
    <w:rsid w:val="0E7F3813"/>
    <w:rsid w:val="0E88686E"/>
    <w:rsid w:val="0E8D1C1B"/>
    <w:rsid w:val="0E9443E1"/>
    <w:rsid w:val="0E9A2214"/>
    <w:rsid w:val="0E9F170D"/>
    <w:rsid w:val="0E9F5CC4"/>
    <w:rsid w:val="0EA86F53"/>
    <w:rsid w:val="0EA90AB5"/>
    <w:rsid w:val="0EA9136B"/>
    <w:rsid w:val="0EA93BCF"/>
    <w:rsid w:val="0EAB2F8B"/>
    <w:rsid w:val="0EAF2F8C"/>
    <w:rsid w:val="0ED17552"/>
    <w:rsid w:val="0ED23839"/>
    <w:rsid w:val="0ED27100"/>
    <w:rsid w:val="0ED67394"/>
    <w:rsid w:val="0ED71077"/>
    <w:rsid w:val="0EE73B5D"/>
    <w:rsid w:val="0EE7645C"/>
    <w:rsid w:val="0EE95E02"/>
    <w:rsid w:val="0EEC5F43"/>
    <w:rsid w:val="0EF173EB"/>
    <w:rsid w:val="0EFD62BC"/>
    <w:rsid w:val="0F0F3E14"/>
    <w:rsid w:val="0F1070EC"/>
    <w:rsid w:val="0F12297A"/>
    <w:rsid w:val="0F174ABB"/>
    <w:rsid w:val="0F1B65D3"/>
    <w:rsid w:val="0F223329"/>
    <w:rsid w:val="0F240AC9"/>
    <w:rsid w:val="0F295A94"/>
    <w:rsid w:val="0F2A6864"/>
    <w:rsid w:val="0F2D5BF1"/>
    <w:rsid w:val="0F2F20A9"/>
    <w:rsid w:val="0F3033D7"/>
    <w:rsid w:val="0F323F25"/>
    <w:rsid w:val="0F3F4E82"/>
    <w:rsid w:val="0F404281"/>
    <w:rsid w:val="0F436C48"/>
    <w:rsid w:val="0F533F88"/>
    <w:rsid w:val="0F5630E3"/>
    <w:rsid w:val="0F5C5516"/>
    <w:rsid w:val="0F683FF2"/>
    <w:rsid w:val="0F760B73"/>
    <w:rsid w:val="0F767D31"/>
    <w:rsid w:val="0F7D45EE"/>
    <w:rsid w:val="0F802DEE"/>
    <w:rsid w:val="0F826E58"/>
    <w:rsid w:val="0F851539"/>
    <w:rsid w:val="0F86442D"/>
    <w:rsid w:val="0F873889"/>
    <w:rsid w:val="0F8E6F6E"/>
    <w:rsid w:val="0FA42A46"/>
    <w:rsid w:val="0FAA151B"/>
    <w:rsid w:val="0FB710AB"/>
    <w:rsid w:val="0FB90F6A"/>
    <w:rsid w:val="0FBB66B8"/>
    <w:rsid w:val="0FBC1B2E"/>
    <w:rsid w:val="0FC71398"/>
    <w:rsid w:val="0FC85F3A"/>
    <w:rsid w:val="0FCA2281"/>
    <w:rsid w:val="0FD03AC6"/>
    <w:rsid w:val="0FD11999"/>
    <w:rsid w:val="0FD704A9"/>
    <w:rsid w:val="0FD821CC"/>
    <w:rsid w:val="0FE34B86"/>
    <w:rsid w:val="0FEB5B03"/>
    <w:rsid w:val="0FF01D25"/>
    <w:rsid w:val="0FF10533"/>
    <w:rsid w:val="0FF521B5"/>
    <w:rsid w:val="100045A7"/>
    <w:rsid w:val="1006599B"/>
    <w:rsid w:val="100E4DA5"/>
    <w:rsid w:val="101444C3"/>
    <w:rsid w:val="101A2309"/>
    <w:rsid w:val="101D708D"/>
    <w:rsid w:val="101E7576"/>
    <w:rsid w:val="102462B7"/>
    <w:rsid w:val="102B3F68"/>
    <w:rsid w:val="102C6CFD"/>
    <w:rsid w:val="102F1FC8"/>
    <w:rsid w:val="1038421B"/>
    <w:rsid w:val="103B442D"/>
    <w:rsid w:val="104335D4"/>
    <w:rsid w:val="10434769"/>
    <w:rsid w:val="10446306"/>
    <w:rsid w:val="104D1C0A"/>
    <w:rsid w:val="105717F2"/>
    <w:rsid w:val="105735AA"/>
    <w:rsid w:val="105767F3"/>
    <w:rsid w:val="105D395A"/>
    <w:rsid w:val="1066378C"/>
    <w:rsid w:val="106A67DF"/>
    <w:rsid w:val="107601D8"/>
    <w:rsid w:val="107816D2"/>
    <w:rsid w:val="10782C06"/>
    <w:rsid w:val="10795F38"/>
    <w:rsid w:val="107D2B21"/>
    <w:rsid w:val="107F4040"/>
    <w:rsid w:val="10806285"/>
    <w:rsid w:val="10871C1A"/>
    <w:rsid w:val="108C2078"/>
    <w:rsid w:val="109D0AD9"/>
    <w:rsid w:val="10A93078"/>
    <w:rsid w:val="10AC5737"/>
    <w:rsid w:val="10AC5A7E"/>
    <w:rsid w:val="10B90CCC"/>
    <w:rsid w:val="10BA51B4"/>
    <w:rsid w:val="10BE4083"/>
    <w:rsid w:val="10C05308"/>
    <w:rsid w:val="10C453D8"/>
    <w:rsid w:val="10CF6AE4"/>
    <w:rsid w:val="10D26B50"/>
    <w:rsid w:val="10D4513A"/>
    <w:rsid w:val="10DB5502"/>
    <w:rsid w:val="10E02A45"/>
    <w:rsid w:val="10E160F0"/>
    <w:rsid w:val="10ED1115"/>
    <w:rsid w:val="10F37A21"/>
    <w:rsid w:val="11017985"/>
    <w:rsid w:val="110840FB"/>
    <w:rsid w:val="11091118"/>
    <w:rsid w:val="110A2ADC"/>
    <w:rsid w:val="110D5C2B"/>
    <w:rsid w:val="11100AF1"/>
    <w:rsid w:val="11202208"/>
    <w:rsid w:val="1120462D"/>
    <w:rsid w:val="11215729"/>
    <w:rsid w:val="11253B95"/>
    <w:rsid w:val="11297363"/>
    <w:rsid w:val="11311916"/>
    <w:rsid w:val="11482BA0"/>
    <w:rsid w:val="114F660E"/>
    <w:rsid w:val="11554CCD"/>
    <w:rsid w:val="11566AFD"/>
    <w:rsid w:val="115F7DFA"/>
    <w:rsid w:val="11635896"/>
    <w:rsid w:val="11642B8A"/>
    <w:rsid w:val="116F6160"/>
    <w:rsid w:val="11776BC6"/>
    <w:rsid w:val="117D41DD"/>
    <w:rsid w:val="1180705D"/>
    <w:rsid w:val="118720FE"/>
    <w:rsid w:val="118B0651"/>
    <w:rsid w:val="118B0830"/>
    <w:rsid w:val="119F4EF0"/>
    <w:rsid w:val="11A44C32"/>
    <w:rsid w:val="11A4650C"/>
    <w:rsid w:val="11AD20ED"/>
    <w:rsid w:val="11BB0854"/>
    <w:rsid w:val="11C60488"/>
    <w:rsid w:val="11C6063C"/>
    <w:rsid w:val="11D87A62"/>
    <w:rsid w:val="11DC0691"/>
    <w:rsid w:val="11ED5815"/>
    <w:rsid w:val="11EE0A5E"/>
    <w:rsid w:val="11F954C1"/>
    <w:rsid w:val="11FB4F1D"/>
    <w:rsid w:val="11FE471E"/>
    <w:rsid w:val="12012A40"/>
    <w:rsid w:val="120170AE"/>
    <w:rsid w:val="120243F0"/>
    <w:rsid w:val="12044008"/>
    <w:rsid w:val="120858BA"/>
    <w:rsid w:val="120B4A60"/>
    <w:rsid w:val="12196EAC"/>
    <w:rsid w:val="121D74FC"/>
    <w:rsid w:val="1228585E"/>
    <w:rsid w:val="122B0FF7"/>
    <w:rsid w:val="122C4963"/>
    <w:rsid w:val="123A05F7"/>
    <w:rsid w:val="12477D5B"/>
    <w:rsid w:val="124A1DEA"/>
    <w:rsid w:val="12574B21"/>
    <w:rsid w:val="125D1443"/>
    <w:rsid w:val="125F74FA"/>
    <w:rsid w:val="12614823"/>
    <w:rsid w:val="12631EA2"/>
    <w:rsid w:val="12642946"/>
    <w:rsid w:val="12696471"/>
    <w:rsid w:val="126A2583"/>
    <w:rsid w:val="126F5053"/>
    <w:rsid w:val="126F6FEB"/>
    <w:rsid w:val="127122B9"/>
    <w:rsid w:val="127456BA"/>
    <w:rsid w:val="12764950"/>
    <w:rsid w:val="12790EA0"/>
    <w:rsid w:val="128161C3"/>
    <w:rsid w:val="12841940"/>
    <w:rsid w:val="128D4B86"/>
    <w:rsid w:val="129477F0"/>
    <w:rsid w:val="12961293"/>
    <w:rsid w:val="129F5535"/>
    <w:rsid w:val="12A303A3"/>
    <w:rsid w:val="12A31E41"/>
    <w:rsid w:val="12A5742A"/>
    <w:rsid w:val="12AB0B74"/>
    <w:rsid w:val="12B00893"/>
    <w:rsid w:val="12B278BA"/>
    <w:rsid w:val="12B43134"/>
    <w:rsid w:val="12B90257"/>
    <w:rsid w:val="12BE283D"/>
    <w:rsid w:val="12BE6F52"/>
    <w:rsid w:val="12C24CA9"/>
    <w:rsid w:val="12D311E6"/>
    <w:rsid w:val="12D34981"/>
    <w:rsid w:val="12EA01B4"/>
    <w:rsid w:val="12F73669"/>
    <w:rsid w:val="12FF6015"/>
    <w:rsid w:val="130478F4"/>
    <w:rsid w:val="1305119A"/>
    <w:rsid w:val="130A39C0"/>
    <w:rsid w:val="13104C7F"/>
    <w:rsid w:val="13133A94"/>
    <w:rsid w:val="131B6812"/>
    <w:rsid w:val="131F6A5D"/>
    <w:rsid w:val="132135FA"/>
    <w:rsid w:val="13256CA3"/>
    <w:rsid w:val="13323677"/>
    <w:rsid w:val="13343BEC"/>
    <w:rsid w:val="1336130F"/>
    <w:rsid w:val="13393C3F"/>
    <w:rsid w:val="133D58DF"/>
    <w:rsid w:val="13470E6B"/>
    <w:rsid w:val="134B5EF6"/>
    <w:rsid w:val="134D351A"/>
    <w:rsid w:val="13632603"/>
    <w:rsid w:val="136551ED"/>
    <w:rsid w:val="1366276C"/>
    <w:rsid w:val="136A0F15"/>
    <w:rsid w:val="136C3C71"/>
    <w:rsid w:val="136F7D8D"/>
    <w:rsid w:val="13861684"/>
    <w:rsid w:val="13870DFE"/>
    <w:rsid w:val="13917A70"/>
    <w:rsid w:val="13982F1A"/>
    <w:rsid w:val="139F41DF"/>
    <w:rsid w:val="13A1271C"/>
    <w:rsid w:val="13AF0D8A"/>
    <w:rsid w:val="13B17E98"/>
    <w:rsid w:val="13C24401"/>
    <w:rsid w:val="13CD0A0C"/>
    <w:rsid w:val="13CF02BE"/>
    <w:rsid w:val="13D07F47"/>
    <w:rsid w:val="13D72E8C"/>
    <w:rsid w:val="13DA1B31"/>
    <w:rsid w:val="13DE096A"/>
    <w:rsid w:val="13ED50E9"/>
    <w:rsid w:val="13F01A93"/>
    <w:rsid w:val="14050F23"/>
    <w:rsid w:val="140B568F"/>
    <w:rsid w:val="14183C58"/>
    <w:rsid w:val="14231601"/>
    <w:rsid w:val="142400FA"/>
    <w:rsid w:val="142B546D"/>
    <w:rsid w:val="14347BB3"/>
    <w:rsid w:val="14350660"/>
    <w:rsid w:val="143611D4"/>
    <w:rsid w:val="14395279"/>
    <w:rsid w:val="14396453"/>
    <w:rsid w:val="143A1921"/>
    <w:rsid w:val="144070B2"/>
    <w:rsid w:val="14463250"/>
    <w:rsid w:val="14475DFE"/>
    <w:rsid w:val="144812CC"/>
    <w:rsid w:val="1448147C"/>
    <w:rsid w:val="1448480E"/>
    <w:rsid w:val="14490312"/>
    <w:rsid w:val="1449185C"/>
    <w:rsid w:val="144B2BF8"/>
    <w:rsid w:val="144E5C18"/>
    <w:rsid w:val="14535567"/>
    <w:rsid w:val="14537345"/>
    <w:rsid w:val="14596CD8"/>
    <w:rsid w:val="145D3558"/>
    <w:rsid w:val="145F69D9"/>
    <w:rsid w:val="147407D5"/>
    <w:rsid w:val="147759EB"/>
    <w:rsid w:val="147C0753"/>
    <w:rsid w:val="147E3245"/>
    <w:rsid w:val="14866413"/>
    <w:rsid w:val="148A21A6"/>
    <w:rsid w:val="148C3C71"/>
    <w:rsid w:val="14966180"/>
    <w:rsid w:val="149A5E31"/>
    <w:rsid w:val="149E1361"/>
    <w:rsid w:val="14A01024"/>
    <w:rsid w:val="14A328AE"/>
    <w:rsid w:val="14A51851"/>
    <w:rsid w:val="14A7654C"/>
    <w:rsid w:val="14AC4E97"/>
    <w:rsid w:val="14B34DA5"/>
    <w:rsid w:val="14C1274E"/>
    <w:rsid w:val="14CB05D1"/>
    <w:rsid w:val="14D448FD"/>
    <w:rsid w:val="14D57C0B"/>
    <w:rsid w:val="14E149B7"/>
    <w:rsid w:val="14F40CE0"/>
    <w:rsid w:val="14FD2701"/>
    <w:rsid w:val="15027BCD"/>
    <w:rsid w:val="15036AE4"/>
    <w:rsid w:val="150904B3"/>
    <w:rsid w:val="150B5B6C"/>
    <w:rsid w:val="1511191E"/>
    <w:rsid w:val="1517589E"/>
    <w:rsid w:val="151A0CA0"/>
    <w:rsid w:val="152C78A0"/>
    <w:rsid w:val="15320679"/>
    <w:rsid w:val="15391667"/>
    <w:rsid w:val="153B56CA"/>
    <w:rsid w:val="15616C75"/>
    <w:rsid w:val="1569459B"/>
    <w:rsid w:val="156C6768"/>
    <w:rsid w:val="156C6BAC"/>
    <w:rsid w:val="157178C8"/>
    <w:rsid w:val="15724956"/>
    <w:rsid w:val="15741091"/>
    <w:rsid w:val="15746B0D"/>
    <w:rsid w:val="15765D9F"/>
    <w:rsid w:val="15773DB2"/>
    <w:rsid w:val="157837C9"/>
    <w:rsid w:val="157878CB"/>
    <w:rsid w:val="15812F33"/>
    <w:rsid w:val="158821A4"/>
    <w:rsid w:val="15997043"/>
    <w:rsid w:val="159B2D0C"/>
    <w:rsid w:val="159D3C53"/>
    <w:rsid w:val="15A8319A"/>
    <w:rsid w:val="15AC0831"/>
    <w:rsid w:val="15AD5929"/>
    <w:rsid w:val="15B44F6C"/>
    <w:rsid w:val="15B56669"/>
    <w:rsid w:val="15BA7CA0"/>
    <w:rsid w:val="15DD5FD9"/>
    <w:rsid w:val="15EC3433"/>
    <w:rsid w:val="15EE6AE5"/>
    <w:rsid w:val="15F232D7"/>
    <w:rsid w:val="15FA5C16"/>
    <w:rsid w:val="15FF6A48"/>
    <w:rsid w:val="16007C8C"/>
    <w:rsid w:val="160F2763"/>
    <w:rsid w:val="1613330D"/>
    <w:rsid w:val="161B4F89"/>
    <w:rsid w:val="161D6B12"/>
    <w:rsid w:val="16236281"/>
    <w:rsid w:val="16247F13"/>
    <w:rsid w:val="1627724B"/>
    <w:rsid w:val="16282084"/>
    <w:rsid w:val="16293F29"/>
    <w:rsid w:val="162B1199"/>
    <w:rsid w:val="16324F4D"/>
    <w:rsid w:val="163C77FE"/>
    <w:rsid w:val="163D5DD4"/>
    <w:rsid w:val="16416974"/>
    <w:rsid w:val="165D0212"/>
    <w:rsid w:val="165E5E10"/>
    <w:rsid w:val="166014EB"/>
    <w:rsid w:val="16602AA7"/>
    <w:rsid w:val="166305B8"/>
    <w:rsid w:val="1666502B"/>
    <w:rsid w:val="166D2DDD"/>
    <w:rsid w:val="167116FA"/>
    <w:rsid w:val="16723CC9"/>
    <w:rsid w:val="167A2C4F"/>
    <w:rsid w:val="16894713"/>
    <w:rsid w:val="168D3A95"/>
    <w:rsid w:val="168E2F8D"/>
    <w:rsid w:val="1693724A"/>
    <w:rsid w:val="169528A3"/>
    <w:rsid w:val="16A815FB"/>
    <w:rsid w:val="16AD0765"/>
    <w:rsid w:val="16B13BE8"/>
    <w:rsid w:val="16B17E50"/>
    <w:rsid w:val="16B53D9B"/>
    <w:rsid w:val="16B73F66"/>
    <w:rsid w:val="16B963D5"/>
    <w:rsid w:val="16BE0593"/>
    <w:rsid w:val="16C8045F"/>
    <w:rsid w:val="16CD105B"/>
    <w:rsid w:val="16CD688B"/>
    <w:rsid w:val="16CE5D4C"/>
    <w:rsid w:val="16D0434A"/>
    <w:rsid w:val="16D201DF"/>
    <w:rsid w:val="16D556A3"/>
    <w:rsid w:val="16D979FA"/>
    <w:rsid w:val="16DF5319"/>
    <w:rsid w:val="16E00D0B"/>
    <w:rsid w:val="16E219C5"/>
    <w:rsid w:val="16E65072"/>
    <w:rsid w:val="16EC7FD4"/>
    <w:rsid w:val="16ED571D"/>
    <w:rsid w:val="16EF7DD7"/>
    <w:rsid w:val="16F451E3"/>
    <w:rsid w:val="16FA3A68"/>
    <w:rsid w:val="16FB4923"/>
    <w:rsid w:val="16FF7336"/>
    <w:rsid w:val="17062529"/>
    <w:rsid w:val="170D4E06"/>
    <w:rsid w:val="17176426"/>
    <w:rsid w:val="17186352"/>
    <w:rsid w:val="1719508A"/>
    <w:rsid w:val="171B61A8"/>
    <w:rsid w:val="17222730"/>
    <w:rsid w:val="172E50AA"/>
    <w:rsid w:val="172F2EDA"/>
    <w:rsid w:val="173429F4"/>
    <w:rsid w:val="1736527E"/>
    <w:rsid w:val="17444FA1"/>
    <w:rsid w:val="17463DED"/>
    <w:rsid w:val="174914BD"/>
    <w:rsid w:val="174F15CA"/>
    <w:rsid w:val="17564244"/>
    <w:rsid w:val="176965FD"/>
    <w:rsid w:val="176B7EAB"/>
    <w:rsid w:val="176E7DF7"/>
    <w:rsid w:val="176F756B"/>
    <w:rsid w:val="17721812"/>
    <w:rsid w:val="17850CC2"/>
    <w:rsid w:val="178E400C"/>
    <w:rsid w:val="17A91C4F"/>
    <w:rsid w:val="17AA65C4"/>
    <w:rsid w:val="17AC0E17"/>
    <w:rsid w:val="17B21F42"/>
    <w:rsid w:val="17B26FBE"/>
    <w:rsid w:val="17B32BAF"/>
    <w:rsid w:val="17B633B7"/>
    <w:rsid w:val="17B84FFC"/>
    <w:rsid w:val="17C03116"/>
    <w:rsid w:val="17C65487"/>
    <w:rsid w:val="17C86E23"/>
    <w:rsid w:val="17C9456A"/>
    <w:rsid w:val="17CA1219"/>
    <w:rsid w:val="17CA71A7"/>
    <w:rsid w:val="17D04728"/>
    <w:rsid w:val="17D93DCF"/>
    <w:rsid w:val="17DD06CE"/>
    <w:rsid w:val="17E7171E"/>
    <w:rsid w:val="17EE169A"/>
    <w:rsid w:val="17F16F6E"/>
    <w:rsid w:val="17F41C0C"/>
    <w:rsid w:val="17F52719"/>
    <w:rsid w:val="17F810EE"/>
    <w:rsid w:val="180E11D8"/>
    <w:rsid w:val="18105484"/>
    <w:rsid w:val="1813779C"/>
    <w:rsid w:val="181825B4"/>
    <w:rsid w:val="1819563F"/>
    <w:rsid w:val="18235C6B"/>
    <w:rsid w:val="18281736"/>
    <w:rsid w:val="182D229C"/>
    <w:rsid w:val="1838112D"/>
    <w:rsid w:val="18387C89"/>
    <w:rsid w:val="183C25A0"/>
    <w:rsid w:val="18471A0B"/>
    <w:rsid w:val="185E742F"/>
    <w:rsid w:val="186026FF"/>
    <w:rsid w:val="18780405"/>
    <w:rsid w:val="187D0376"/>
    <w:rsid w:val="188237DE"/>
    <w:rsid w:val="18831E58"/>
    <w:rsid w:val="18844C3D"/>
    <w:rsid w:val="18852CBB"/>
    <w:rsid w:val="18864C8D"/>
    <w:rsid w:val="188A1049"/>
    <w:rsid w:val="188E41D5"/>
    <w:rsid w:val="18933347"/>
    <w:rsid w:val="1897358C"/>
    <w:rsid w:val="18A00C12"/>
    <w:rsid w:val="18A33890"/>
    <w:rsid w:val="18A45F01"/>
    <w:rsid w:val="18B16E1F"/>
    <w:rsid w:val="18B239BD"/>
    <w:rsid w:val="18C33431"/>
    <w:rsid w:val="18C617BA"/>
    <w:rsid w:val="18CB5041"/>
    <w:rsid w:val="18D96CAF"/>
    <w:rsid w:val="18DC2F29"/>
    <w:rsid w:val="18E31340"/>
    <w:rsid w:val="18E920DC"/>
    <w:rsid w:val="18EA1B99"/>
    <w:rsid w:val="18EF0B66"/>
    <w:rsid w:val="18F05C6D"/>
    <w:rsid w:val="18FA6774"/>
    <w:rsid w:val="19054738"/>
    <w:rsid w:val="191269AC"/>
    <w:rsid w:val="191A74E8"/>
    <w:rsid w:val="191D0A20"/>
    <w:rsid w:val="1920027C"/>
    <w:rsid w:val="1921114F"/>
    <w:rsid w:val="192206A0"/>
    <w:rsid w:val="1925277E"/>
    <w:rsid w:val="192A617F"/>
    <w:rsid w:val="192B2ADF"/>
    <w:rsid w:val="192C6C57"/>
    <w:rsid w:val="193240F8"/>
    <w:rsid w:val="19382518"/>
    <w:rsid w:val="19387A6C"/>
    <w:rsid w:val="193F21B2"/>
    <w:rsid w:val="19493A6D"/>
    <w:rsid w:val="194B4FE8"/>
    <w:rsid w:val="194F53B8"/>
    <w:rsid w:val="19646CDA"/>
    <w:rsid w:val="19665494"/>
    <w:rsid w:val="19680D31"/>
    <w:rsid w:val="196D18D5"/>
    <w:rsid w:val="19783B41"/>
    <w:rsid w:val="198103D2"/>
    <w:rsid w:val="198501BA"/>
    <w:rsid w:val="19861869"/>
    <w:rsid w:val="1989445E"/>
    <w:rsid w:val="198A2770"/>
    <w:rsid w:val="198B6EA4"/>
    <w:rsid w:val="19916346"/>
    <w:rsid w:val="199E3C44"/>
    <w:rsid w:val="199F6AFD"/>
    <w:rsid w:val="19A7074E"/>
    <w:rsid w:val="19AB77D7"/>
    <w:rsid w:val="19AF1D91"/>
    <w:rsid w:val="19B32959"/>
    <w:rsid w:val="19BA306B"/>
    <w:rsid w:val="19C12025"/>
    <w:rsid w:val="19C65B55"/>
    <w:rsid w:val="19C946EC"/>
    <w:rsid w:val="19D47A83"/>
    <w:rsid w:val="19DD0061"/>
    <w:rsid w:val="19EB7969"/>
    <w:rsid w:val="19EE6C39"/>
    <w:rsid w:val="19F01FB8"/>
    <w:rsid w:val="19F97A91"/>
    <w:rsid w:val="19FE6028"/>
    <w:rsid w:val="1A011985"/>
    <w:rsid w:val="1A01768D"/>
    <w:rsid w:val="1A05243C"/>
    <w:rsid w:val="1A056BDC"/>
    <w:rsid w:val="1A151742"/>
    <w:rsid w:val="1A170E51"/>
    <w:rsid w:val="1A180FEE"/>
    <w:rsid w:val="1A1B150F"/>
    <w:rsid w:val="1A1F6780"/>
    <w:rsid w:val="1A1F7647"/>
    <w:rsid w:val="1A203ED8"/>
    <w:rsid w:val="1A2A0B4C"/>
    <w:rsid w:val="1A2D6F85"/>
    <w:rsid w:val="1A3149FF"/>
    <w:rsid w:val="1A33420C"/>
    <w:rsid w:val="1A3B6FC4"/>
    <w:rsid w:val="1A3D66AC"/>
    <w:rsid w:val="1A442D35"/>
    <w:rsid w:val="1A4F0204"/>
    <w:rsid w:val="1A5D4D89"/>
    <w:rsid w:val="1A5E3DF3"/>
    <w:rsid w:val="1A6448D6"/>
    <w:rsid w:val="1A6E62CE"/>
    <w:rsid w:val="1A76173E"/>
    <w:rsid w:val="1A766F4F"/>
    <w:rsid w:val="1A806C89"/>
    <w:rsid w:val="1A82353D"/>
    <w:rsid w:val="1A8C7C2A"/>
    <w:rsid w:val="1A917D1D"/>
    <w:rsid w:val="1A972E53"/>
    <w:rsid w:val="1A9A410A"/>
    <w:rsid w:val="1A9E0A22"/>
    <w:rsid w:val="1A9E2A4D"/>
    <w:rsid w:val="1A9E2AA9"/>
    <w:rsid w:val="1AA02577"/>
    <w:rsid w:val="1AAE13DC"/>
    <w:rsid w:val="1AB1676C"/>
    <w:rsid w:val="1AB37406"/>
    <w:rsid w:val="1ABB5588"/>
    <w:rsid w:val="1ABC6449"/>
    <w:rsid w:val="1ABC6D63"/>
    <w:rsid w:val="1AC308F0"/>
    <w:rsid w:val="1AC521C7"/>
    <w:rsid w:val="1AC76228"/>
    <w:rsid w:val="1ACD0F09"/>
    <w:rsid w:val="1ADA2AE2"/>
    <w:rsid w:val="1AE057D7"/>
    <w:rsid w:val="1AE05F67"/>
    <w:rsid w:val="1AE46471"/>
    <w:rsid w:val="1AEC1BBD"/>
    <w:rsid w:val="1AEC7AD5"/>
    <w:rsid w:val="1AF45839"/>
    <w:rsid w:val="1AF541C1"/>
    <w:rsid w:val="1AF7052B"/>
    <w:rsid w:val="1AF8154E"/>
    <w:rsid w:val="1AFD68B3"/>
    <w:rsid w:val="1AFE7310"/>
    <w:rsid w:val="1B121059"/>
    <w:rsid w:val="1B1F17FA"/>
    <w:rsid w:val="1B22202B"/>
    <w:rsid w:val="1B2552E7"/>
    <w:rsid w:val="1B294B0D"/>
    <w:rsid w:val="1B2B061B"/>
    <w:rsid w:val="1B2C0B80"/>
    <w:rsid w:val="1B393F95"/>
    <w:rsid w:val="1B4B3DAB"/>
    <w:rsid w:val="1B574177"/>
    <w:rsid w:val="1B5A56AD"/>
    <w:rsid w:val="1B5B66B3"/>
    <w:rsid w:val="1B5D21AF"/>
    <w:rsid w:val="1B6E2321"/>
    <w:rsid w:val="1B6F0608"/>
    <w:rsid w:val="1B7C5349"/>
    <w:rsid w:val="1B812958"/>
    <w:rsid w:val="1B87688B"/>
    <w:rsid w:val="1B905E24"/>
    <w:rsid w:val="1B983124"/>
    <w:rsid w:val="1BA10933"/>
    <w:rsid w:val="1BA24E8A"/>
    <w:rsid w:val="1BA539C8"/>
    <w:rsid w:val="1BA977D2"/>
    <w:rsid w:val="1BAB29BF"/>
    <w:rsid w:val="1BAC5CD3"/>
    <w:rsid w:val="1BAF38A2"/>
    <w:rsid w:val="1BB42FD3"/>
    <w:rsid w:val="1BBE76AA"/>
    <w:rsid w:val="1BC9183A"/>
    <w:rsid w:val="1BD06A80"/>
    <w:rsid w:val="1BD519E3"/>
    <w:rsid w:val="1BD5323D"/>
    <w:rsid w:val="1BD60ECB"/>
    <w:rsid w:val="1BDC0C64"/>
    <w:rsid w:val="1BE47A72"/>
    <w:rsid w:val="1BE52A63"/>
    <w:rsid w:val="1BE543AC"/>
    <w:rsid w:val="1BF41A74"/>
    <w:rsid w:val="1BF5744A"/>
    <w:rsid w:val="1C0C7F6E"/>
    <w:rsid w:val="1C103447"/>
    <w:rsid w:val="1C155779"/>
    <w:rsid w:val="1C2755F1"/>
    <w:rsid w:val="1C2B43BB"/>
    <w:rsid w:val="1C2D1E3D"/>
    <w:rsid w:val="1C2F5BE4"/>
    <w:rsid w:val="1C333252"/>
    <w:rsid w:val="1C3D257D"/>
    <w:rsid w:val="1C3F4DB8"/>
    <w:rsid w:val="1C440919"/>
    <w:rsid w:val="1C51631C"/>
    <w:rsid w:val="1C550885"/>
    <w:rsid w:val="1C676FD5"/>
    <w:rsid w:val="1C686DC8"/>
    <w:rsid w:val="1C6E50B5"/>
    <w:rsid w:val="1C72646C"/>
    <w:rsid w:val="1C7304FF"/>
    <w:rsid w:val="1C7420E5"/>
    <w:rsid w:val="1C766CE8"/>
    <w:rsid w:val="1C7878A5"/>
    <w:rsid w:val="1C794005"/>
    <w:rsid w:val="1C7A66DD"/>
    <w:rsid w:val="1C833CC0"/>
    <w:rsid w:val="1C8569DD"/>
    <w:rsid w:val="1C881374"/>
    <w:rsid w:val="1C8A2C0E"/>
    <w:rsid w:val="1C943195"/>
    <w:rsid w:val="1C9B28CE"/>
    <w:rsid w:val="1C9B51A4"/>
    <w:rsid w:val="1C9D6D94"/>
    <w:rsid w:val="1CAC68E5"/>
    <w:rsid w:val="1CB4531D"/>
    <w:rsid w:val="1CC41222"/>
    <w:rsid w:val="1CC96E51"/>
    <w:rsid w:val="1CDF5016"/>
    <w:rsid w:val="1CE022C9"/>
    <w:rsid w:val="1CE10B14"/>
    <w:rsid w:val="1CE60224"/>
    <w:rsid w:val="1CEA2740"/>
    <w:rsid w:val="1CF364BD"/>
    <w:rsid w:val="1D004FE4"/>
    <w:rsid w:val="1D071E9D"/>
    <w:rsid w:val="1D155F8B"/>
    <w:rsid w:val="1D1D3133"/>
    <w:rsid w:val="1D275051"/>
    <w:rsid w:val="1D2C59FB"/>
    <w:rsid w:val="1D2C677E"/>
    <w:rsid w:val="1D345EF4"/>
    <w:rsid w:val="1D362FD7"/>
    <w:rsid w:val="1D3B086C"/>
    <w:rsid w:val="1D3D4F65"/>
    <w:rsid w:val="1D3D5093"/>
    <w:rsid w:val="1D425FAD"/>
    <w:rsid w:val="1D434246"/>
    <w:rsid w:val="1D445CD2"/>
    <w:rsid w:val="1D497703"/>
    <w:rsid w:val="1D4B61C2"/>
    <w:rsid w:val="1D5531B1"/>
    <w:rsid w:val="1D6669A3"/>
    <w:rsid w:val="1D727A27"/>
    <w:rsid w:val="1D75461A"/>
    <w:rsid w:val="1D77385B"/>
    <w:rsid w:val="1D796E2A"/>
    <w:rsid w:val="1D887AEF"/>
    <w:rsid w:val="1D8B3DF4"/>
    <w:rsid w:val="1D9C0651"/>
    <w:rsid w:val="1D9D1588"/>
    <w:rsid w:val="1D9E7CC9"/>
    <w:rsid w:val="1DB07DCD"/>
    <w:rsid w:val="1DB34324"/>
    <w:rsid w:val="1DB52E1B"/>
    <w:rsid w:val="1DBB1CD0"/>
    <w:rsid w:val="1DC0427B"/>
    <w:rsid w:val="1DC102DD"/>
    <w:rsid w:val="1DC37EE0"/>
    <w:rsid w:val="1DD23540"/>
    <w:rsid w:val="1DD23C09"/>
    <w:rsid w:val="1DD33580"/>
    <w:rsid w:val="1DE31116"/>
    <w:rsid w:val="1DE479C3"/>
    <w:rsid w:val="1DE61166"/>
    <w:rsid w:val="1DF57414"/>
    <w:rsid w:val="1DF87242"/>
    <w:rsid w:val="1E066F73"/>
    <w:rsid w:val="1E083493"/>
    <w:rsid w:val="1E13147C"/>
    <w:rsid w:val="1E1D6E01"/>
    <w:rsid w:val="1E285BA7"/>
    <w:rsid w:val="1E2C2275"/>
    <w:rsid w:val="1E2D0DE3"/>
    <w:rsid w:val="1E360608"/>
    <w:rsid w:val="1E380A9D"/>
    <w:rsid w:val="1E380DC4"/>
    <w:rsid w:val="1E4277D1"/>
    <w:rsid w:val="1E453937"/>
    <w:rsid w:val="1E4B0E88"/>
    <w:rsid w:val="1E531EC6"/>
    <w:rsid w:val="1E542202"/>
    <w:rsid w:val="1E567EE3"/>
    <w:rsid w:val="1E5B6B85"/>
    <w:rsid w:val="1E645D2C"/>
    <w:rsid w:val="1E6650C0"/>
    <w:rsid w:val="1E6D1CDF"/>
    <w:rsid w:val="1E74465D"/>
    <w:rsid w:val="1E762B44"/>
    <w:rsid w:val="1E783D1B"/>
    <w:rsid w:val="1E7E0D03"/>
    <w:rsid w:val="1E846DB3"/>
    <w:rsid w:val="1E871FB8"/>
    <w:rsid w:val="1E897D12"/>
    <w:rsid w:val="1E8B0C0B"/>
    <w:rsid w:val="1E954F65"/>
    <w:rsid w:val="1E956A53"/>
    <w:rsid w:val="1EA21512"/>
    <w:rsid w:val="1EA251B0"/>
    <w:rsid w:val="1EA472A7"/>
    <w:rsid w:val="1EA80001"/>
    <w:rsid w:val="1EA8696B"/>
    <w:rsid w:val="1EA928EF"/>
    <w:rsid w:val="1EAC594C"/>
    <w:rsid w:val="1EAE5957"/>
    <w:rsid w:val="1EB2039F"/>
    <w:rsid w:val="1EB33E7D"/>
    <w:rsid w:val="1EB85B3B"/>
    <w:rsid w:val="1EBA7DA2"/>
    <w:rsid w:val="1EC273C5"/>
    <w:rsid w:val="1EC81F49"/>
    <w:rsid w:val="1EC9123F"/>
    <w:rsid w:val="1ECF6755"/>
    <w:rsid w:val="1EE464A1"/>
    <w:rsid w:val="1EF21D5C"/>
    <w:rsid w:val="1EF2400F"/>
    <w:rsid w:val="1EF54784"/>
    <w:rsid w:val="1EFA2CB9"/>
    <w:rsid w:val="1EFE5458"/>
    <w:rsid w:val="1F023BAC"/>
    <w:rsid w:val="1F025C18"/>
    <w:rsid w:val="1F097A34"/>
    <w:rsid w:val="1F0A20F3"/>
    <w:rsid w:val="1F0F42F3"/>
    <w:rsid w:val="1F0F4486"/>
    <w:rsid w:val="1F13648B"/>
    <w:rsid w:val="1F14002A"/>
    <w:rsid w:val="1F17233F"/>
    <w:rsid w:val="1F212D08"/>
    <w:rsid w:val="1F2142BC"/>
    <w:rsid w:val="1F216EDC"/>
    <w:rsid w:val="1F293E7A"/>
    <w:rsid w:val="1F2E1E64"/>
    <w:rsid w:val="1F2E69F9"/>
    <w:rsid w:val="1F322512"/>
    <w:rsid w:val="1F404931"/>
    <w:rsid w:val="1F4B20B0"/>
    <w:rsid w:val="1F4D193F"/>
    <w:rsid w:val="1F593669"/>
    <w:rsid w:val="1F5E319B"/>
    <w:rsid w:val="1F6743A3"/>
    <w:rsid w:val="1F714127"/>
    <w:rsid w:val="1F7A3868"/>
    <w:rsid w:val="1F7B19C0"/>
    <w:rsid w:val="1F7D2571"/>
    <w:rsid w:val="1F830959"/>
    <w:rsid w:val="1F853788"/>
    <w:rsid w:val="1F8A21A5"/>
    <w:rsid w:val="1F902F39"/>
    <w:rsid w:val="1F964792"/>
    <w:rsid w:val="1FB37BA5"/>
    <w:rsid w:val="1FB53D5B"/>
    <w:rsid w:val="1FB60724"/>
    <w:rsid w:val="1FBC2429"/>
    <w:rsid w:val="1FC2439C"/>
    <w:rsid w:val="1FC366A3"/>
    <w:rsid w:val="1FC86F57"/>
    <w:rsid w:val="1FC9254F"/>
    <w:rsid w:val="1FCD3D97"/>
    <w:rsid w:val="1FD21E40"/>
    <w:rsid w:val="1FD250DD"/>
    <w:rsid w:val="1FDD2160"/>
    <w:rsid w:val="1FE86290"/>
    <w:rsid w:val="1FEF2C4B"/>
    <w:rsid w:val="1FF0672D"/>
    <w:rsid w:val="1FF45C26"/>
    <w:rsid w:val="201448D4"/>
    <w:rsid w:val="20204EFE"/>
    <w:rsid w:val="202505B7"/>
    <w:rsid w:val="202867A8"/>
    <w:rsid w:val="202868E0"/>
    <w:rsid w:val="20385447"/>
    <w:rsid w:val="203862E8"/>
    <w:rsid w:val="203B49E6"/>
    <w:rsid w:val="20493286"/>
    <w:rsid w:val="204E6840"/>
    <w:rsid w:val="20590F71"/>
    <w:rsid w:val="206159FF"/>
    <w:rsid w:val="20621AD6"/>
    <w:rsid w:val="206E6E07"/>
    <w:rsid w:val="207158C1"/>
    <w:rsid w:val="20716163"/>
    <w:rsid w:val="20724420"/>
    <w:rsid w:val="20741F03"/>
    <w:rsid w:val="20893A41"/>
    <w:rsid w:val="208948BB"/>
    <w:rsid w:val="208A10CA"/>
    <w:rsid w:val="20921BC6"/>
    <w:rsid w:val="209646EC"/>
    <w:rsid w:val="209D6B56"/>
    <w:rsid w:val="20A65E9E"/>
    <w:rsid w:val="20A851D0"/>
    <w:rsid w:val="20A92FCF"/>
    <w:rsid w:val="20AA172E"/>
    <w:rsid w:val="20AD2431"/>
    <w:rsid w:val="20AF5B5B"/>
    <w:rsid w:val="20B2177B"/>
    <w:rsid w:val="20C222E0"/>
    <w:rsid w:val="20C37EA6"/>
    <w:rsid w:val="20C518A7"/>
    <w:rsid w:val="20C66C98"/>
    <w:rsid w:val="20C8226F"/>
    <w:rsid w:val="20C951B4"/>
    <w:rsid w:val="20CA5B21"/>
    <w:rsid w:val="20CF1624"/>
    <w:rsid w:val="20D21999"/>
    <w:rsid w:val="20D30C48"/>
    <w:rsid w:val="20D374E1"/>
    <w:rsid w:val="20DB7C05"/>
    <w:rsid w:val="20DE067B"/>
    <w:rsid w:val="20DF3649"/>
    <w:rsid w:val="20E26753"/>
    <w:rsid w:val="20EA6539"/>
    <w:rsid w:val="20ED5FE5"/>
    <w:rsid w:val="20EF6F98"/>
    <w:rsid w:val="20F825A2"/>
    <w:rsid w:val="20F909CC"/>
    <w:rsid w:val="20FC19F3"/>
    <w:rsid w:val="20FD0580"/>
    <w:rsid w:val="2108443A"/>
    <w:rsid w:val="211A24EB"/>
    <w:rsid w:val="211D1A7E"/>
    <w:rsid w:val="211F6D33"/>
    <w:rsid w:val="2124332F"/>
    <w:rsid w:val="21266EB0"/>
    <w:rsid w:val="21350A1A"/>
    <w:rsid w:val="213E5A42"/>
    <w:rsid w:val="21422B18"/>
    <w:rsid w:val="21456CF7"/>
    <w:rsid w:val="21575BFB"/>
    <w:rsid w:val="21623190"/>
    <w:rsid w:val="216B6C39"/>
    <w:rsid w:val="216F71CA"/>
    <w:rsid w:val="217029F9"/>
    <w:rsid w:val="217500B3"/>
    <w:rsid w:val="21797982"/>
    <w:rsid w:val="217B365C"/>
    <w:rsid w:val="2182211B"/>
    <w:rsid w:val="218A1A02"/>
    <w:rsid w:val="218C16D6"/>
    <w:rsid w:val="218D2E09"/>
    <w:rsid w:val="21950986"/>
    <w:rsid w:val="219D40F3"/>
    <w:rsid w:val="219F4F53"/>
    <w:rsid w:val="21AA14AD"/>
    <w:rsid w:val="21B25FEC"/>
    <w:rsid w:val="21C26BF6"/>
    <w:rsid w:val="21C3644F"/>
    <w:rsid w:val="21CC40E1"/>
    <w:rsid w:val="21D42C99"/>
    <w:rsid w:val="21D44C53"/>
    <w:rsid w:val="21D51796"/>
    <w:rsid w:val="21D64D19"/>
    <w:rsid w:val="21E363DE"/>
    <w:rsid w:val="21E50BA9"/>
    <w:rsid w:val="21E768BE"/>
    <w:rsid w:val="21E85FBB"/>
    <w:rsid w:val="21EE0841"/>
    <w:rsid w:val="21F07F79"/>
    <w:rsid w:val="21F264A0"/>
    <w:rsid w:val="21FD7D62"/>
    <w:rsid w:val="21FF387D"/>
    <w:rsid w:val="220F3377"/>
    <w:rsid w:val="220F5164"/>
    <w:rsid w:val="22195701"/>
    <w:rsid w:val="22195C4D"/>
    <w:rsid w:val="221C3DD4"/>
    <w:rsid w:val="22211FB3"/>
    <w:rsid w:val="222B2E8C"/>
    <w:rsid w:val="22373745"/>
    <w:rsid w:val="223D3C68"/>
    <w:rsid w:val="224B06F5"/>
    <w:rsid w:val="224E25C4"/>
    <w:rsid w:val="225D6B09"/>
    <w:rsid w:val="22610EDC"/>
    <w:rsid w:val="22623326"/>
    <w:rsid w:val="22650B96"/>
    <w:rsid w:val="22705BDF"/>
    <w:rsid w:val="22744A82"/>
    <w:rsid w:val="227534C5"/>
    <w:rsid w:val="227A5B3F"/>
    <w:rsid w:val="227C255F"/>
    <w:rsid w:val="22803372"/>
    <w:rsid w:val="228346B5"/>
    <w:rsid w:val="22861FDC"/>
    <w:rsid w:val="22884742"/>
    <w:rsid w:val="228A22DC"/>
    <w:rsid w:val="22920122"/>
    <w:rsid w:val="229D10DC"/>
    <w:rsid w:val="229D736F"/>
    <w:rsid w:val="22AA74FA"/>
    <w:rsid w:val="22AF0FE3"/>
    <w:rsid w:val="22BA1482"/>
    <w:rsid w:val="22BD6C6B"/>
    <w:rsid w:val="22C11CBD"/>
    <w:rsid w:val="22C62DF8"/>
    <w:rsid w:val="22D4180E"/>
    <w:rsid w:val="22D639A5"/>
    <w:rsid w:val="22D942BC"/>
    <w:rsid w:val="22DA3964"/>
    <w:rsid w:val="22E95A61"/>
    <w:rsid w:val="22F0401D"/>
    <w:rsid w:val="22F2045E"/>
    <w:rsid w:val="22F5157E"/>
    <w:rsid w:val="22F536D0"/>
    <w:rsid w:val="22F96457"/>
    <w:rsid w:val="22FF64B9"/>
    <w:rsid w:val="23053063"/>
    <w:rsid w:val="231255F4"/>
    <w:rsid w:val="23132E1B"/>
    <w:rsid w:val="231C7700"/>
    <w:rsid w:val="231D3CA9"/>
    <w:rsid w:val="231E23E9"/>
    <w:rsid w:val="23230B33"/>
    <w:rsid w:val="23243CFA"/>
    <w:rsid w:val="2324591E"/>
    <w:rsid w:val="23261F28"/>
    <w:rsid w:val="232C22C0"/>
    <w:rsid w:val="233C563F"/>
    <w:rsid w:val="233F37A2"/>
    <w:rsid w:val="233F6B85"/>
    <w:rsid w:val="23430FE6"/>
    <w:rsid w:val="2345458C"/>
    <w:rsid w:val="23460DD7"/>
    <w:rsid w:val="234C205A"/>
    <w:rsid w:val="234D7010"/>
    <w:rsid w:val="234F2C98"/>
    <w:rsid w:val="23543D45"/>
    <w:rsid w:val="2355610C"/>
    <w:rsid w:val="235D62DF"/>
    <w:rsid w:val="236C06F2"/>
    <w:rsid w:val="236C5380"/>
    <w:rsid w:val="23706D79"/>
    <w:rsid w:val="23715058"/>
    <w:rsid w:val="237266CA"/>
    <w:rsid w:val="23750528"/>
    <w:rsid w:val="2383480F"/>
    <w:rsid w:val="238810DA"/>
    <w:rsid w:val="23887CFE"/>
    <w:rsid w:val="239A6687"/>
    <w:rsid w:val="239B58B7"/>
    <w:rsid w:val="239F4FD4"/>
    <w:rsid w:val="23A15519"/>
    <w:rsid w:val="23A278F0"/>
    <w:rsid w:val="23A73BC4"/>
    <w:rsid w:val="23AC3464"/>
    <w:rsid w:val="23AE4383"/>
    <w:rsid w:val="23B34B6C"/>
    <w:rsid w:val="23BC4715"/>
    <w:rsid w:val="23BD65FB"/>
    <w:rsid w:val="23C20A6F"/>
    <w:rsid w:val="23C569C7"/>
    <w:rsid w:val="23C60D11"/>
    <w:rsid w:val="23CB1C56"/>
    <w:rsid w:val="23CD60C0"/>
    <w:rsid w:val="23D270FF"/>
    <w:rsid w:val="23D44515"/>
    <w:rsid w:val="23D64389"/>
    <w:rsid w:val="23DE7332"/>
    <w:rsid w:val="23E43AE5"/>
    <w:rsid w:val="23EB207D"/>
    <w:rsid w:val="23ED087A"/>
    <w:rsid w:val="23F300ED"/>
    <w:rsid w:val="240115A5"/>
    <w:rsid w:val="24093EC8"/>
    <w:rsid w:val="240C301F"/>
    <w:rsid w:val="24133504"/>
    <w:rsid w:val="241D106A"/>
    <w:rsid w:val="24260A58"/>
    <w:rsid w:val="24321F34"/>
    <w:rsid w:val="243430DC"/>
    <w:rsid w:val="243B4B39"/>
    <w:rsid w:val="24420070"/>
    <w:rsid w:val="244E04C1"/>
    <w:rsid w:val="24551FA3"/>
    <w:rsid w:val="2457561A"/>
    <w:rsid w:val="24576249"/>
    <w:rsid w:val="245F525A"/>
    <w:rsid w:val="246451E3"/>
    <w:rsid w:val="246F263C"/>
    <w:rsid w:val="247255C4"/>
    <w:rsid w:val="24727401"/>
    <w:rsid w:val="24733A4B"/>
    <w:rsid w:val="24777E90"/>
    <w:rsid w:val="248B3404"/>
    <w:rsid w:val="248C6B74"/>
    <w:rsid w:val="24965E99"/>
    <w:rsid w:val="24977939"/>
    <w:rsid w:val="24A44657"/>
    <w:rsid w:val="24A56E05"/>
    <w:rsid w:val="24AC0BBC"/>
    <w:rsid w:val="24B5369E"/>
    <w:rsid w:val="24B975B5"/>
    <w:rsid w:val="24C30D8B"/>
    <w:rsid w:val="24D04B28"/>
    <w:rsid w:val="24D65EB3"/>
    <w:rsid w:val="24DE3B8F"/>
    <w:rsid w:val="24EA1404"/>
    <w:rsid w:val="24EC02F7"/>
    <w:rsid w:val="24F03E4C"/>
    <w:rsid w:val="24F249CD"/>
    <w:rsid w:val="24FB1568"/>
    <w:rsid w:val="24FE5B44"/>
    <w:rsid w:val="250A0FCE"/>
    <w:rsid w:val="250B2C50"/>
    <w:rsid w:val="250C2DCE"/>
    <w:rsid w:val="25140C54"/>
    <w:rsid w:val="251935BB"/>
    <w:rsid w:val="251B6395"/>
    <w:rsid w:val="251D13BF"/>
    <w:rsid w:val="251D190B"/>
    <w:rsid w:val="252100EE"/>
    <w:rsid w:val="25215EC4"/>
    <w:rsid w:val="25227F9A"/>
    <w:rsid w:val="252B0C54"/>
    <w:rsid w:val="253C4AD0"/>
    <w:rsid w:val="253D4C95"/>
    <w:rsid w:val="253E01B8"/>
    <w:rsid w:val="253F49F4"/>
    <w:rsid w:val="25406C39"/>
    <w:rsid w:val="25442C20"/>
    <w:rsid w:val="25465E29"/>
    <w:rsid w:val="25486024"/>
    <w:rsid w:val="255B6D56"/>
    <w:rsid w:val="25620057"/>
    <w:rsid w:val="25627BC3"/>
    <w:rsid w:val="25655BAC"/>
    <w:rsid w:val="257A5D14"/>
    <w:rsid w:val="257F2C30"/>
    <w:rsid w:val="25814432"/>
    <w:rsid w:val="25876928"/>
    <w:rsid w:val="258F4D51"/>
    <w:rsid w:val="258F6A98"/>
    <w:rsid w:val="25942658"/>
    <w:rsid w:val="259A158A"/>
    <w:rsid w:val="259C3E83"/>
    <w:rsid w:val="259E4B69"/>
    <w:rsid w:val="25A000E9"/>
    <w:rsid w:val="25A96E19"/>
    <w:rsid w:val="25AE1896"/>
    <w:rsid w:val="25B17AA3"/>
    <w:rsid w:val="25BC28F6"/>
    <w:rsid w:val="25BD306D"/>
    <w:rsid w:val="25BF7B07"/>
    <w:rsid w:val="25C25ED3"/>
    <w:rsid w:val="25CA20D3"/>
    <w:rsid w:val="25CB4D26"/>
    <w:rsid w:val="25D34F70"/>
    <w:rsid w:val="25D83053"/>
    <w:rsid w:val="25E412F1"/>
    <w:rsid w:val="25F518E3"/>
    <w:rsid w:val="25FA5046"/>
    <w:rsid w:val="25FD6DCC"/>
    <w:rsid w:val="2602410A"/>
    <w:rsid w:val="26024EAF"/>
    <w:rsid w:val="26081222"/>
    <w:rsid w:val="2609391D"/>
    <w:rsid w:val="260A2D1F"/>
    <w:rsid w:val="260B3F9F"/>
    <w:rsid w:val="260B7806"/>
    <w:rsid w:val="260D7585"/>
    <w:rsid w:val="261121A2"/>
    <w:rsid w:val="261225F4"/>
    <w:rsid w:val="26291715"/>
    <w:rsid w:val="26347E8C"/>
    <w:rsid w:val="26354FAB"/>
    <w:rsid w:val="26404092"/>
    <w:rsid w:val="26406F95"/>
    <w:rsid w:val="26484000"/>
    <w:rsid w:val="264E7392"/>
    <w:rsid w:val="264F7DC7"/>
    <w:rsid w:val="2658169E"/>
    <w:rsid w:val="265F2C44"/>
    <w:rsid w:val="26616754"/>
    <w:rsid w:val="2664753C"/>
    <w:rsid w:val="26767C51"/>
    <w:rsid w:val="26776191"/>
    <w:rsid w:val="269A5CB2"/>
    <w:rsid w:val="269E5AD3"/>
    <w:rsid w:val="26A00110"/>
    <w:rsid w:val="26A10C57"/>
    <w:rsid w:val="26A2085A"/>
    <w:rsid w:val="26A320D0"/>
    <w:rsid w:val="26AA487A"/>
    <w:rsid w:val="26AB1A73"/>
    <w:rsid w:val="26AD2777"/>
    <w:rsid w:val="26B02472"/>
    <w:rsid w:val="26B05B73"/>
    <w:rsid w:val="26BB23E9"/>
    <w:rsid w:val="26CB652B"/>
    <w:rsid w:val="26CF5B07"/>
    <w:rsid w:val="26D12654"/>
    <w:rsid w:val="26D46ECE"/>
    <w:rsid w:val="26D62333"/>
    <w:rsid w:val="26D95162"/>
    <w:rsid w:val="26DB0976"/>
    <w:rsid w:val="26E8295E"/>
    <w:rsid w:val="26E8781A"/>
    <w:rsid w:val="26EE75BB"/>
    <w:rsid w:val="26F75C18"/>
    <w:rsid w:val="26F779C2"/>
    <w:rsid w:val="26FC0019"/>
    <w:rsid w:val="26FE4870"/>
    <w:rsid w:val="26FE717E"/>
    <w:rsid w:val="27091E3D"/>
    <w:rsid w:val="271923D2"/>
    <w:rsid w:val="27213411"/>
    <w:rsid w:val="27254412"/>
    <w:rsid w:val="272757B2"/>
    <w:rsid w:val="272E4A53"/>
    <w:rsid w:val="273047C1"/>
    <w:rsid w:val="27305E01"/>
    <w:rsid w:val="27333A1A"/>
    <w:rsid w:val="273C34A0"/>
    <w:rsid w:val="273E7D74"/>
    <w:rsid w:val="27431BE6"/>
    <w:rsid w:val="274F6FFD"/>
    <w:rsid w:val="275059EE"/>
    <w:rsid w:val="2753744F"/>
    <w:rsid w:val="275A3AA0"/>
    <w:rsid w:val="275B7D56"/>
    <w:rsid w:val="275E1D16"/>
    <w:rsid w:val="275E6F04"/>
    <w:rsid w:val="27623663"/>
    <w:rsid w:val="276608D4"/>
    <w:rsid w:val="276716F7"/>
    <w:rsid w:val="276A29A0"/>
    <w:rsid w:val="278433FB"/>
    <w:rsid w:val="279E58DB"/>
    <w:rsid w:val="27A45C03"/>
    <w:rsid w:val="27A546C6"/>
    <w:rsid w:val="27AE7476"/>
    <w:rsid w:val="27B01836"/>
    <w:rsid w:val="27B4342F"/>
    <w:rsid w:val="27B7791D"/>
    <w:rsid w:val="27C11FCC"/>
    <w:rsid w:val="27C2452A"/>
    <w:rsid w:val="27C86136"/>
    <w:rsid w:val="27D4716B"/>
    <w:rsid w:val="27D67F2E"/>
    <w:rsid w:val="27F92428"/>
    <w:rsid w:val="27F9574C"/>
    <w:rsid w:val="28025F75"/>
    <w:rsid w:val="2804132E"/>
    <w:rsid w:val="281726B2"/>
    <w:rsid w:val="281B38C9"/>
    <w:rsid w:val="281C4565"/>
    <w:rsid w:val="281F557E"/>
    <w:rsid w:val="2829042E"/>
    <w:rsid w:val="2836799A"/>
    <w:rsid w:val="283D4625"/>
    <w:rsid w:val="28456609"/>
    <w:rsid w:val="28465867"/>
    <w:rsid w:val="284976C9"/>
    <w:rsid w:val="284B4C74"/>
    <w:rsid w:val="284C1655"/>
    <w:rsid w:val="28523171"/>
    <w:rsid w:val="285703ED"/>
    <w:rsid w:val="285873C5"/>
    <w:rsid w:val="28602A35"/>
    <w:rsid w:val="28673D4B"/>
    <w:rsid w:val="286A0CE9"/>
    <w:rsid w:val="2871189A"/>
    <w:rsid w:val="287A4590"/>
    <w:rsid w:val="287D3FD9"/>
    <w:rsid w:val="28830471"/>
    <w:rsid w:val="288421EC"/>
    <w:rsid w:val="28927CE4"/>
    <w:rsid w:val="289639F2"/>
    <w:rsid w:val="28A10ED0"/>
    <w:rsid w:val="28A13CD8"/>
    <w:rsid w:val="28AA5016"/>
    <w:rsid w:val="28B223DB"/>
    <w:rsid w:val="28BC318B"/>
    <w:rsid w:val="28C96742"/>
    <w:rsid w:val="28D13224"/>
    <w:rsid w:val="28D4449D"/>
    <w:rsid w:val="28D465A0"/>
    <w:rsid w:val="28D95242"/>
    <w:rsid w:val="28E45497"/>
    <w:rsid w:val="28F70650"/>
    <w:rsid w:val="28F829EC"/>
    <w:rsid w:val="28F871A0"/>
    <w:rsid w:val="29046D6D"/>
    <w:rsid w:val="290A3A52"/>
    <w:rsid w:val="290F0AD5"/>
    <w:rsid w:val="29220F93"/>
    <w:rsid w:val="29264EC8"/>
    <w:rsid w:val="29274451"/>
    <w:rsid w:val="2927681B"/>
    <w:rsid w:val="292F0E43"/>
    <w:rsid w:val="293417D4"/>
    <w:rsid w:val="2942458B"/>
    <w:rsid w:val="294B0034"/>
    <w:rsid w:val="294C68BF"/>
    <w:rsid w:val="294F0749"/>
    <w:rsid w:val="2950437D"/>
    <w:rsid w:val="295503A0"/>
    <w:rsid w:val="295960D8"/>
    <w:rsid w:val="29677362"/>
    <w:rsid w:val="296E175C"/>
    <w:rsid w:val="297609CD"/>
    <w:rsid w:val="29795D72"/>
    <w:rsid w:val="29982619"/>
    <w:rsid w:val="299A0D58"/>
    <w:rsid w:val="29A37650"/>
    <w:rsid w:val="29A565FF"/>
    <w:rsid w:val="29AA237E"/>
    <w:rsid w:val="29AC2034"/>
    <w:rsid w:val="29B17E20"/>
    <w:rsid w:val="29B82BBC"/>
    <w:rsid w:val="29B93047"/>
    <w:rsid w:val="29BC391D"/>
    <w:rsid w:val="29BE3B2E"/>
    <w:rsid w:val="29C13753"/>
    <w:rsid w:val="29C3564B"/>
    <w:rsid w:val="29C77026"/>
    <w:rsid w:val="29C84EE0"/>
    <w:rsid w:val="29CE4F05"/>
    <w:rsid w:val="29D67C77"/>
    <w:rsid w:val="29DE119C"/>
    <w:rsid w:val="29E40356"/>
    <w:rsid w:val="29EE5372"/>
    <w:rsid w:val="29EF2B65"/>
    <w:rsid w:val="29F57FA0"/>
    <w:rsid w:val="29FB5B20"/>
    <w:rsid w:val="2A015357"/>
    <w:rsid w:val="2A074D93"/>
    <w:rsid w:val="2A0A755D"/>
    <w:rsid w:val="2A1A36A8"/>
    <w:rsid w:val="2A1B0691"/>
    <w:rsid w:val="2A1B77B5"/>
    <w:rsid w:val="2A236125"/>
    <w:rsid w:val="2A2612D3"/>
    <w:rsid w:val="2A2C1BBD"/>
    <w:rsid w:val="2A2E70F0"/>
    <w:rsid w:val="2A32599E"/>
    <w:rsid w:val="2A390B00"/>
    <w:rsid w:val="2A3C23E2"/>
    <w:rsid w:val="2A4137B9"/>
    <w:rsid w:val="2A4556A4"/>
    <w:rsid w:val="2A4A6E1A"/>
    <w:rsid w:val="2A577761"/>
    <w:rsid w:val="2A5E512B"/>
    <w:rsid w:val="2A5F17D6"/>
    <w:rsid w:val="2A6C0593"/>
    <w:rsid w:val="2A745676"/>
    <w:rsid w:val="2A7666A4"/>
    <w:rsid w:val="2A773A45"/>
    <w:rsid w:val="2A8368A7"/>
    <w:rsid w:val="2A966411"/>
    <w:rsid w:val="2A980D42"/>
    <w:rsid w:val="2AA32F77"/>
    <w:rsid w:val="2ABB3CDD"/>
    <w:rsid w:val="2ABF52F0"/>
    <w:rsid w:val="2ACE3E39"/>
    <w:rsid w:val="2AD67628"/>
    <w:rsid w:val="2AD96FF1"/>
    <w:rsid w:val="2ADD0F53"/>
    <w:rsid w:val="2AE0598B"/>
    <w:rsid w:val="2AE61449"/>
    <w:rsid w:val="2AE97B51"/>
    <w:rsid w:val="2AEC4956"/>
    <w:rsid w:val="2B060806"/>
    <w:rsid w:val="2B063283"/>
    <w:rsid w:val="2B065D96"/>
    <w:rsid w:val="2B0C5A5C"/>
    <w:rsid w:val="2B0C7F7C"/>
    <w:rsid w:val="2B1A10E9"/>
    <w:rsid w:val="2B1D42E7"/>
    <w:rsid w:val="2B1D4966"/>
    <w:rsid w:val="2B1E2A15"/>
    <w:rsid w:val="2B22644F"/>
    <w:rsid w:val="2B244813"/>
    <w:rsid w:val="2B2727D4"/>
    <w:rsid w:val="2B2C4274"/>
    <w:rsid w:val="2B2C50F8"/>
    <w:rsid w:val="2B32056A"/>
    <w:rsid w:val="2B343060"/>
    <w:rsid w:val="2B360E9F"/>
    <w:rsid w:val="2B365773"/>
    <w:rsid w:val="2B421565"/>
    <w:rsid w:val="2B433838"/>
    <w:rsid w:val="2B465B4A"/>
    <w:rsid w:val="2B4D7E09"/>
    <w:rsid w:val="2B546323"/>
    <w:rsid w:val="2B547429"/>
    <w:rsid w:val="2B5850E9"/>
    <w:rsid w:val="2B5B28E4"/>
    <w:rsid w:val="2B6A0F0D"/>
    <w:rsid w:val="2B712DBD"/>
    <w:rsid w:val="2B7C6BB3"/>
    <w:rsid w:val="2B816356"/>
    <w:rsid w:val="2B827122"/>
    <w:rsid w:val="2B956B35"/>
    <w:rsid w:val="2B9D72BD"/>
    <w:rsid w:val="2BA130F0"/>
    <w:rsid w:val="2BA42E24"/>
    <w:rsid w:val="2BAA2368"/>
    <w:rsid w:val="2BAF4B6F"/>
    <w:rsid w:val="2BAF69BE"/>
    <w:rsid w:val="2BB14F2C"/>
    <w:rsid w:val="2BB359E2"/>
    <w:rsid w:val="2BB377A2"/>
    <w:rsid w:val="2BC504B3"/>
    <w:rsid w:val="2BC64399"/>
    <w:rsid w:val="2BDA5FDE"/>
    <w:rsid w:val="2BDB4544"/>
    <w:rsid w:val="2BDD48AA"/>
    <w:rsid w:val="2BE03B44"/>
    <w:rsid w:val="2BE70097"/>
    <w:rsid w:val="2BE91A87"/>
    <w:rsid w:val="2BE950F6"/>
    <w:rsid w:val="2BEC14A0"/>
    <w:rsid w:val="2BEC60D3"/>
    <w:rsid w:val="2BF65EAB"/>
    <w:rsid w:val="2BFC1C80"/>
    <w:rsid w:val="2BFE5026"/>
    <w:rsid w:val="2C013B19"/>
    <w:rsid w:val="2C0811C5"/>
    <w:rsid w:val="2C0D2CEF"/>
    <w:rsid w:val="2C1A4A8C"/>
    <w:rsid w:val="2C2860B3"/>
    <w:rsid w:val="2C2A5EFB"/>
    <w:rsid w:val="2C337E2D"/>
    <w:rsid w:val="2C3C4794"/>
    <w:rsid w:val="2C3E4F35"/>
    <w:rsid w:val="2C5143C6"/>
    <w:rsid w:val="2C5276B8"/>
    <w:rsid w:val="2C527926"/>
    <w:rsid w:val="2C5401BA"/>
    <w:rsid w:val="2C5B385C"/>
    <w:rsid w:val="2C5D7018"/>
    <w:rsid w:val="2C631708"/>
    <w:rsid w:val="2C646ABF"/>
    <w:rsid w:val="2C7E4419"/>
    <w:rsid w:val="2C895EDF"/>
    <w:rsid w:val="2C9B1CB4"/>
    <w:rsid w:val="2C9D4A79"/>
    <w:rsid w:val="2C9F4E4A"/>
    <w:rsid w:val="2CA657DD"/>
    <w:rsid w:val="2CAF5A53"/>
    <w:rsid w:val="2CB107DB"/>
    <w:rsid w:val="2CB34713"/>
    <w:rsid w:val="2CB868F6"/>
    <w:rsid w:val="2CB931D8"/>
    <w:rsid w:val="2CBC6272"/>
    <w:rsid w:val="2CBC7AC3"/>
    <w:rsid w:val="2CBD0301"/>
    <w:rsid w:val="2CBF0B38"/>
    <w:rsid w:val="2CC725C5"/>
    <w:rsid w:val="2CC85563"/>
    <w:rsid w:val="2CCA6C5E"/>
    <w:rsid w:val="2CD14780"/>
    <w:rsid w:val="2CEB2DC6"/>
    <w:rsid w:val="2CF07F3D"/>
    <w:rsid w:val="2CF51263"/>
    <w:rsid w:val="2D135BEA"/>
    <w:rsid w:val="2D256A8F"/>
    <w:rsid w:val="2D2B1134"/>
    <w:rsid w:val="2D2C3BDC"/>
    <w:rsid w:val="2D334A47"/>
    <w:rsid w:val="2D42377A"/>
    <w:rsid w:val="2D44666D"/>
    <w:rsid w:val="2D453F2A"/>
    <w:rsid w:val="2D476132"/>
    <w:rsid w:val="2D570FE5"/>
    <w:rsid w:val="2D5C6DBF"/>
    <w:rsid w:val="2D6C4CB5"/>
    <w:rsid w:val="2D776AA1"/>
    <w:rsid w:val="2D930928"/>
    <w:rsid w:val="2D974605"/>
    <w:rsid w:val="2D9B0378"/>
    <w:rsid w:val="2D9B0B8E"/>
    <w:rsid w:val="2DA276E1"/>
    <w:rsid w:val="2DA55B2C"/>
    <w:rsid w:val="2DAB10BA"/>
    <w:rsid w:val="2DB4678E"/>
    <w:rsid w:val="2DB735BC"/>
    <w:rsid w:val="2DC321C5"/>
    <w:rsid w:val="2DC42615"/>
    <w:rsid w:val="2DC77063"/>
    <w:rsid w:val="2DCB3912"/>
    <w:rsid w:val="2DCC3542"/>
    <w:rsid w:val="2DD14F70"/>
    <w:rsid w:val="2DDD5747"/>
    <w:rsid w:val="2DE16A9E"/>
    <w:rsid w:val="2DE42F78"/>
    <w:rsid w:val="2DEC7A34"/>
    <w:rsid w:val="2DEE5D2A"/>
    <w:rsid w:val="2DF6090C"/>
    <w:rsid w:val="2DF734FD"/>
    <w:rsid w:val="2DF840B3"/>
    <w:rsid w:val="2E0020BC"/>
    <w:rsid w:val="2E036A29"/>
    <w:rsid w:val="2E0B6D53"/>
    <w:rsid w:val="2E0D2923"/>
    <w:rsid w:val="2E174C87"/>
    <w:rsid w:val="2E185396"/>
    <w:rsid w:val="2E1B5B7B"/>
    <w:rsid w:val="2E1E0D4C"/>
    <w:rsid w:val="2E233526"/>
    <w:rsid w:val="2E283B4C"/>
    <w:rsid w:val="2E2A0C07"/>
    <w:rsid w:val="2E2E13D5"/>
    <w:rsid w:val="2E3421AD"/>
    <w:rsid w:val="2E3C58D9"/>
    <w:rsid w:val="2E3D0DF3"/>
    <w:rsid w:val="2E44647D"/>
    <w:rsid w:val="2E474F27"/>
    <w:rsid w:val="2E49119E"/>
    <w:rsid w:val="2E4A21F3"/>
    <w:rsid w:val="2E4B05CA"/>
    <w:rsid w:val="2E5E4C3C"/>
    <w:rsid w:val="2E624898"/>
    <w:rsid w:val="2E657B55"/>
    <w:rsid w:val="2E690475"/>
    <w:rsid w:val="2E6E2D52"/>
    <w:rsid w:val="2E7007B0"/>
    <w:rsid w:val="2E747E6B"/>
    <w:rsid w:val="2E75622A"/>
    <w:rsid w:val="2E79348A"/>
    <w:rsid w:val="2E815147"/>
    <w:rsid w:val="2E907F1F"/>
    <w:rsid w:val="2E997D3C"/>
    <w:rsid w:val="2E9D5F50"/>
    <w:rsid w:val="2EA01CB0"/>
    <w:rsid w:val="2EAD0397"/>
    <w:rsid w:val="2EB22082"/>
    <w:rsid w:val="2EBD6479"/>
    <w:rsid w:val="2EC33FE0"/>
    <w:rsid w:val="2EC53842"/>
    <w:rsid w:val="2EC80402"/>
    <w:rsid w:val="2ECE404A"/>
    <w:rsid w:val="2EDD194C"/>
    <w:rsid w:val="2EE06570"/>
    <w:rsid w:val="2EE36F6E"/>
    <w:rsid w:val="2EEC29B5"/>
    <w:rsid w:val="2EEC373D"/>
    <w:rsid w:val="2EED0292"/>
    <w:rsid w:val="2EF2657E"/>
    <w:rsid w:val="2EF36BC7"/>
    <w:rsid w:val="2EF649EB"/>
    <w:rsid w:val="2F017821"/>
    <w:rsid w:val="2F10599E"/>
    <w:rsid w:val="2F125235"/>
    <w:rsid w:val="2F151863"/>
    <w:rsid w:val="2F20522C"/>
    <w:rsid w:val="2F2F0732"/>
    <w:rsid w:val="2F3B3251"/>
    <w:rsid w:val="2F3B7E8C"/>
    <w:rsid w:val="2F41440D"/>
    <w:rsid w:val="2F5751A7"/>
    <w:rsid w:val="2F601C16"/>
    <w:rsid w:val="2F661D3D"/>
    <w:rsid w:val="2F6D6170"/>
    <w:rsid w:val="2F751C58"/>
    <w:rsid w:val="2F77578A"/>
    <w:rsid w:val="2F776C45"/>
    <w:rsid w:val="2F7D5767"/>
    <w:rsid w:val="2F7E1B4B"/>
    <w:rsid w:val="2F7F3927"/>
    <w:rsid w:val="2F81481C"/>
    <w:rsid w:val="2F8E511E"/>
    <w:rsid w:val="2F901C3D"/>
    <w:rsid w:val="2F90315B"/>
    <w:rsid w:val="2F911FE2"/>
    <w:rsid w:val="2F955137"/>
    <w:rsid w:val="2F97735B"/>
    <w:rsid w:val="2F9B0DC6"/>
    <w:rsid w:val="2F9F3334"/>
    <w:rsid w:val="2FA13B63"/>
    <w:rsid w:val="2FA62B70"/>
    <w:rsid w:val="2FAC2501"/>
    <w:rsid w:val="2FB87685"/>
    <w:rsid w:val="2FB944DF"/>
    <w:rsid w:val="2FC7378F"/>
    <w:rsid w:val="2FC8457A"/>
    <w:rsid w:val="2FCD128D"/>
    <w:rsid w:val="2FCE7F44"/>
    <w:rsid w:val="2FCF6823"/>
    <w:rsid w:val="2FDA1A1A"/>
    <w:rsid w:val="2FDB4923"/>
    <w:rsid w:val="2FDE41E7"/>
    <w:rsid w:val="2FE956A9"/>
    <w:rsid w:val="2FEF1B7D"/>
    <w:rsid w:val="2FF764F4"/>
    <w:rsid w:val="2FFC02BE"/>
    <w:rsid w:val="30003B91"/>
    <w:rsid w:val="30010160"/>
    <w:rsid w:val="300539B8"/>
    <w:rsid w:val="3010701A"/>
    <w:rsid w:val="30226FBC"/>
    <w:rsid w:val="3029324C"/>
    <w:rsid w:val="302F4C0D"/>
    <w:rsid w:val="30451161"/>
    <w:rsid w:val="30546F0D"/>
    <w:rsid w:val="30567546"/>
    <w:rsid w:val="306A0DC0"/>
    <w:rsid w:val="306A4AE1"/>
    <w:rsid w:val="306F50A4"/>
    <w:rsid w:val="308107FB"/>
    <w:rsid w:val="309355EB"/>
    <w:rsid w:val="309456CE"/>
    <w:rsid w:val="30A12AC4"/>
    <w:rsid w:val="30BE7ABB"/>
    <w:rsid w:val="30C104A1"/>
    <w:rsid w:val="30CD7A99"/>
    <w:rsid w:val="30D8336D"/>
    <w:rsid w:val="30D90B89"/>
    <w:rsid w:val="30E1041B"/>
    <w:rsid w:val="30E3235A"/>
    <w:rsid w:val="30F249B1"/>
    <w:rsid w:val="30FB2302"/>
    <w:rsid w:val="30FE483F"/>
    <w:rsid w:val="310164D8"/>
    <w:rsid w:val="310175D4"/>
    <w:rsid w:val="31121B9B"/>
    <w:rsid w:val="311C69AA"/>
    <w:rsid w:val="311D3137"/>
    <w:rsid w:val="312A5EE9"/>
    <w:rsid w:val="31341C93"/>
    <w:rsid w:val="3136303E"/>
    <w:rsid w:val="31390CBF"/>
    <w:rsid w:val="313B02EB"/>
    <w:rsid w:val="314026EA"/>
    <w:rsid w:val="31426E82"/>
    <w:rsid w:val="315604D7"/>
    <w:rsid w:val="3158356C"/>
    <w:rsid w:val="31597D84"/>
    <w:rsid w:val="315D230F"/>
    <w:rsid w:val="316A5455"/>
    <w:rsid w:val="31717BFE"/>
    <w:rsid w:val="317C0773"/>
    <w:rsid w:val="318863B1"/>
    <w:rsid w:val="319751C0"/>
    <w:rsid w:val="31995131"/>
    <w:rsid w:val="31A23214"/>
    <w:rsid w:val="31A66686"/>
    <w:rsid w:val="31A71A33"/>
    <w:rsid w:val="31A87B75"/>
    <w:rsid w:val="31AE74ED"/>
    <w:rsid w:val="31AF2921"/>
    <w:rsid w:val="31B02E44"/>
    <w:rsid w:val="31B40095"/>
    <w:rsid w:val="31B503A1"/>
    <w:rsid w:val="31BA6562"/>
    <w:rsid w:val="31BB326F"/>
    <w:rsid w:val="31D138AE"/>
    <w:rsid w:val="31D7157E"/>
    <w:rsid w:val="31DF32F9"/>
    <w:rsid w:val="31E128C7"/>
    <w:rsid w:val="31E6378D"/>
    <w:rsid w:val="31EA4947"/>
    <w:rsid w:val="31F05400"/>
    <w:rsid w:val="31F138FB"/>
    <w:rsid w:val="31F30150"/>
    <w:rsid w:val="31F83B54"/>
    <w:rsid w:val="31FA1F1C"/>
    <w:rsid w:val="32053DD8"/>
    <w:rsid w:val="321A1B71"/>
    <w:rsid w:val="321B05E5"/>
    <w:rsid w:val="322C27A3"/>
    <w:rsid w:val="322D08F0"/>
    <w:rsid w:val="3230674F"/>
    <w:rsid w:val="323414A6"/>
    <w:rsid w:val="32360999"/>
    <w:rsid w:val="32424AEA"/>
    <w:rsid w:val="324B2B53"/>
    <w:rsid w:val="325B6274"/>
    <w:rsid w:val="32632F5D"/>
    <w:rsid w:val="327B42E9"/>
    <w:rsid w:val="327F7AB7"/>
    <w:rsid w:val="327F7BC4"/>
    <w:rsid w:val="328B117B"/>
    <w:rsid w:val="329324FD"/>
    <w:rsid w:val="329A45B7"/>
    <w:rsid w:val="329F7E1B"/>
    <w:rsid w:val="32A87A95"/>
    <w:rsid w:val="32C064DE"/>
    <w:rsid w:val="32C64E22"/>
    <w:rsid w:val="32CB3E86"/>
    <w:rsid w:val="32D5422C"/>
    <w:rsid w:val="32D76FA1"/>
    <w:rsid w:val="32E11F5C"/>
    <w:rsid w:val="32E23DC5"/>
    <w:rsid w:val="32E53350"/>
    <w:rsid w:val="32EF589B"/>
    <w:rsid w:val="32F101B3"/>
    <w:rsid w:val="32FA3594"/>
    <w:rsid w:val="32FD766E"/>
    <w:rsid w:val="32FE32A2"/>
    <w:rsid w:val="330B7E97"/>
    <w:rsid w:val="330D0E57"/>
    <w:rsid w:val="33130841"/>
    <w:rsid w:val="331B3813"/>
    <w:rsid w:val="33230124"/>
    <w:rsid w:val="332B0A06"/>
    <w:rsid w:val="332B755D"/>
    <w:rsid w:val="33360204"/>
    <w:rsid w:val="33377402"/>
    <w:rsid w:val="333B4EC7"/>
    <w:rsid w:val="33415D0B"/>
    <w:rsid w:val="33471BE4"/>
    <w:rsid w:val="33532067"/>
    <w:rsid w:val="33537CF5"/>
    <w:rsid w:val="335E223D"/>
    <w:rsid w:val="33610395"/>
    <w:rsid w:val="33616AC2"/>
    <w:rsid w:val="33617B80"/>
    <w:rsid w:val="33620927"/>
    <w:rsid w:val="336E53A8"/>
    <w:rsid w:val="33766DEB"/>
    <w:rsid w:val="3377123B"/>
    <w:rsid w:val="33781620"/>
    <w:rsid w:val="337C62E1"/>
    <w:rsid w:val="337D3C09"/>
    <w:rsid w:val="33880909"/>
    <w:rsid w:val="33935517"/>
    <w:rsid w:val="33B114A8"/>
    <w:rsid w:val="33B66424"/>
    <w:rsid w:val="33BF4A35"/>
    <w:rsid w:val="33BF55D7"/>
    <w:rsid w:val="33C314A7"/>
    <w:rsid w:val="33C7471A"/>
    <w:rsid w:val="33D36E70"/>
    <w:rsid w:val="33DB23E7"/>
    <w:rsid w:val="33DD2DBC"/>
    <w:rsid w:val="33EB7494"/>
    <w:rsid w:val="33F1281A"/>
    <w:rsid w:val="33F41126"/>
    <w:rsid w:val="33F57C4D"/>
    <w:rsid w:val="33FE1076"/>
    <w:rsid w:val="33FF1AC7"/>
    <w:rsid w:val="3402142E"/>
    <w:rsid w:val="3405661F"/>
    <w:rsid w:val="34207DFD"/>
    <w:rsid w:val="3426254C"/>
    <w:rsid w:val="3429683A"/>
    <w:rsid w:val="34333D81"/>
    <w:rsid w:val="343642A8"/>
    <w:rsid w:val="3446429F"/>
    <w:rsid w:val="344A70B1"/>
    <w:rsid w:val="344C087A"/>
    <w:rsid w:val="34616B10"/>
    <w:rsid w:val="3463189F"/>
    <w:rsid w:val="34634092"/>
    <w:rsid w:val="34684C25"/>
    <w:rsid w:val="346A6C00"/>
    <w:rsid w:val="34770A56"/>
    <w:rsid w:val="34785436"/>
    <w:rsid w:val="34852293"/>
    <w:rsid w:val="34864447"/>
    <w:rsid w:val="34884A6B"/>
    <w:rsid w:val="348B183C"/>
    <w:rsid w:val="34915B1C"/>
    <w:rsid w:val="349345E2"/>
    <w:rsid w:val="34945045"/>
    <w:rsid w:val="34A45B94"/>
    <w:rsid w:val="34A97B6D"/>
    <w:rsid w:val="34AC078B"/>
    <w:rsid w:val="34AC4C9B"/>
    <w:rsid w:val="34B36765"/>
    <w:rsid w:val="34B56E74"/>
    <w:rsid w:val="34B87C10"/>
    <w:rsid w:val="34BC1FFB"/>
    <w:rsid w:val="34C14B04"/>
    <w:rsid w:val="34C431FC"/>
    <w:rsid w:val="34C439C6"/>
    <w:rsid w:val="34C7241C"/>
    <w:rsid w:val="34CB3399"/>
    <w:rsid w:val="34D32935"/>
    <w:rsid w:val="34D55E65"/>
    <w:rsid w:val="34D75E4F"/>
    <w:rsid w:val="34D90F93"/>
    <w:rsid w:val="34DB1680"/>
    <w:rsid w:val="34DB6B61"/>
    <w:rsid w:val="34F31EA5"/>
    <w:rsid w:val="34F63535"/>
    <w:rsid w:val="34F813B0"/>
    <w:rsid w:val="34F84228"/>
    <w:rsid w:val="34FF0D9A"/>
    <w:rsid w:val="351703E7"/>
    <w:rsid w:val="3525154A"/>
    <w:rsid w:val="3526211F"/>
    <w:rsid w:val="35296D01"/>
    <w:rsid w:val="352D1D4F"/>
    <w:rsid w:val="352F22A6"/>
    <w:rsid w:val="352F54CF"/>
    <w:rsid w:val="35370F5D"/>
    <w:rsid w:val="354076AE"/>
    <w:rsid w:val="35461478"/>
    <w:rsid w:val="354D2591"/>
    <w:rsid w:val="354E14C6"/>
    <w:rsid w:val="356730BC"/>
    <w:rsid w:val="356F2698"/>
    <w:rsid w:val="3575017B"/>
    <w:rsid w:val="3577517B"/>
    <w:rsid w:val="35797167"/>
    <w:rsid w:val="357B279B"/>
    <w:rsid w:val="357F0EDA"/>
    <w:rsid w:val="35804381"/>
    <w:rsid w:val="3582662E"/>
    <w:rsid w:val="358D7659"/>
    <w:rsid w:val="358E2C8E"/>
    <w:rsid w:val="359152AF"/>
    <w:rsid w:val="35971C2B"/>
    <w:rsid w:val="359B05ED"/>
    <w:rsid w:val="359D511D"/>
    <w:rsid w:val="35B225C4"/>
    <w:rsid w:val="35B247DC"/>
    <w:rsid w:val="35B73357"/>
    <w:rsid w:val="35B91275"/>
    <w:rsid w:val="35BA3A60"/>
    <w:rsid w:val="35BB691C"/>
    <w:rsid w:val="35C83054"/>
    <w:rsid w:val="35CE423C"/>
    <w:rsid w:val="35D6780B"/>
    <w:rsid w:val="35D95D9E"/>
    <w:rsid w:val="35DA4349"/>
    <w:rsid w:val="35DB3E46"/>
    <w:rsid w:val="35DB5845"/>
    <w:rsid w:val="35E863C2"/>
    <w:rsid w:val="35ED0964"/>
    <w:rsid w:val="35F262BD"/>
    <w:rsid w:val="3600623F"/>
    <w:rsid w:val="36014A7F"/>
    <w:rsid w:val="36054BF6"/>
    <w:rsid w:val="360D0889"/>
    <w:rsid w:val="360D3F15"/>
    <w:rsid w:val="36160E8C"/>
    <w:rsid w:val="361A57A4"/>
    <w:rsid w:val="3628090A"/>
    <w:rsid w:val="362848D2"/>
    <w:rsid w:val="362C1E00"/>
    <w:rsid w:val="36362748"/>
    <w:rsid w:val="363B7004"/>
    <w:rsid w:val="36446447"/>
    <w:rsid w:val="36453EE4"/>
    <w:rsid w:val="36583BC1"/>
    <w:rsid w:val="36647CCD"/>
    <w:rsid w:val="36650274"/>
    <w:rsid w:val="3667179B"/>
    <w:rsid w:val="366B5A50"/>
    <w:rsid w:val="366E0419"/>
    <w:rsid w:val="366E5F55"/>
    <w:rsid w:val="367B2047"/>
    <w:rsid w:val="367D4F3C"/>
    <w:rsid w:val="368122A1"/>
    <w:rsid w:val="36833F43"/>
    <w:rsid w:val="369A1F9D"/>
    <w:rsid w:val="369C51E0"/>
    <w:rsid w:val="369C7950"/>
    <w:rsid w:val="36A13CA5"/>
    <w:rsid w:val="36C73C80"/>
    <w:rsid w:val="36C85CDF"/>
    <w:rsid w:val="36CA7E0C"/>
    <w:rsid w:val="36CB57AF"/>
    <w:rsid w:val="36DB3B58"/>
    <w:rsid w:val="36DF081C"/>
    <w:rsid w:val="36E24DE1"/>
    <w:rsid w:val="36E73F35"/>
    <w:rsid w:val="36E873E0"/>
    <w:rsid w:val="36F014A6"/>
    <w:rsid w:val="36F2360F"/>
    <w:rsid w:val="36F364E3"/>
    <w:rsid w:val="36FB3076"/>
    <w:rsid w:val="37042038"/>
    <w:rsid w:val="370D4877"/>
    <w:rsid w:val="371C5890"/>
    <w:rsid w:val="37224214"/>
    <w:rsid w:val="37273E14"/>
    <w:rsid w:val="372B1092"/>
    <w:rsid w:val="372E5941"/>
    <w:rsid w:val="372F4914"/>
    <w:rsid w:val="37314264"/>
    <w:rsid w:val="373C1E44"/>
    <w:rsid w:val="3742604C"/>
    <w:rsid w:val="374278FE"/>
    <w:rsid w:val="37475055"/>
    <w:rsid w:val="37497C69"/>
    <w:rsid w:val="375151B5"/>
    <w:rsid w:val="37527475"/>
    <w:rsid w:val="375813CC"/>
    <w:rsid w:val="37605487"/>
    <w:rsid w:val="37631114"/>
    <w:rsid w:val="376664D9"/>
    <w:rsid w:val="37695D30"/>
    <w:rsid w:val="376C59EF"/>
    <w:rsid w:val="376D3601"/>
    <w:rsid w:val="3773736B"/>
    <w:rsid w:val="37770BB0"/>
    <w:rsid w:val="37787C70"/>
    <w:rsid w:val="37796D79"/>
    <w:rsid w:val="377D6714"/>
    <w:rsid w:val="377E2A2A"/>
    <w:rsid w:val="37864821"/>
    <w:rsid w:val="378B2246"/>
    <w:rsid w:val="37912BDD"/>
    <w:rsid w:val="379401C1"/>
    <w:rsid w:val="37980293"/>
    <w:rsid w:val="37981016"/>
    <w:rsid w:val="37AA633C"/>
    <w:rsid w:val="37AC75A2"/>
    <w:rsid w:val="37AD1EA0"/>
    <w:rsid w:val="37AD4787"/>
    <w:rsid w:val="37AE4B27"/>
    <w:rsid w:val="37CE7427"/>
    <w:rsid w:val="37CF7F1F"/>
    <w:rsid w:val="37D66059"/>
    <w:rsid w:val="37E0366C"/>
    <w:rsid w:val="37E13EF5"/>
    <w:rsid w:val="37E512A6"/>
    <w:rsid w:val="37EB5280"/>
    <w:rsid w:val="37ED2E0D"/>
    <w:rsid w:val="37F0542D"/>
    <w:rsid w:val="37FE5084"/>
    <w:rsid w:val="380066C5"/>
    <w:rsid w:val="380103CF"/>
    <w:rsid w:val="38086F26"/>
    <w:rsid w:val="38103FC0"/>
    <w:rsid w:val="38154531"/>
    <w:rsid w:val="38162822"/>
    <w:rsid w:val="38213022"/>
    <w:rsid w:val="382307DF"/>
    <w:rsid w:val="382A1B73"/>
    <w:rsid w:val="3833757C"/>
    <w:rsid w:val="383C2B52"/>
    <w:rsid w:val="383C7B06"/>
    <w:rsid w:val="385261D0"/>
    <w:rsid w:val="385441B1"/>
    <w:rsid w:val="38551F2B"/>
    <w:rsid w:val="385A0EB7"/>
    <w:rsid w:val="385A379F"/>
    <w:rsid w:val="3862759C"/>
    <w:rsid w:val="386912E0"/>
    <w:rsid w:val="38823D77"/>
    <w:rsid w:val="38845C65"/>
    <w:rsid w:val="388A175B"/>
    <w:rsid w:val="388D4FEA"/>
    <w:rsid w:val="38A527DC"/>
    <w:rsid w:val="38AB1005"/>
    <w:rsid w:val="38CC23AE"/>
    <w:rsid w:val="38CD1729"/>
    <w:rsid w:val="38CF363E"/>
    <w:rsid w:val="38D10F34"/>
    <w:rsid w:val="38D24B63"/>
    <w:rsid w:val="38DD2F3A"/>
    <w:rsid w:val="38E15768"/>
    <w:rsid w:val="38E21D33"/>
    <w:rsid w:val="38E448C8"/>
    <w:rsid w:val="38F96374"/>
    <w:rsid w:val="38FC0EE1"/>
    <w:rsid w:val="38FD2962"/>
    <w:rsid w:val="39043CF0"/>
    <w:rsid w:val="390B3632"/>
    <w:rsid w:val="391E2A2B"/>
    <w:rsid w:val="39203C98"/>
    <w:rsid w:val="39324135"/>
    <w:rsid w:val="39344405"/>
    <w:rsid w:val="393530E6"/>
    <w:rsid w:val="393915B3"/>
    <w:rsid w:val="393A5E47"/>
    <w:rsid w:val="393A6354"/>
    <w:rsid w:val="39437ADC"/>
    <w:rsid w:val="39522CDD"/>
    <w:rsid w:val="39547E07"/>
    <w:rsid w:val="39573624"/>
    <w:rsid w:val="395E60EB"/>
    <w:rsid w:val="39691592"/>
    <w:rsid w:val="39693079"/>
    <w:rsid w:val="396D4A51"/>
    <w:rsid w:val="397D2717"/>
    <w:rsid w:val="397F78BA"/>
    <w:rsid w:val="39822AB3"/>
    <w:rsid w:val="398839F9"/>
    <w:rsid w:val="3988690D"/>
    <w:rsid w:val="398E05C8"/>
    <w:rsid w:val="399955AB"/>
    <w:rsid w:val="399E4C4D"/>
    <w:rsid w:val="399E782E"/>
    <w:rsid w:val="399E7BB3"/>
    <w:rsid w:val="39B00B41"/>
    <w:rsid w:val="39B468CB"/>
    <w:rsid w:val="39B6115E"/>
    <w:rsid w:val="39C72F71"/>
    <w:rsid w:val="39C90D3C"/>
    <w:rsid w:val="39D0501E"/>
    <w:rsid w:val="39D16D45"/>
    <w:rsid w:val="39D52E54"/>
    <w:rsid w:val="39D541EA"/>
    <w:rsid w:val="39D96DF1"/>
    <w:rsid w:val="39F10EE9"/>
    <w:rsid w:val="39F5296B"/>
    <w:rsid w:val="39F8465F"/>
    <w:rsid w:val="39FA148C"/>
    <w:rsid w:val="39FB60F5"/>
    <w:rsid w:val="39FE2861"/>
    <w:rsid w:val="39FF5553"/>
    <w:rsid w:val="3A110B61"/>
    <w:rsid w:val="3A133F57"/>
    <w:rsid w:val="3A1564D7"/>
    <w:rsid w:val="3A176251"/>
    <w:rsid w:val="3A1C4CC8"/>
    <w:rsid w:val="3A2C5C21"/>
    <w:rsid w:val="3A2E629C"/>
    <w:rsid w:val="3A2F26BA"/>
    <w:rsid w:val="3A374E33"/>
    <w:rsid w:val="3A3F2C26"/>
    <w:rsid w:val="3A4171BB"/>
    <w:rsid w:val="3A4C17D9"/>
    <w:rsid w:val="3A4E161A"/>
    <w:rsid w:val="3A4E68F7"/>
    <w:rsid w:val="3A591A9D"/>
    <w:rsid w:val="3A70362D"/>
    <w:rsid w:val="3A717CCA"/>
    <w:rsid w:val="3A850AB6"/>
    <w:rsid w:val="3A8A16BD"/>
    <w:rsid w:val="3A8E34B9"/>
    <w:rsid w:val="3A8F153A"/>
    <w:rsid w:val="3A8F2717"/>
    <w:rsid w:val="3A926210"/>
    <w:rsid w:val="3A96368E"/>
    <w:rsid w:val="3AA44A1E"/>
    <w:rsid w:val="3AA84C4F"/>
    <w:rsid w:val="3AAC72D8"/>
    <w:rsid w:val="3AB74900"/>
    <w:rsid w:val="3AC24CF8"/>
    <w:rsid w:val="3AC312DD"/>
    <w:rsid w:val="3AC45CA0"/>
    <w:rsid w:val="3AD50BA5"/>
    <w:rsid w:val="3AD51938"/>
    <w:rsid w:val="3ADF72D6"/>
    <w:rsid w:val="3AE12334"/>
    <w:rsid w:val="3AE317E2"/>
    <w:rsid w:val="3AE5208A"/>
    <w:rsid w:val="3AE82702"/>
    <w:rsid w:val="3AF61C82"/>
    <w:rsid w:val="3AFB6DFE"/>
    <w:rsid w:val="3B251D10"/>
    <w:rsid w:val="3B2E2C3D"/>
    <w:rsid w:val="3B304DCF"/>
    <w:rsid w:val="3B315E58"/>
    <w:rsid w:val="3B3A469B"/>
    <w:rsid w:val="3B3B23FB"/>
    <w:rsid w:val="3B41312B"/>
    <w:rsid w:val="3B46565D"/>
    <w:rsid w:val="3B4A27D7"/>
    <w:rsid w:val="3B520170"/>
    <w:rsid w:val="3B5547A6"/>
    <w:rsid w:val="3B571805"/>
    <w:rsid w:val="3B5A5485"/>
    <w:rsid w:val="3B5B43A1"/>
    <w:rsid w:val="3B5C6F60"/>
    <w:rsid w:val="3B656A70"/>
    <w:rsid w:val="3B661405"/>
    <w:rsid w:val="3B6873ED"/>
    <w:rsid w:val="3B706E5D"/>
    <w:rsid w:val="3B736C0D"/>
    <w:rsid w:val="3B7903AF"/>
    <w:rsid w:val="3B7D5095"/>
    <w:rsid w:val="3B837D7D"/>
    <w:rsid w:val="3B890FDE"/>
    <w:rsid w:val="3B8C14D4"/>
    <w:rsid w:val="3B8C4E14"/>
    <w:rsid w:val="3B8F3DBF"/>
    <w:rsid w:val="3B94067F"/>
    <w:rsid w:val="3B9F120A"/>
    <w:rsid w:val="3B9F26C6"/>
    <w:rsid w:val="3BA1672D"/>
    <w:rsid w:val="3BA31942"/>
    <w:rsid w:val="3BA377EF"/>
    <w:rsid w:val="3BA67DAC"/>
    <w:rsid w:val="3BA87ACD"/>
    <w:rsid w:val="3BA963C6"/>
    <w:rsid w:val="3BAD060C"/>
    <w:rsid w:val="3BB74FDA"/>
    <w:rsid w:val="3BB81FC0"/>
    <w:rsid w:val="3BBB3658"/>
    <w:rsid w:val="3BBC19CB"/>
    <w:rsid w:val="3BC22217"/>
    <w:rsid w:val="3BC26136"/>
    <w:rsid w:val="3BCB09C3"/>
    <w:rsid w:val="3BD61C3E"/>
    <w:rsid w:val="3BDF2B9F"/>
    <w:rsid w:val="3BE902E4"/>
    <w:rsid w:val="3BFA4311"/>
    <w:rsid w:val="3BFD53C0"/>
    <w:rsid w:val="3C0C2A26"/>
    <w:rsid w:val="3C0C6E3C"/>
    <w:rsid w:val="3C150577"/>
    <w:rsid w:val="3C174503"/>
    <w:rsid w:val="3C1E52C1"/>
    <w:rsid w:val="3C2017F5"/>
    <w:rsid w:val="3C201B2C"/>
    <w:rsid w:val="3C307EFF"/>
    <w:rsid w:val="3C310E60"/>
    <w:rsid w:val="3C3466C6"/>
    <w:rsid w:val="3C3F01D0"/>
    <w:rsid w:val="3C4118D0"/>
    <w:rsid w:val="3C426780"/>
    <w:rsid w:val="3C447704"/>
    <w:rsid w:val="3C4A120D"/>
    <w:rsid w:val="3C5517E3"/>
    <w:rsid w:val="3C576620"/>
    <w:rsid w:val="3C5A4C69"/>
    <w:rsid w:val="3C6F019C"/>
    <w:rsid w:val="3C712A18"/>
    <w:rsid w:val="3C73092C"/>
    <w:rsid w:val="3C780965"/>
    <w:rsid w:val="3C7F1386"/>
    <w:rsid w:val="3C8302F5"/>
    <w:rsid w:val="3C837825"/>
    <w:rsid w:val="3C8C5558"/>
    <w:rsid w:val="3C981F8A"/>
    <w:rsid w:val="3C9F2F26"/>
    <w:rsid w:val="3CA64687"/>
    <w:rsid w:val="3CA8354A"/>
    <w:rsid w:val="3CA8556A"/>
    <w:rsid w:val="3CAB30E7"/>
    <w:rsid w:val="3CD96C42"/>
    <w:rsid w:val="3CE36764"/>
    <w:rsid w:val="3CF213C3"/>
    <w:rsid w:val="3CF309CD"/>
    <w:rsid w:val="3CF876EC"/>
    <w:rsid w:val="3CFD082A"/>
    <w:rsid w:val="3D000288"/>
    <w:rsid w:val="3D072434"/>
    <w:rsid w:val="3D0B1646"/>
    <w:rsid w:val="3D1B724E"/>
    <w:rsid w:val="3D2020D7"/>
    <w:rsid w:val="3D2900AC"/>
    <w:rsid w:val="3D2A6F98"/>
    <w:rsid w:val="3D2A70D2"/>
    <w:rsid w:val="3D306C8D"/>
    <w:rsid w:val="3D32770D"/>
    <w:rsid w:val="3D366B16"/>
    <w:rsid w:val="3D384B37"/>
    <w:rsid w:val="3D38676E"/>
    <w:rsid w:val="3D402D05"/>
    <w:rsid w:val="3D4F5AEA"/>
    <w:rsid w:val="3D540ADB"/>
    <w:rsid w:val="3D655D5B"/>
    <w:rsid w:val="3D6666F1"/>
    <w:rsid w:val="3D696BDD"/>
    <w:rsid w:val="3D6D2035"/>
    <w:rsid w:val="3D7104B0"/>
    <w:rsid w:val="3D724F89"/>
    <w:rsid w:val="3D801A4C"/>
    <w:rsid w:val="3D8C14CA"/>
    <w:rsid w:val="3D904C83"/>
    <w:rsid w:val="3D934B93"/>
    <w:rsid w:val="3D941C5C"/>
    <w:rsid w:val="3D9B6487"/>
    <w:rsid w:val="3D9D549B"/>
    <w:rsid w:val="3DA737E4"/>
    <w:rsid w:val="3DB31080"/>
    <w:rsid w:val="3DBE29A8"/>
    <w:rsid w:val="3DC60646"/>
    <w:rsid w:val="3DCC2AD3"/>
    <w:rsid w:val="3DCF3209"/>
    <w:rsid w:val="3DD05F3E"/>
    <w:rsid w:val="3DD50567"/>
    <w:rsid w:val="3DE0510E"/>
    <w:rsid w:val="3DE736B0"/>
    <w:rsid w:val="3DF15FCC"/>
    <w:rsid w:val="3DF87785"/>
    <w:rsid w:val="3DFC6731"/>
    <w:rsid w:val="3E006C1C"/>
    <w:rsid w:val="3E08324C"/>
    <w:rsid w:val="3E1B3083"/>
    <w:rsid w:val="3E1F7C21"/>
    <w:rsid w:val="3E2259D2"/>
    <w:rsid w:val="3E3D1C93"/>
    <w:rsid w:val="3E477F7D"/>
    <w:rsid w:val="3E484F8B"/>
    <w:rsid w:val="3E510BFE"/>
    <w:rsid w:val="3E6335B4"/>
    <w:rsid w:val="3E637935"/>
    <w:rsid w:val="3E677609"/>
    <w:rsid w:val="3E6A2FA5"/>
    <w:rsid w:val="3E6D1871"/>
    <w:rsid w:val="3E704868"/>
    <w:rsid w:val="3E8179A8"/>
    <w:rsid w:val="3E8E4A6E"/>
    <w:rsid w:val="3E9523E2"/>
    <w:rsid w:val="3E991601"/>
    <w:rsid w:val="3EA7038D"/>
    <w:rsid w:val="3EAA6382"/>
    <w:rsid w:val="3EAB7EE2"/>
    <w:rsid w:val="3EAF245E"/>
    <w:rsid w:val="3EB2533E"/>
    <w:rsid w:val="3EB372E9"/>
    <w:rsid w:val="3EB62FAC"/>
    <w:rsid w:val="3EB83CE2"/>
    <w:rsid w:val="3EC547A4"/>
    <w:rsid w:val="3ECD1B1F"/>
    <w:rsid w:val="3ED73E41"/>
    <w:rsid w:val="3ED84F39"/>
    <w:rsid w:val="3EDF195A"/>
    <w:rsid w:val="3EDF5291"/>
    <w:rsid w:val="3EE362AF"/>
    <w:rsid w:val="3EE53F7C"/>
    <w:rsid w:val="3EF8538E"/>
    <w:rsid w:val="3EFC5EBA"/>
    <w:rsid w:val="3F020382"/>
    <w:rsid w:val="3F0A2717"/>
    <w:rsid w:val="3F0C13BF"/>
    <w:rsid w:val="3F111608"/>
    <w:rsid w:val="3F1B47E6"/>
    <w:rsid w:val="3F1E7AB3"/>
    <w:rsid w:val="3F205E8F"/>
    <w:rsid w:val="3F220F3E"/>
    <w:rsid w:val="3F3F1DF1"/>
    <w:rsid w:val="3F456BB5"/>
    <w:rsid w:val="3F477C8A"/>
    <w:rsid w:val="3F4D4B8A"/>
    <w:rsid w:val="3F537431"/>
    <w:rsid w:val="3F550AF1"/>
    <w:rsid w:val="3F6F3AD5"/>
    <w:rsid w:val="3F7037B0"/>
    <w:rsid w:val="3F733B62"/>
    <w:rsid w:val="3F807FF9"/>
    <w:rsid w:val="3F8908E0"/>
    <w:rsid w:val="3F8C6C9C"/>
    <w:rsid w:val="3F8E306A"/>
    <w:rsid w:val="3F9075E9"/>
    <w:rsid w:val="3FA028CA"/>
    <w:rsid w:val="3FA262D7"/>
    <w:rsid w:val="3FAD1951"/>
    <w:rsid w:val="3FB074EC"/>
    <w:rsid w:val="3FB12512"/>
    <w:rsid w:val="3FB662B8"/>
    <w:rsid w:val="3FB74945"/>
    <w:rsid w:val="3FCA5125"/>
    <w:rsid w:val="3FD35D36"/>
    <w:rsid w:val="3FD45E8C"/>
    <w:rsid w:val="3FDC7ABF"/>
    <w:rsid w:val="3FDF3EF7"/>
    <w:rsid w:val="3FEB765E"/>
    <w:rsid w:val="3FED26AC"/>
    <w:rsid w:val="3FEF0008"/>
    <w:rsid w:val="3FF415FC"/>
    <w:rsid w:val="3FF5383B"/>
    <w:rsid w:val="3FFA5174"/>
    <w:rsid w:val="3FFB583A"/>
    <w:rsid w:val="3FFE707D"/>
    <w:rsid w:val="400B349D"/>
    <w:rsid w:val="400C372F"/>
    <w:rsid w:val="4013045D"/>
    <w:rsid w:val="401626F7"/>
    <w:rsid w:val="40250299"/>
    <w:rsid w:val="40261251"/>
    <w:rsid w:val="402A7859"/>
    <w:rsid w:val="402B0A17"/>
    <w:rsid w:val="40304273"/>
    <w:rsid w:val="40317500"/>
    <w:rsid w:val="40354667"/>
    <w:rsid w:val="40390065"/>
    <w:rsid w:val="40425A1B"/>
    <w:rsid w:val="40437FE1"/>
    <w:rsid w:val="404D648E"/>
    <w:rsid w:val="40550D96"/>
    <w:rsid w:val="40584131"/>
    <w:rsid w:val="40597197"/>
    <w:rsid w:val="405C293C"/>
    <w:rsid w:val="405E74D8"/>
    <w:rsid w:val="40633E9E"/>
    <w:rsid w:val="40635598"/>
    <w:rsid w:val="4065037D"/>
    <w:rsid w:val="40654001"/>
    <w:rsid w:val="40710EEF"/>
    <w:rsid w:val="40711AF2"/>
    <w:rsid w:val="407259F4"/>
    <w:rsid w:val="407978AD"/>
    <w:rsid w:val="407A0C8B"/>
    <w:rsid w:val="407F5D3B"/>
    <w:rsid w:val="40824B78"/>
    <w:rsid w:val="409070D9"/>
    <w:rsid w:val="40910783"/>
    <w:rsid w:val="40997026"/>
    <w:rsid w:val="409B2DFC"/>
    <w:rsid w:val="40A31C02"/>
    <w:rsid w:val="40A33C5B"/>
    <w:rsid w:val="40AA761C"/>
    <w:rsid w:val="40C12B02"/>
    <w:rsid w:val="40C4592B"/>
    <w:rsid w:val="40C75534"/>
    <w:rsid w:val="40CD1FF8"/>
    <w:rsid w:val="40CE4468"/>
    <w:rsid w:val="40D31B3F"/>
    <w:rsid w:val="40D83191"/>
    <w:rsid w:val="40DD7AA3"/>
    <w:rsid w:val="40DE7669"/>
    <w:rsid w:val="40E012AB"/>
    <w:rsid w:val="40E53872"/>
    <w:rsid w:val="40E57193"/>
    <w:rsid w:val="40FE2C89"/>
    <w:rsid w:val="41004718"/>
    <w:rsid w:val="41043167"/>
    <w:rsid w:val="41050C4D"/>
    <w:rsid w:val="410D6E7C"/>
    <w:rsid w:val="411914AF"/>
    <w:rsid w:val="41197350"/>
    <w:rsid w:val="411B1525"/>
    <w:rsid w:val="411C5E6A"/>
    <w:rsid w:val="411D5910"/>
    <w:rsid w:val="41247157"/>
    <w:rsid w:val="412C1169"/>
    <w:rsid w:val="41305C79"/>
    <w:rsid w:val="4135602B"/>
    <w:rsid w:val="413B353A"/>
    <w:rsid w:val="413C171A"/>
    <w:rsid w:val="413D2C3C"/>
    <w:rsid w:val="413E6CBC"/>
    <w:rsid w:val="41490FB6"/>
    <w:rsid w:val="416A2AC9"/>
    <w:rsid w:val="41755310"/>
    <w:rsid w:val="417D2069"/>
    <w:rsid w:val="417E7E8C"/>
    <w:rsid w:val="4184736F"/>
    <w:rsid w:val="419554ED"/>
    <w:rsid w:val="4198356A"/>
    <w:rsid w:val="4199565A"/>
    <w:rsid w:val="419F490F"/>
    <w:rsid w:val="419F7852"/>
    <w:rsid w:val="41A95AD5"/>
    <w:rsid w:val="41AB475B"/>
    <w:rsid w:val="41AE1023"/>
    <w:rsid w:val="41B318E3"/>
    <w:rsid w:val="41BF4CAC"/>
    <w:rsid w:val="41BF4F56"/>
    <w:rsid w:val="41C81C08"/>
    <w:rsid w:val="41C91CC7"/>
    <w:rsid w:val="41CA220E"/>
    <w:rsid w:val="41CD084F"/>
    <w:rsid w:val="41D478A2"/>
    <w:rsid w:val="41D70A97"/>
    <w:rsid w:val="41D94782"/>
    <w:rsid w:val="41D97924"/>
    <w:rsid w:val="41DE5995"/>
    <w:rsid w:val="41E67F53"/>
    <w:rsid w:val="41EF0902"/>
    <w:rsid w:val="41F10E79"/>
    <w:rsid w:val="41F7123C"/>
    <w:rsid w:val="41F75F97"/>
    <w:rsid w:val="41FA19A3"/>
    <w:rsid w:val="41FE411B"/>
    <w:rsid w:val="420E19DE"/>
    <w:rsid w:val="420F315D"/>
    <w:rsid w:val="42114D44"/>
    <w:rsid w:val="42161FDF"/>
    <w:rsid w:val="42273E0E"/>
    <w:rsid w:val="42392F95"/>
    <w:rsid w:val="423A12A0"/>
    <w:rsid w:val="423E42CB"/>
    <w:rsid w:val="424456E4"/>
    <w:rsid w:val="424531B4"/>
    <w:rsid w:val="424D636E"/>
    <w:rsid w:val="42555C17"/>
    <w:rsid w:val="42560995"/>
    <w:rsid w:val="42585F62"/>
    <w:rsid w:val="425D1865"/>
    <w:rsid w:val="42634DC8"/>
    <w:rsid w:val="42646A4A"/>
    <w:rsid w:val="42693368"/>
    <w:rsid w:val="426D2E98"/>
    <w:rsid w:val="427239EC"/>
    <w:rsid w:val="42724F12"/>
    <w:rsid w:val="42756B96"/>
    <w:rsid w:val="42796CD2"/>
    <w:rsid w:val="42844D35"/>
    <w:rsid w:val="428838EE"/>
    <w:rsid w:val="4288705E"/>
    <w:rsid w:val="428E39A9"/>
    <w:rsid w:val="429045E4"/>
    <w:rsid w:val="42930E1E"/>
    <w:rsid w:val="429811C1"/>
    <w:rsid w:val="42987B1B"/>
    <w:rsid w:val="429942F7"/>
    <w:rsid w:val="42A30FB1"/>
    <w:rsid w:val="42A45AAE"/>
    <w:rsid w:val="42A56CB1"/>
    <w:rsid w:val="42A6169C"/>
    <w:rsid w:val="42AB3A5F"/>
    <w:rsid w:val="42AB5FA3"/>
    <w:rsid w:val="42AD3148"/>
    <w:rsid w:val="42AE2139"/>
    <w:rsid w:val="42AE4F10"/>
    <w:rsid w:val="42B44078"/>
    <w:rsid w:val="42B676DF"/>
    <w:rsid w:val="42CC5633"/>
    <w:rsid w:val="42E65C37"/>
    <w:rsid w:val="42FC56DB"/>
    <w:rsid w:val="430D50F3"/>
    <w:rsid w:val="432E1185"/>
    <w:rsid w:val="432E7259"/>
    <w:rsid w:val="4339034A"/>
    <w:rsid w:val="433B37B6"/>
    <w:rsid w:val="433B798C"/>
    <w:rsid w:val="433C325A"/>
    <w:rsid w:val="43470B8B"/>
    <w:rsid w:val="435529D8"/>
    <w:rsid w:val="435F2D21"/>
    <w:rsid w:val="43632959"/>
    <w:rsid w:val="43646392"/>
    <w:rsid w:val="436F4D19"/>
    <w:rsid w:val="43777547"/>
    <w:rsid w:val="437944DD"/>
    <w:rsid w:val="437B2C1C"/>
    <w:rsid w:val="437B6E34"/>
    <w:rsid w:val="437C259B"/>
    <w:rsid w:val="43834759"/>
    <w:rsid w:val="4385383E"/>
    <w:rsid w:val="438549D8"/>
    <w:rsid w:val="438B1251"/>
    <w:rsid w:val="438E345C"/>
    <w:rsid w:val="43A061CE"/>
    <w:rsid w:val="43AB7E1D"/>
    <w:rsid w:val="43AD4C6B"/>
    <w:rsid w:val="43B05EF4"/>
    <w:rsid w:val="43B14813"/>
    <w:rsid w:val="43B63AD2"/>
    <w:rsid w:val="43BF016B"/>
    <w:rsid w:val="43C06214"/>
    <w:rsid w:val="43D0648D"/>
    <w:rsid w:val="43D07909"/>
    <w:rsid w:val="43D25548"/>
    <w:rsid w:val="43D37FB2"/>
    <w:rsid w:val="43D630F5"/>
    <w:rsid w:val="43DB028A"/>
    <w:rsid w:val="43DB3878"/>
    <w:rsid w:val="43DD4B78"/>
    <w:rsid w:val="43DF344E"/>
    <w:rsid w:val="43E13165"/>
    <w:rsid w:val="43E33249"/>
    <w:rsid w:val="43F455E5"/>
    <w:rsid w:val="43F8761C"/>
    <w:rsid w:val="43F92F6A"/>
    <w:rsid w:val="43F93E1E"/>
    <w:rsid w:val="43FC57F4"/>
    <w:rsid w:val="44033458"/>
    <w:rsid w:val="44164CF1"/>
    <w:rsid w:val="441A76B9"/>
    <w:rsid w:val="44255924"/>
    <w:rsid w:val="44287AE0"/>
    <w:rsid w:val="442B7DC0"/>
    <w:rsid w:val="443077F0"/>
    <w:rsid w:val="44386C5A"/>
    <w:rsid w:val="443D1059"/>
    <w:rsid w:val="4440217A"/>
    <w:rsid w:val="444A47C5"/>
    <w:rsid w:val="44541EC4"/>
    <w:rsid w:val="445634F0"/>
    <w:rsid w:val="44654092"/>
    <w:rsid w:val="44670B85"/>
    <w:rsid w:val="446A0FE0"/>
    <w:rsid w:val="446E52C0"/>
    <w:rsid w:val="446F0E88"/>
    <w:rsid w:val="447D4F41"/>
    <w:rsid w:val="44816ADE"/>
    <w:rsid w:val="44825FF4"/>
    <w:rsid w:val="44831C97"/>
    <w:rsid w:val="448773CC"/>
    <w:rsid w:val="44897A3F"/>
    <w:rsid w:val="448B3192"/>
    <w:rsid w:val="448D71B8"/>
    <w:rsid w:val="44961657"/>
    <w:rsid w:val="44977E91"/>
    <w:rsid w:val="4498530D"/>
    <w:rsid w:val="449B5EC3"/>
    <w:rsid w:val="449D0473"/>
    <w:rsid w:val="449E4513"/>
    <w:rsid w:val="44A24FE7"/>
    <w:rsid w:val="44A710DE"/>
    <w:rsid w:val="44B63734"/>
    <w:rsid w:val="44C25F82"/>
    <w:rsid w:val="44C67295"/>
    <w:rsid w:val="44CC0CB2"/>
    <w:rsid w:val="44CD68D6"/>
    <w:rsid w:val="44E13810"/>
    <w:rsid w:val="44E25A71"/>
    <w:rsid w:val="44EE11DD"/>
    <w:rsid w:val="44F74FD3"/>
    <w:rsid w:val="44F778E0"/>
    <w:rsid w:val="44F86870"/>
    <w:rsid w:val="44FE7D7E"/>
    <w:rsid w:val="450506D1"/>
    <w:rsid w:val="4511292A"/>
    <w:rsid w:val="45137D33"/>
    <w:rsid w:val="451444FF"/>
    <w:rsid w:val="45165358"/>
    <w:rsid w:val="45171222"/>
    <w:rsid w:val="451B7574"/>
    <w:rsid w:val="451E7541"/>
    <w:rsid w:val="45234DD7"/>
    <w:rsid w:val="4527342F"/>
    <w:rsid w:val="452D6AE4"/>
    <w:rsid w:val="452E72AD"/>
    <w:rsid w:val="453A7645"/>
    <w:rsid w:val="453B32B5"/>
    <w:rsid w:val="453C03B0"/>
    <w:rsid w:val="453C562C"/>
    <w:rsid w:val="45457458"/>
    <w:rsid w:val="454E4983"/>
    <w:rsid w:val="454F6FCB"/>
    <w:rsid w:val="45501FB1"/>
    <w:rsid w:val="4559235B"/>
    <w:rsid w:val="455C1BD0"/>
    <w:rsid w:val="455C27A4"/>
    <w:rsid w:val="456B47AA"/>
    <w:rsid w:val="456D583B"/>
    <w:rsid w:val="457C3E50"/>
    <w:rsid w:val="457F6F8B"/>
    <w:rsid w:val="458018D9"/>
    <w:rsid w:val="4581455D"/>
    <w:rsid w:val="45893A00"/>
    <w:rsid w:val="459606DF"/>
    <w:rsid w:val="459613BA"/>
    <w:rsid w:val="45962DE6"/>
    <w:rsid w:val="459E3055"/>
    <w:rsid w:val="45A61B3A"/>
    <w:rsid w:val="45AB6BDD"/>
    <w:rsid w:val="45AF4827"/>
    <w:rsid w:val="45B010A2"/>
    <w:rsid w:val="45B66959"/>
    <w:rsid w:val="45B84E72"/>
    <w:rsid w:val="45BB3FCA"/>
    <w:rsid w:val="45BC7A27"/>
    <w:rsid w:val="45BF14A2"/>
    <w:rsid w:val="45C352E5"/>
    <w:rsid w:val="45C54E36"/>
    <w:rsid w:val="45C774CB"/>
    <w:rsid w:val="45CE0D06"/>
    <w:rsid w:val="45D17459"/>
    <w:rsid w:val="45D2467C"/>
    <w:rsid w:val="45D60693"/>
    <w:rsid w:val="45D95A15"/>
    <w:rsid w:val="45DB3068"/>
    <w:rsid w:val="45DE208A"/>
    <w:rsid w:val="45E3448A"/>
    <w:rsid w:val="45E4060A"/>
    <w:rsid w:val="45E81F32"/>
    <w:rsid w:val="45EE7C06"/>
    <w:rsid w:val="45F82C37"/>
    <w:rsid w:val="45FD4689"/>
    <w:rsid w:val="45FE272D"/>
    <w:rsid w:val="45FF0C82"/>
    <w:rsid w:val="45FF4977"/>
    <w:rsid w:val="46056407"/>
    <w:rsid w:val="46117A0C"/>
    <w:rsid w:val="461D47F6"/>
    <w:rsid w:val="46250202"/>
    <w:rsid w:val="46256A6C"/>
    <w:rsid w:val="462768F0"/>
    <w:rsid w:val="46302135"/>
    <w:rsid w:val="46425A85"/>
    <w:rsid w:val="464530B3"/>
    <w:rsid w:val="46477826"/>
    <w:rsid w:val="46483167"/>
    <w:rsid w:val="46487D93"/>
    <w:rsid w:val="46515992"/>
    <w:rsid w:val="46562641"/>
    <w:rsid w:val="46597C33"/>
    <w:rsid w:val="465F16C7"/>
    <w:rsid w:val="466207F0"/>
    <w:rsid w:val="46630198"/>
    <w:rsid w:val="46635F58"/>
    <w:rsid w:val="46657D48"/>
    <w:rsid w:val="46676D40"/>
    <w:rsid w:val="466F385C"/>
    <w:rsid w:val="46701DCB"/>
    <w:rsid w:val="467A2317"/>
    <w:rsid w:val="467B6413"/>
    <w:rsid w:val="467F4BB8"/>
    <w:rsid w:val="468052B4"/>
    <w:rsid w:val="468A51AF"/>
    <w:rsid w:val="469526C3"/>
    <w:rsid w:val="469D0D71"/>
    <w:rsid w:val="469E2B82"/>
    <w:rsid w:val="46A46B26"/>
    <w:rsid w:val="46A86DFA"/>
    <w:rsid w:val="46AD3D25"/>
    <w:rsid w:val="46B768B8"/>
    <w:rsid w:val="46B9296F"/>
    <w:rsid w:val="46BE777D"/>
    <w:rsid w:val="46C54A54"/>
    <w:rsid w:val="46C84A26"/>
    <w:rsid w:val="46CC53CC"/>
    <w:rsid w:val="46D00EAA"/>
    <w:rsid w:val="46D15F59"/>
    <w:rsid w:val="46D32184"/>
    <w:rsid w:val="46D405CF"/>
    <w:rsid w:val="46D54D3D"/>
    <w:rsid w:val="46DF2060"/>
    <w:rsid w:val="46DF216E"/>
    <w:rsid w:val="46E05C79"/>
    <w:rsid w:val="46EC1932"/>
    <w:rsid w:val="46EC6BFB"/>
    <w:rsid w:val="4703652C"/>
    <w:rsid w:val="471071F0"/>
    <w:rsid w:val="47125C3C"/>
    <w:rsid w:val="471513F0"/>
    <w:rsid w:val="471D53BB"/>
    <w:rsid w:val="472406A9"/>
    <w:rsid w:val="47306B07"/>
    <w:rsid w:val="47350DBF"/>
    <w:rsid w:val="473D3124"/>
    <w:rsid w:val="47412AB4"/>
    <w:rsid w:val="474F2D51"/>
    <w:rsid w:val="47540696"/>
    <w:rsid w:val="47545370"/>
    <w:rsid w:val="4756476B"/>
    <w:rsid w:val="4759655B"/>
    <w:rsid w:val="47634EA2"/>
    <w:rsid w:val="47646EB6"/>
    <w:rsid w:val="47676B4F"/>
    <w:rsid w:val="47686D6D"/>
    <w:rsid w:val="477000B4"/>
    <w:rsid w:val="477A096A"/>
    <w:rsid w:val="477E4EA1"/>
    <w:rsid w:val="47810A02"/>
    <w:rsid w:val="47853956"/>
    <w:rsid w:val="47887235"/>
    <w:rsid w:val="478C60C1"/>
    <w:rsid w:val="478F48F8"/>
    <w:rsid w:val="47987003"/>
    <w:rsid w:val="479A609D"/>
    <w:rsid w:val="479C1ED5"/>
    <w:rsid w:val="47A36E50"/>
    <w:rsid w:val="47A75C23"/>
    <w:rsid w:val="47A8329F"/>
    <w:rsid w:val="47AA4F13"/>
    <w:rsid w:val="47AF3E2F"/>
    <w:rsid w:val="47B802D5"/>
    <w:rsid w:val="47BF2180"/>
    <w:rsid w:val="47C2233E"/>
    <w:rsid w:val="47C33FB3"/>
    <w:rsid w:val="47C742E5"/>
    <w:rsid w:val="47D145B4"/>
    <w:rsid w:val="47D34933"/>
    <w:rsid w:val="47D71A31"/>
    <w:rsid w:val="47DB2B5D"/>
    <w:rsid w:val="47DE2798"/>
    <w:rsid w:val="47E27660"/>
    <w:rsid w:val="47E43CAB"/>
    <w:rsid w:val="47E57785"/>
    <w:rsid w:val="47FA32E7"/>
    <w:rsid w:val="4808669E"/>
    <w:rsid w:val="480E2D51"/>
    <w:rsid w:val="48136AEC"/>
    <w:rsid w:val="48173A55"/>
    <w:rsid w:val="481B3641"/>
    <w:rsid w:val="48276AB4"/>
    <w:rsid w:val="48376717"/>
    <w:rsid w:val="4839573B"/>
    <w:rsid w:val="483A1691"/>
    <w:rsid w:val="483E3B36"/>
    <w:rsid w:val="483F7BF0"/>
    <w:rsid w:val="48461047"/>
    <w:rsid w:val="48474A69"/>
    <w:rsid w:val="484760B2"/>
    <w:rsid w:val="484905AA"/>
    <w:rsid w:val="484A0371"/>
    <w:rsid w:val="48595887"/>
    <w:rsid w:val="485D12F4"/>
    <w:rsid w:val="4864541A"/>
    <w:rsid w:val="486530E0"/>
    <w:rsid w:val="48673101"/>
    <w:rsid w:val="486B1200"/>
    <w:rsid w:val="486E11C5"/>
    <w:rsid w:val="48762817"/>
    <w:rsid w:val="4877204A"/>
    <w:rsid w:val="488115E8"/>
    <w:rsid w:val="48812825"/>
    <w:rsid w:val="488271F5"/>
    <w:rsid w:val="48852EAF"/>
    <w:rsid w:val="489A1FA5"/>
    <w:rsid w:val="489D7883"/>
    <w:rsid w:val="48B06920"/>
    <w:rsid w:val="48B3540F"/>
    <w:rsid w:val="48B7363F"/>
    <w:rsid w:val="48C90590"/>
    <w:rsid w:val="48C957E6"/>
    <w:rsid w:val="48CF41F5"/>
    <w:rsid w:val="48D85762"/>
    <w:rsid w:val="48DA3D29"/>
    <w:rsid w:val="48DD66D4"/>
    <w:rsid w:val="48F64222"/>
    <w:rsid w:val="48FB6396"/>
    <w:rsid w:val="48FF1522"/>
    <w:rsid w:val="4903613A"/>
    <w:rsid w:val="49107C2B"/>
    <w:rsid w:val="49120B46"/>
    <w:rsid w:val="49255456"/>
    <w:rsid w:val="49257E42"/>
    <w:rsid w:val="492E50FF"/>
    <w:rsid w:val="49405799"/>
    <w:rsid w:val="494375B2"/>
    <w:rsid w:val="494E0F8A"/>
    <w:rsid w:val="49526D8B"/>
    <w:rsid w:val="495402EC"/>
    <w:rsid w:val="49566F68"/>
    <w:rsid w:val="495D646F"/>
    <w:rsid w:val="49666BDC"/>
    <w:rsid w:val="496B184C"/>
    <w:rsid w:val="496C10B8"/>
    <w:rsid w:val="497E23E8"/>
    <w:rsid w:val="49844FA5"/>
    <w:rsid w:val="498464C6"/>
    <w:rsid w:val="4987101F"/>
    <w:rsid w:val="49895BAE"/>
    <w:rsid w:val="499054C2"/>
    <w:rsid w:val="49936E39"/>
    <w:rsid w:val="499C52FD"/>
    <w:rsid w:val="49A10D07"/>
    <w:rsid w:val="49A65CF0"/>
    <w:rsid w:val="49A802EB"/>
    <w:rsid w:val="49B55383"/>
    <w:rsid w:val="49BD0F32"/>
    <w:rsid w:val="49C55C9F"/>
    <w:rsid w:val="49CD1A26"/>
    <w:rsid w:val="49D36EDD"/>
    <w:rsid w:val="49D5635D"/>
    <w:rsid w:val="49D63310"/>
    <w:rsid w:val="49DD0DAF"/>
    <w:rsid w:val="49E10606"/>
    <w:rsid w:val="49E81A2F"/>
    <w:rsid w:val="49EB0663"/>
    <w:rsid w:val="49F428B5"/>
    <w:rsid w:val="49F5010B"/>
    <w:rsid w:val="49FA1C99"/>
    <w:rsid w:val="49FC65F4"/>
    <w:rsid w:val="4A09309D"/>
    <w:rsid w:val="4A0B3954"/>
    <w:rsid w:val="4A0E2A13"/>
    <w:rsid w:val="4A215942"/>
    <w:rsid w:val="4A262E87"/>
    <w:rsid w:val="4A271ED1"/>
    <w:rsid w:val="4A3C2A3E"/>
    <w:rsid w:val="4A471C74"/>
    <w:rsid w:val="4A4805E4"/>
    <w:rsid w:val="4A5032AD"/>
    <w:rsid w:val="4A517C6C"/>
    <w:rsid w:val="4A585473"/>
    <w:rsid w:val="4A592152"/>
    <w:rsid w:val="4A660C8E"/>
    <w:rsid w:val="4A696E6A"/>
    <w:rsid w:val="4A6B12D2"/>
    <w:rsid w:val="4A6D6364"/>
    <w:rsid w:val="4A77312F"/>
    <w:rsid w:val="4A794ADE"/>
    <w:rsid w:val="4A800F21"/>
    <w:rsid w:val="4A8614A5"/>
    <w:rsid w:val="4A8A38E9"/>
    <w:rsid w:val="4A8F7676"/>
    <w:rsid w:val="4A92696D"/>
    <w:rsid w:val="4A947FFA"/>
    <w:rsid w:val="4A9932BF"/>
    <w:rsid w:val="4A9C6735"/>
    <w:rsid w:val="4A9E2F9E"/>
    <w:rsid w:val="4AA12393"/>
    <w:rsid w:val="4AA55471"/>
    <w:rsid w:val="4AAB15F3"/>
    <w:rsid w:val="4AB77D1E"/>
    <w:rsid w:val="4AB81D9B"/>
    <w:rsid w:val="4AB87063"/>
    <w:rsid w:val="4ABC7831"/>
    <w:rsid w:val="4ABF0F74"/>
    <w:rsid w:val="4ACC01CF"/>
    <w:rsid w:val="4AD326B5"/>
    <w:rsid w:val="4AD93302"/>
    <w:rsid w:val="4ADB00D7"/>
    <w:rsid w:val="4ADE44E5"/>
    <w:rsid w:val="4AE67186"/>
    <w:rsid w:val="4AE70496"/>
    <w:rsid w:val="4AEE74C2"/>
    <w:rsid w:val="4AFC106F"/>
    <w:rsid w:val="4B0150D9"/>
    <w:rsid w:val="4B0F1E9C"/>
    <w:rsid w:val="4B1B1676"/>
    <w:rsid w:val="4B1E13A5"/>
    <w:rsid w:val="4B1E3B10"/>
    <w:rsid w:val="4B1E48AB"/>
    <w:rsid w:val="4B1F0773"/>
    <w:rsid w:val="4B2162AE"/>
    <w:rsid w:val="4B2A2364"/>
    <w:rsid w:val="4B2B7BAB"/>
    <w:rsid w:val="4B35079B"/>
    <w:rsid w:val="4B365DC2"/>
    <w:rsid w:val="4B367FF5"/>
    <w:rsid w:val="4B424D37"/>
    <w:rsid w:val="4B4956A9"/>
    <w:rsid w:val="4B4B3B96"/>
    <w:rsid w:val="4B510E1A"/>
    <w:rsid w:val="4B551D77"/>
    <w:rsid w:val="4B5818F4"/>
    <w:rsid w:val="4B611065"/>
    <w:rsid w:val="4B684F95"/>
    <w:rsid w:val="4B697899"/>
    <w:rsid w:val="4B706BC3"/>
    <w:rsid w:val="4B75759C"/>
    <w:rsid w:val="4B7C333C"/>
    <w:rsid w:val="4B8005A7"/>
    <w:rsid w:val="4B811D6F"/>
    <w:rsid w:val="4B811D9C"/>
    <w:rsid w:val="4B82121D"/>
    <w:rsid w:val="4B822E90"/>
    <w:rsid w:val="4B881524"/>
    <w:rsid w:val="4B895DAC"/>
    <w:rsid w:val="4B8B2B79"/>
    <w:rsid w:val="4B90473D"/>
    <w:rsid w:val="4B9443C6"/>
    <w:rsid w:val="4B994CF2"/>
    <w:rsid w:val="4B9D70E8"/>
    <w:rsid w:val="4BA86985"/>
    <w:rsid w:val="4BAA5FAA"/>
    <w:rsid w:val="4BB25C20"/>
    <w:rsid w:val="4BB9185E"/>
    <w:rsid w:val="4BBB7097"/>
    <w:rsid w:val="4BC35DE3"/>
    <w:rsid w:val="4BC60DA2"/>
    <w:rsid w:val="4BC72430"/>
    <w:rsid w:val="4BC831D3"/>
    <w:rsid w:val="4BD4655F"/>
    <w:rsid w:val="4BD958A2"/>
    <w:rsid w:val="4BDC4D8A"/>
    <w:rsid w:val="4BEB5DC5"/>
    <w:rsid w:val="4BED533C"/>
    <w:rsid w:val="4BF31C86"/>
    <w:rsid w:val="4BF348B0"/>
    <w:rsid w:val="4BF4642B"/>
    <w:rsid w:val="4BF569AF"/>
    <w:rsid w:val="4BF76CBA"/>
    <w:rsid w:val="4C0366CE"/>
    <w:rsid w:val="4C050512"/>
    <w:rsid w:val="4C083B41"/>
    <w:rsid w:val="4C136DA9"/>
    <w:rsid w:val="4C1C654C"/>
    <w:rsid w:val="4C1E41EA"/>
    <w:rsid w:val="4C290B95"/>
    <w:rsid w:val="4C3017D2"/>
    <w:rsid w:val="4C55269C"/>
    <w:rsid w:val="4C576922"/>
    <w:rsid w:val="4C5A1893"/>
    <w:rsid w:val="4C5F0830"/>
    <w:rsid w:val="4C6F02F5"/>
    <w:rsid w:val="4C716A52"/>
    <w:rsid w:val="4C744F2A"/>
    <w:rsid w:val="4C7B5BF5"/>
    <w:rsid w:val="4C7D2A3C"/>
    <w:rsid w:val="4C80486D"/>
    <w:rsid w:val="4C810C2E"/>
    <w:rsid w:val="4C817218"/>
    <w:rsid w:val="4C81737E"/>
    <w:rsid w:val="4C847392"/>
    <w:rsid w:val="4C852AC1"/>
    <w:rsid w:val="4C8D5E8E"/>
    <w:rsid w:val="4C971053"/>
    <w:rsid w:val="4C9F2B99"/>
    <w:rsid w:val="4CA22EE0"/>
    <w:rsid w:val="4CA26B9F"/>
    <w:rsid w:val="4CAA0AD1"/>
    <w:rsid w:val="4CAC0624"/>
    <w:rsid w:val="4CAF529C"/>
    <w:rsid w:val="4CBB2C89"/>
    <w:rsid w:val="4CBF64EA"/>
    <w:rsid w:val="4CC27BAF"/>
    <w:rsid w:val="4CC76D4F"/>
    <w:rsid w:val="4CC83F7A"/>
    <w:rsid w:val="4CC9184A"/>
    <w:rsid w:val="4CCF2953"/>
    <w:rsid w:val="4CDD2453"/>
    <w:rsid w:val="4CDE6213"/>
    <w:rsid w:val="4CE07FF1"/>
    <w:rsid w:val="4CE2042C"/>
    <w:rsid w:val="4CE46229"/>
    <w:rsid w:val="4CF9395E"/>
    <w:rsid w:val="4CF97C9F"/>
    <w:rsid w:val="4CFD135A"/>
    <w:rsid w:val="4D097361"/>
    <w:rsid w:val="4D0D6C1F"/>
    <w:rsid w:val="4D0E205B"/>
    <w:rsid w:val="4D0F5E9B"/>
    <w:rsid w:val="4D121321"/>
    <w:rsid w:val="4D1A4EF5"/>
    <w:rsid w:val="4D2B0587"/>
    <w:rsid w:val="4D3B72C6"/>
    <w:rsid w:val="4D3D7B55"/>
    <w:rsid w:val="4D4701E2"/>
    <w:rsid w:val="4D475A39"/>
    <w:rsid w:val="4D483674"/>
    <w:rsid w:val="4D49644E"/>
    <w:rsid w:val="4D4E1ECD"/>
    <w:rsid w:val="4D510D91"/>
    <w:rsid w:val="4D514892"/>
    <w:rsid w:val="4D520B76"/>
    <w:rsid w:val="4D545FD5"/>
    <w:rsid w:val="4D5C31ED"/>
    <w:rsid w:val="4D5F6C23"/>
    <w:rsid w:val="4D60710E"/>
    <w:rsid w:val="4D6108A6"/>
    <w:rsid w:val="4D6441FC"/>
    <w:rsid w:val="4D6767E5"/>
    <w:rsid w:val="4D6E2231"/>
    <w:rsid w:val="4D7137F2"/>
    <w:rsid w:val="4D7E2784"/>
    <w:rsid w:val="4D811BB9"/>
    <w:rsid w:val="4D834F55"/>
    <w:rsid w:val="4D8B3995"/>
    <w:rsid w:val="4D8B6E7A"/>
    <w:rsid w:val="4D8D3FFD"/>
    <w:rsid w:val="4D932D64"/>
    <w:rsid w:val="4DA17587"/>
    <w:rsid w:val="4DB31569"/>
    <w:rsid w:val="4DB60656"/>
    <w:rsid w:val="4DBD2202"/>
    <w:rsid w:val="4DBE41BB"/>
    <w:rsid w:val="4DC11FD0"/>
    <w:rsid w:val="4DC233D6"/>
    <w:rsid w:val="4DC523CD"/>
    <w:rsid w:val="4DC85EC5"/>
    <w:rsid w:val="4DCC3E58"/>
    <w:rsid w:val="4DD83329"/>
    <w:rsid w:val="4DDA1A76"/>
    <w:rsid w:val="4DDE5C63"/>
    <w:rsid w:val="4DE1256C"/>
    <w:rsid w:val="4DE718FE"/>
    <w:rsid w:val="4DEE592E"/>
    <w:rsid w:val="4DF21586"/>
    <w:rsid w:val="4DFB4868"/>
    <w:rsid w:val="4DFC7E26"/>
    <w:rsid w:val="4DFF1C48"/>
    <w:rsid w:val="4E013507"/>
    <w:rsid w:val="4E06127B"/>
    <w:rsid w:val="4E0C02FD"/>
    <w:rsid w:val="4E0D5BD1"/>
    <w:rsid w:val="4E1E4C15"/>
    <w:rsid w:val="4E30458B"/>
    <w:rsid w:val="4E355FB3"/>
    <w:rsid w:val="4E375EE6"/>
    <w:rsid w:val="4E423549"/>
    <w:rsid w:val="4E4E22FD"/>
    <w:rsid w:val="4E513C42"/>
    <w:rsid w:val="4E524288"/>
    <w:rsid w:val="4E7A4B13"/>
    <w:rsid w:val="4E817DEC"/>
    <w:rsid w:val="4E863922"/>
    <w:rsid w:val="4E8C19B1"/>
    <w:rsid w:val="4E8F0EB4"/>
    <w:rsid w:val="4E8F76FC"/>
    <w:rsid w:val="4E94136D"/>
    <w:rsid w:val="4E941EF9"/>
    <w:rsid w:val="4EB1001B"/>
    <w:rsid w:val="4EB3229B"/>
    <w:rsid w:val="4EB4258E"/>
    <w:rsid w:val="4EC42675"/>
    <w:rsid w:val="4EC6414C"/>
    <w:rsid w:val="4ECA5F3F"/>
    <w:rsid w:val="4ECB1E81"/>
    <w:rsid w:val="4ECB77AD"/>
    <w:rsid w:val="4ECD207B"/>
    <w:rsid w:val="4ED4515E"/>
    <w:rsid w:val="4ED47F53"/>
    <w:rsid w:val="4ED7683B"/>
    <w:rsid w:val="4EDE5414"/>
    <w:rsid w:val="4EE77752"/>
    <w:rsid w:val="4EE804E7"/>
    <w:rsid w:val="4EEC531E"/>
    <w:rsid w:val="4EEF0FA9"/>
    <w:rsid w:val="4EF241E0"/>
    <w:rsid w:val="4F0056C0"/>
    <w:rsid w:val="4F0161C4"/>
    <w:rsid w:val="4F073ED1"/>
    <w:rsid w:val="4F0E46D4"/>
    <w:rsid w:val="4F17359F"/>
    <w:rsid w:val="4F1B323A"/>
    <w:rsid w:val="4F1B72AC"/>
    <w:rsid w:val="4F232611"/>
    <w:rsid w:val="4F2B08F5"/>
    <w:rsid w:val="4F314B9F"/>
    <w:rsid w:val="4F372A53"/>
    <w:rsid w:val="4F3B3338"/>
    <w:rsid w:val="4F3C165C"/>
    <w:rsid w:val="4F3F5E4C"/>
    <w:rsid w:val="4F4D3F63"/>
    <w:rsid w:val="4F59257C"/>
    <w:rsid w:val="4F5D7C15"/>
    <w:rsid w:val="4F6216DA"/>
    <w:rsid w:val="4F657B06"/>
    <w:rsid w:val="4F687793"/>
    <w:rsid w:val="4F6D5600"/>
    <w:rsid w:val="4F76147F"/>
    <w:rsid w:val="4F7838A9"/>
    <w:rsid w:val="4F7B47C0"/>
    <w:rsid w:val="4F824B05"/>
    <w:rsid w:val="4F892A47"/>
    <w:rsid w:val="4F941040"/>
    <w:rsid w:val="4F9B1ECD"/>
    <w:rsid w:val="4F9D2E8F"/>
    <w:rsid w:val="4F9E0E81"/>
    <w:rsid w:val="4FA331F3"/>
    <w:rsid w:val="4FA8346F"/>
    <w:rsid w:val="4FAB6E4E"/>
    <w:rsid w:val="4FB1090E"/>
    <w:rsid w:val="4FB40942"/>
    <w:rsid w:val="4FB45970"/>
    <w:rsid w:val="4FB80E11"/>
    <w:rsid w:val="4FCE1972"/>
    <w:rsid w:val="4FD017B1"/>
    <w:rsid w:val="4FD06747"/>
    <w:rsid w:val="4FD5322F"/>
    <w:rsid w:val="4FD711E8"/>
    <w:rsid w:val="4FE022C8"/>
    <w:rsid w:val="4FE307AF"/>
    <w:rsid w:val="4FE708A8"/>
    <w:rsid w:val="4FF757D8"/>
    <w:rsid w:val="50041136"/>
    <w:rsid w:val="50097475"/>
    <w:rsid w:val="50103DDC"/>
    <w:rsid w:val="50106131"/>
    <w:rsid w:val="501D0A76"/>
    <w:rsid w:val="5021057B"/>
    <w:rsid w:val="50230AD8"/>
    <w:rsid w:val="50272C2F"/>
    <w:rsid w:val="50296647"/>
    <w:rsid w:val="502A1B5E"/>
    <w:rsid w:val="502B7957"/>
    <w:rsid w:val="502C5DC1"/>
    <w:rsid w:val="502F5206"/>
    <w:rsid w:val="503012BF"/>
    <w:rsid w:val="50313DB9"/>
    <w:rsid w:val="50360C0E"/>
    <w:rsid w:val="50381A68"/>
    <w:rsid w:val="503866AB"/>
    <w:rsid w:val="50394E15"/>
    <w:rsid w:val="50450E3A"/>
    <w:rsid w:val="505103AA"/>
    <w:rsid w:val="50524C29"/>
    <w:rsid w:val="505966E2"/>
    <w:rsid w:val="505A5033"/>
    <w:rsid w:val="505A720C"/>
    <w:rsid w:val="506A6524"/>
    <w:rsid w:val="506F6B5E"/>
    <w:rsid w:val="50767EDE"/>
    <w:rsid w:val="50780FA0"/>
    <w:rsid w:val="50833A1B"/>
    <w:rsid w:val="508B49A4"/>
    <w:rsid w:val="508B5BFA"/>
    <w:rsid w:val="508E52B4"/>
    <w:rsid w:val="509F4D06"/>
    <w:rsid w:val="50A02913"/>
    <w:rsid w:val="50A14FB2"/>
    <w:rsid w:val="50A73756"/>
    <w:rsid w:val="50B50169"/>
    <w:rsid w:val="50B67F70"/>
    <w:rsid w:val="50BD395C"/>
    <w:rsid w:val="50C06D61"/>
    <w:rsid w:val="50C17E65"/>
    <w:rsid w:val="50C56207"/>
    <w:rsid w:val="50CF20B3"/>
    <w:rsid w:val="50D12F28"/>
    <w:rsid w:val="50D133DD"/>
    <w:rsid w:val="50E302A1"/>
    <w:rsid w:val="50E423D8"/>
    <w:rsid w:val="50E81129"/>
    <w:rsid w:val="50EB3A31"/>
    <w:rsid w:val="50EC40FF"/>
    <w:rsid w:val="50ED3647"/>
    <w:rsid w:val="50F805A9"/>
    <w:rsid w:val="50FC7433"/>
    <w:rsid w:val="50FF3D5C"/>
    <w:rsid w:val="5107003B"/>
    <w:rsid w:val="510A6B96"/>
    <w:rsid w:val="51182261"/>
    <w:rsid w:val="511A7E02"/>
    <w:rsid w:val="512439AA"/>
    <w:rsid w:val="51285A57"/>
    <w:rsid w:val="512D498B"/>
    <w:rsid w:val="512F31CA"/>
    <w:rsid w:val="51367775"/>
    <w:rsid w:val="513770DD"/>
    <w:rsid w:val="513F0943"/>
    <w:rsid w:val="513F75DE"/>
    <w:rsid w:val="51424943"/>
    <w:rsid w:val="5149134E"/>
    <w:rsid w:val="51495337"/>
    <w:rsid w:val="514C0CE5"/>
    <w:rsid w:val="514F6AF5"/>
    <w:rsid w:val="515A4D68"/>
    <w:rsid w:val="516E4E11"/>
    <w:rsid w:val="5187048E"/>
    <w:rsid w:val="519508D0"/>
    <w:rsid w:val="51964FCC"/>
    <w:rsid w:val="519B146C"/>
    <w:rsid w:val="519C7603"/>
    <w:rsid w:val="51B0411C"/>
    <w:rsid w:val="51B403C8"/>
    <w:rsid w:val="51C6358F"/>
    <w:rsid w:val="51C73EF2"/>
    <w:rsid w:val="51CB6D06"/>
    <w:rsid w:val="51D82D90"/>
    <w:rsid w:val="51DA528C"/>
    <w:rsid w:val="51ED3B63"/>
    <w:rsid w:val="51EF0C7A"/>
    <w:rsid w:val="51F42C39"/>
    <w:rsid w:val="51F7091F"/>
    <w:rsid w:val="51FC6819"/>
    <w:rsid w:val="5202412A"/>
    <w:rsid w:val="52083975"/>
    <w:rsid w:val="520B5DBD"/>
    <w:rsid w:val="5212307E"/>
    <w:rsid w:val="521A0DB8"/>
    <w:rsid w:val="521D4A6F"/>
    <w:rsid w:val="521E40ED"/>
    <w:rsid w:val="521F5193"/>
    <w:rsid w:val="52297222"/>
    <w:rsid w:val="52305A7F"/>
    <w:rsid w:val="52326813"/>
    <w:rsid w:val="52374E96"/>
    <w:rsid w:val="52401F59"/>
    <w:rsid w:val="52427B51"/>
    <w:rsid w:val="524869CA"/>
    <w:rsid w:val="524A4952"/>
    <w:rsid w:val="524C2FF1"/>
    <w:rsid w:val="52502E26"/>
    <w:rsid w:val="52503337"/>
    <w:rsid w:val="525409DD"/>
    <w:rsid w:val="52547DAF"/>
    <w:rsid w:val="526051A1"/>
    <w:rsid w:val="526A1C5C"/>
    <w:rsid w:val="526B0A25"/>
    <w:rsid w:val="52735DA3"/>
    <w:rsid w:val="52744220"/>
    <w:rsid w:val="52751F7E"/>
    <w:rsid w:val="527B6698"/>
    <w:rsid w:val="527E268C"/>
    <w:rsid w:val="528B3E02"/>
    <w:rsid w:val="52924BB0"/>
    <w:rsid w:val="529A56CA"/>
    <w:rsid w:val="52A01CC2"/>
    <w:rsid w:val="52A72713"/>
    <w:rsid w:val="52A75355"/>
    <w:rsid w:val="52A8035E"/>
    <w:rsid w:val="52A86D06"/>
    <w:rsid w:val="52B0433E"/>
    <w:rsid w:val="52B10C6E"/>
    <w:rsid w:val="52B13FB5"/>
    <w:rsid w:val="52B92FD1"/>
    <w:rsid w:val="52BA66A9"/>
    <w:rsid w:val="52BB5711"/>
    <w:rsid w:val="52C61B9E"/>
    <w:rsid w:val="52CD61B7"/>
    <w:rsid w:val="52CE5CAC"/>
    <w:rsid w:val="52D86229"/>
    <w:rsid w:val="52DA2A76"/>
    <w:rsid w:val="52E10667"/>
    <w:rsid w:val="52E737E3"/>
    <w:rsid w:val="52F75B4A"/>
    <w:rsid w:val="52FF022D"/>
    <w:rsid w:val="530130CC"/>
    <w:rsid w:val="530A54A3"/>
    <w:rsid w:val="531A0E78"/>
    <w:rsid w:val="531A5479"/>
    <w:rsid w:val="531B69A6"/>
    <w:rsid w:val="531C1E6C"/>
    <w:rsid w:val="53203C95"/>
    <w:rsid w:val="53216F90"/>
    <w:rsid w:val="53251E8D"/>
    <w:rsid w:val="532D39D1"/>
    <w:rsid w:val="533720FE"/>
    <w:rsid w:val="533E48C8"/>
    <w:rsid w:val="53434FA8"/>
    <w:rsid w:val="534537FA"/>
    <w:rsid w:val="534555A5"/>
    <w:rsid w:val="534A1E51"/>
    <w:rsid w:val="53591245"/>
    <w:rsid w:val="535D1C6A"/>
    <w:rsid w:val="535D2A15"/>
    <w:rsid w:val="536A0766"/>
    <w:rsid w:val="53815EAE"/>
    <w:rsid w:val="538E6690"/>
    <w:rsid w:val="53A0734A"/>
    <w:rsid w:val="53A3101E"/>
    <w:rsid w:val="53A86472"/>
    <w:rsid w:val="53BA2903"/>
    <w:rsid w:val="53BA478B"/>
    <w:rsid w:val="53C03250"/>
    <w:rsid w:val="53C610C4"/>
    <w:rsid w:val="53C954BC"/>
    <w:rsid w:val="53C9779C"/>
    <w:rsid w:val="53CE68D2"/>
    <w:rsid w:val="53D135DB"/>
    <w:rsid w:val="53D945E8"/>
    <w:rsid w:val="53DA437A"/>
    <w:rsid w:val="53DD4DDA"/>
    <w:rsid w:val="53E05653"/>
    <w:rsid w:val="53E06FE6"/>
    <w:rsid w:val="53E338B8"/>
    <w:rsid w:val="53E705DF"/>
    <w:rsid w:val="53E866C1"/>
    <w:rsid w:val="53E9505C"/>
    <w:rsid w:val="53EA7C15"/>
    <w:rsid w:val="53EC0C2C"/>
    <w:rsid w:val="54011680"/>
    <w:rsid w:val="540378D4"/>
    <w:rsid w:val="54040360"/>
    <w:rsid w:val="54096DE3"/>
    <w:rsid w:val="540A78D3"/>
    <w:rsid w:val="540B3766"/>
    <w:rsid w:val="540C2139"/>
    <w:rsid w:val="54163320"/>
    <w:rsid w:val="54196BE7"/>
    <w:rsid w:val="541B2A00"/>
    <w:rsid w:val="541F6732"/>
    <w:rsid w:val="543650E8"/>
    <w:rsid w:val="5436611B"/>
    <w:rsid w:val="54471C6C"/>
    <w:rsid w:val="54502FEE"/>
    <w:rsid w:val="5453585A"/>
    <w:rsid w:val="54550C0C"/>
    <w:rsid w:val="545B1EE9"/>
    <w:rsid w:val="54604475"/>
    <w:rsid w:val="54685176"/>
    <w:rsid w:val="546B5E29"/>
    <w:rsid w:val="546C1BDF"/>
    <w:rsid w:val="547519FF"/>
    <w:rsid w:val="547640E0"/>
    <w:rsid w:val="547E6A97"/>
    <w:rsid w:val="5483323B"/>
    <w:rsid w:val="548818C8"/>
    <w:rsid w:val="5494092A"/>
    <w:rsid w:val="54964F04"/>
    <w:rsid w:val="54A320CB"/>
    <w:rsid w:val="54A378EB"/>
    <w:rsid w:val="54A45ABC"/>
    <w:rsid w:val="54A575A7"/>
    <w:rsid w:val="54A727B9"/>
    <w:rsid w:val="54A82F3F"/>
    <w:rsid w:val="54A84A1D"/>
    <w:rsid w:val="54B029EF"/>
    <w:rsid w:val="54B715BE"/>
    <w:rsid w:val="54BA227B"/>
    <w:rsid w:val="54BE2768"/>
    <w:rsid w:val="54C35F94"/>
    <w:rsid w:val="54C37FDC"/>
    <w:rsid w:val="54CE1043"/>
    <w:rsid w:val="54CF160D"/>
    <w:rsid w:val="54CF16A9"/>
    <w:rsid w:val="54DE1D9C"/>
    <w:rsid w:val="54E1542D"/>
    <w:rsid w:val="54ED226D"/>
    <w:rsid w:val="54F16ECD"/>
    <w:rsid w:val="54F55E9A"/>
    <w:rsid w:val="54FE1326"/>
    <w:rsid w:val="550665B6"/>
    <w:rsid w:val="55076E97"/>
    <w:rsid w:val="550A2EC0"/>
    <w:rsid w:val="550A410B"/>
    <w:rsid w:val="551A5FBA"/>
    <w:rsid w:val="551E6AE1"/>
    <w:rsid w:val="55250EAD"/>
    <w:rsid w:val="55266410"/>
    <w:rsid w:val="552916E4"/>
    <w:rsid w:val="552C112E"/>
    <w:rsid w:val="553D2EBB"/>
    <w:rsid w:val="55413540"/>
    <w:rsid w:val="55455692"/>
    <w:rsid w:val="55473ED6"/>
    <w:rsid w:val="55492AD5"/>
    <w:rsid w:val="554D659E"/>
    <w:rsid w:val="55562D97"/>
    <w:rsid w:val="555B2C14"/>
    <w:rsid w:val="556337F7"/>
    <w:rsid w:val="556664AD"/>
    <w:rsid w:val="55692728"/>
    <w:rsid w:val="556C2961"/>
    <w:rsid w:val="55706DE2"/>
    <w:rsid w:val="55736D36"/>
    <w:rsid w:val="557E167C"/>
    <w:rsid w:val="55803446"/>
    <w:rsid w:val="558046FA"/>
    <w:rsid w:val="55894EE4"/>
    <w:rsid w:val="558E7634"/>
    <w:rsid w:val="55945C68"/>
    <w:rsid w:val="559B7C5C"/>
    <w:rsid w:val="559E5E1D"/>
    <w:rsid w:val="55A01A29"/>
    <w:rsid w:val="55A11910"/>
    <w:rsid w:val="55A36F40"/>
    <w:rsid w:val="55A90C8A"/>
    <w:rsid w:val="55B4301E"/>
    <w:rsid w:val="55BB2488"/>
    <w:rsid w:val="55BC0370"/>
    <w:rsid w:val="55BC07C0"/>
    <w:rsid w:val="55C917A7"/>
    <w:rsid w:val="55C94D6B"/>
    <w:rsid w:val="55CC4327"/>
    <w:rsid w:val="55DC1E74"/>
    <w:rsid w:val="55DF0D12"/>
    <w:rsid w:val="55E329A4"/>
    <w:rsid w:val="55E33FF9"/>
    <w:rsid w:val="55E91263"/>
    <w:rsid w:val="55E96EF2"/>
    <w:rsid w:val="55F11CDF"/>
    <w:rsid w:val="55F57A5C"/>
    <w:rsid w:val="55FC0D93"/>
    <w:rsid w:val="560A7969"/>
    <w:rsid w:val="56142538"/>
    <w:rsid w:val="562036D3"/>
    <w:rsid w:val="56221AE7"/>
    <w:rsid w:val="56246F16"/>
    <w:rsid w:val="5629010D"/>
    <w:rsid w:val="562A6D13"/>
    <w:rsid w:val="56321DB4"/>
    <w:rsid w:val="563220C6"/>
    <w:rsid w:val="563A05E2"/>
    <w:rsid w:val="563E0364"/>
    <w:rsid w:val="56456A13"/>
    <w:rsid w:val="565A7FEC"/>
    <w:rsid w:val="56681EED"/>
    <w:rsid w:val="566B5311"/>
    <w:rsid w:val="5671752D"/>
    <w:rsid w:val="5673162C"/>
    <w:rsid w:val="5675126C"/>
    <w:rsid w:val="567B5A6A"/>
    <w:rsid w:val="567E45B7"/>
    <w:rsid w:val="56805D5B"/>
    <w:rsid w:val="56892DD8"/>
    <w:rsid w:val="568B2673"/>
    <w:rsid w:val="568C6D32"/>
    <w:rsid w:val="568E5CF4"/>
    <w:rsid w:val="569851FB"/>
    <w:rsid w:val="569C3F1B"/>
    <w:rsid w:val="56A50B43"/>
    <w:rsid w:val="56AE2EE2"/>
    <w:rsid w:val="56B8488B"/>
    <w:rsid w:val="56BC2310"/>
    <w:rsid w:val="56BD7218"/>
    <w:rsid w:val="56C12B5B"/>
    <w:rsid w:val="56CD1C37"/>
    <w:rsid w:val="56D566B6"/>
    <w:rsid w:val="56D71D88"/>
    <w:rsid w:val="56D754BB"/>
    <w:rsid w:val="56D85573"/>
    <w:rsid w:val="56E93428"/>
    <w:rsid w:val="56ED467C"/>
    <w:rsid w:val="56F0371E"/>
    <w:rsid w:val="56F82E50"/>
    <w:rsid w:val="56FD03CD"/>
    <w:rsid w:val="57021413"/>
    <w:rsid w:val="57051062"/>
    <w:rsid w:val="570E76AD"/>
    <w:rsid w:val="570F2CAB"/>
    <w:rsid w:val="57185C40"/>
    <w:rsid w:val="57203AEA"/>
    <w:rsid w:val="57205627"/>
    <w:rsid w:val="57326A6C"/>
    <w:rsid w:val="57355BCD"/>
    <w:rsid w:val="57394E5B"/>
    <w:rsid w:val="573E6A23"/>
    <w:rsid w:val="57443E3D"/>
    <w:rsid w:val="57470F0F"/>
    <w:rsid w:val="575863FA"/>
    <w:rsid w:val="575E7BDA"/>
    <w:rsid w:val="57640B79"/>
    <w:rsid w:val="57644132"/>
    <w:rsid w:val="576743B1"/>
    <w:rsid w:val="5768469F"/>
    <w:rsid w:val="576C2539"/>
    <w:rsid w:val="57753D92"/>
    <w:rsid w:val="577A5BAB"/>
    <w:rsid w:val="577E6802"/>
    <w:rsid w:val="57815DF8"/>
    <w:rsid w:val="57864196"/>
    <w:rsid w:val="578D792A"/>
    <w:rsid w:val="57A26B54"/>
    <w:rsid w:val="57AF4DEA"/>
    <w:rsid w:val="57C65ABA"/>
    <w:rsid w:val="57D86A40"/>
    <w:rsid w:val="57EE7F79"/>
    <w:rsid w:val="57F105A6"/>
    <w:rsid w:val="57F24CC7"/>
    <w:rsid w:val="57F42317"/>
    <w:rsid w:val="57F42825"/>
    <w:rsid w:val="57F936A4"/>
    <w:rsid w:val="57FD4BD8"/>
    <w:rsid w:val="580800E3"/>
    <w:rsid w:val="580924E1"/>
    <w:rsid w:val="580C6D4C"/>
    <w:rsid w:val="580D579E"/>
    <w:rsid w:val="58124ECB"/>
    <w:rsid w:val="58125D87"/>
    <w:rsid w:val="58165262"/>
    <w:rsid w:val="581D5A36"/>
    <w:rsid w:val="581F25B6"/>
    <w:rsid w:val="582466E9"/>
    <w:rsid w:val="582579BD"/>
    <w:rsid w:val="58395EB0"/>
    <w:rsid w:val="584A7920"/>
    <w:rsid w:val="585949F4"/>
    <w:rsid w:val="585F5160"/>
    <w:rsid w:val="586D21BC"/>
    <w:rsid w:val="586F1F1E"/>
    <w:rsid w:val="587034C3"/>
    <w:rsid w:val="58723074"/>
    <w:rsid w:val="587264E7"/>
    <w:rsid w:val="58733803"/>
    <w:rsid w:val="58733C50"/>
    <w:rsid w:val="58776B70"/>
    <w:rsid w:val="587B35D5"/>
    <w:rsid w:val="587C6C7A"/>
    <w:rsid w:val="587E0693"/>
    <w:rsid w:val="587F5585"/>
    <w:rsid w:val="58805DEF"/>
    <w:rsid w:val="58835F55"/>
    <w:rsid w:val="588724AE"/>
    <w:rsid w:val="588857BA"/>
    <w:rsid w:val="58891B57"/>
    <w:rsid w:val="589578A7"/>
    <w:rsid w:val="58963CED"/>
    <w:rsid w:val="589726F9"/>
    <w:rsid w:val="5898505A"/>
    <w:rsid w:val="58A77BE5"/>
    <w:rsid w:val="58AA1214"/>
    <w:rsid w:val="58B004CF"/>
    <w:rsid w:val="58B07ECC"/>
    <w:rsid w:val="58B2695F"/>
    <w:rsid w:val="58B63F90"/>
    <w:rsid w:val="58B7213C"/>
    <w:rsid w:val="58BB5052"/>
    <w:rsid w:val="58BF15AD"/>
    <w:rsid w:val="58C136D3"/>
    <w:rsid w:val="58CA0596"/>
    <w:rsid w:val="58CC24B7"/>
    <w:rsid w:val="58D02AA4"/>
    <w:rsid w:val="58D27024"/>
    <w:rsid w:val="58D27F41"/>
    <w:rsid w:val="58D73DFD"/>
    <w:rsid w:val="58E06AA9"/>
    <w:rsid w:val="58EB3705"/>
    <w:rsid w:val="58EF7AD3"/>
    <w:rsid w:val="58F06E56"/>
    <w:rsid w:val="58F74E00"/>
    <w:rsid w:val="59080C0E"/>
    <w:rsid w:val="590B3A6D"/>
    <w:rsid w:val="59165C60"/>
    <w:rsid w:val="591B7126"/>
    <w:rsid w:val="591F45FE"/>
    <w:rsid w:val="593528E7"/>
    <w:rsid w:val="59361372"/>
    <w:rsid w:val="593B02FC"/>
    <w:rsid w:val="593F0053"/>
    <w:rsid w:val="59490E69"/>
    <w:rsid w:val="5950248D"/>
    <w:rsid w:val="596A601F"/>
    <w:rsid w:val="596B1718"/>
    <w:rsid w:val="596B6DD7"/>
    <w:rsid w:val="596E6ED8"/>
    <w:rsid w:val="596F6D17"/>
    <w:rsid w:val="59736D73"/>
    <w:rsid w:val="59762E9D"/>
    <w:rsid w:val="59817981"/>
    <w:rsid w:val="598B208E"/>
    <w:rsid w:val="598E03D4"/>
    <w:rsid w:val="599024F3"/>
    <w:rsid w:val="599331E5"/>
    <w:rsid w:val="599660AF"/>
    <w:rsid w:val="59980F73"/>
    <w:rsid w:val="599C0111"/>
    <w:rsid w:val="59AA7EDE"/>
    <w:rsid w:val="59AC644B"/>
    <w:rsid w:val="59B01534"/>
    <w:rsid w:val="59B64B9F"/>
    <w:rsid w:val="59BE4608"/>
    <w:rsid w:val="59C93252"/>
    <w:rsid w:val="59CC1B46"/>
    <w:rsid w:val="59D313C3"/>
    <w:rsid w:val="59D45195"/>
    <w:rsid w:val="59DD13CF"/>
    <w:rsid w:val="59E0206D"/>
    <w:rsid w:val="59E3334E"/>
    <w:rsid w:val="59E673D1"/>
    <w:rsid w:val="59E917E7"/>
    <w:rsid w:val="59EF530E"/>
    <w:rsid w:val="59F168AA"/>
    <w:rsid w:val="59F2638E"/>
    <w:rsid w:val="59F3408D"/>
    <w:rsid w:val="59F3722C"/>
    <w:rsid w:val="59F566CF"/>
    <w:rsid w:val="59F641EB"/>
    <w:rsid w:val="59FF700D"/>
    <w:rsid w:val="5A06791B"/>
    <w:rsid w:val="5A0841CF"/>
    <w:rsid w:val="5A0911CB"/>
    <w:rsid w:val="5A166725"/>
    <w:rsid w:val="5A1D6A92"/>
    <w:rsid w:val="5A1E49AE"/>
    <w:rsid w:val="5A215B47"/>
    <w:rsid w:val="5A2C3967"/>
    <w:rsid w:val="5A37585E"/>
    <w:rsid w:val="5A381CB1"/>
    <w:rsid w:val="5A414D7A"/>
    <w:rsid w:val="5A415A0E"/>
    <w:rsid w:val="5A5312A7"/>
    <w:rsid w:val="5A533328"/>
    <w:rsid w:val="5A591E1F"/>
    <w:rsid w:val="5A601E7D"/>
    <w:rsid w:val="5A61274F"/>
    <w:rsid w:val="5A6E2184"/>
    <w:rsid w:val="5A707FA6"/>
    <w:rsid w:val="5A7105AE"/>
    <w:rsid w:val="5A7131B9"/>
    <w:rsid w:val="5A75373C"/>
    <w:rsid w:val="5A7A6C42"/>
    <w:rsid w:val="5A8121DF"/>
    <w:rsid w:val="5A8167F8"/>
    <w:rsid w:val="5A8175FD"/>
    <w:rsid w:val="5AAA3BFC"/>
    <w:rsid w:val="5AAB3B5F"/>
    <w:rsid w:val="5AAC11A5"/>
    <w:rsid w:val="5AAE6A48"/>
    <w:rsid w:val="5AAE7EF5"/>
    <w:rsid w:val="5AB23A4F"/>
    <w:rsid w:val="5ABA6347"/>
    <w:rsid w:val="5AC03730"/>
    <w:rsid w:val="5AC556AA"/>
    <w:rsid w:val="5AD23A82"/>
    <w:rsid w:val="5AD6559E"/>
    <w:rsid w:val="5AD77D10"/>
    <w:rsid w:val="5AD9588C"/>
    <w:rsid w:val="5ADA2C0E"/>
    <w:rsid w:val="5AE3275F"/>
    <w:rsid w:val="5AE43EFE"/>
    <w:rsid w:val="5AE85EED"/>
    <w:rsid w:val="5AED3601"/>
    <w:rsid w:val="5AFE34C8"/>
    <w:rsid w:val="5B010493"/>
    <w:rsid w:val="5B021C7B"/>
    <w:rsid w:val="5B023745"/>
    <w:rsid w:val="5B042C0C"/>
    <w:rsid w:val="5B09684A"/>
    <w:rsid w:val="5B0C3A95"/>
    <w:rsid w:val="5B1848BA"/>
    <w:rsid w:val="5B214380"/>
    <w:rsid w:val="5B254701"/>
    <w:rsid w:val="5B2A69A5"/>
    <w:rsid w:val="5B2B4277"/>
    <w:rsid w:val="5B2C6732"/>
    <w:rsid w:val="5B315F97"/>
    <w:rsid w:val="5B32612A"/>
    <w:rsid w:val="5B482299"/>
    <w:rsid w:val="5B4D73B6"/>
    <w:rsid w:val="5B4F1AC1"/>
    <w:rsid w:val="5B5A0896"/>
    <w:rsid w:val="5B6B6C92"/>
    <w:rsid w:val="5B7579D1"/>
    <w:rsid w:val="5B7753EA"/>
    <w:rsid w:val="5B7B64BC"/>
    <w:rsid w:val="5B812D91"/>
    <w:rsid w:val="5B823C18"/>
    <w:rsid w:val="5B8713E4"/>
    <w:rsid w:val="5B8750F6"/>
    <w:rsid w:val="5B8D7AF0"/>
    <w:rsid w:val="5B9172EC"/>
    <w:rsid w:val="5BA34668"/>
    <w:rsid w:val="5BAE47FC"/>
    <w:rsid w:val="5BB513BE"/>
    <w:rsid w:val="5BB64985"/>
    <w:rsid w:val="5BBD5147"/>
    <w:rsid w:val="5BBE23EA"/>
    <w:rsid w:val="5BCD1A33"/>
    <w:rsid w:val="5BCD51AC"/>
    <w:rsid w:val="5BCE2E54"/>
    <w:rsid w:val="5BD01D98"/>
    <w:rsid w:val="5BDC67AD"/>
    <w:rsid w:val="5BDD67DD"/>
    <w:rsid w:val="5BDE5279"/>
    <w:rsid w:val="5BE600C1"/>
    <w:rsid w:val="5BEC255D"/>
    <w:rsid w:val="5BF127DC"/>
    <w:rsid w:val="5BF96446"/>
    <w:rsid w:val="5BFB7EDC"/>
    <w:rsid w:val="5BFD7057"/>
    <w:rsid w:val="5C056465"/>
    <w:rsid w:val="5C056492"/>
    <w:rsid w:val="5C0B31B9"/>
    <w:rsid w:val="5C0D3C93"/>
    <w:rsid w:val="5C1308A5"/>
    <w:rsid w:val="5C142A00"/>
    <w:rsid w:val="5C197D93"/>
    <w:rsid w:val="5C222EB8"/>
    <w:rsid w:val="5C2A5B05"/>
    <w:rsid w:val="5C3E5B41"/>
    <w:rsid w:val="5C5021D7"/>
    <w:rsid w:val="5C5229C5"/>
    <w:rsid w:val="5C5239D7"/>
    <w:rsid w:val="5C536822"/>
    <w:rsid w:val="5C58529C"/>
    <w:rsid w:val="5C5905E7"/>
    <w:rsid w:val="5C5B3417"/>
    <w:rsid w:val="5C632E58"/>
    <w:rsid w:val="5C6A31DC"/>
    <w:rsid w:val="5C6B3C80"/>
    <w:rsid w:val="5C7F2062"/>
    <w:rsid w:val="5C84197A"/>
    <w:rsid w:val="5C842634"/>
    <w:rsid w:val="5C8C14B9"/>
    <w:rsid w:val="5C911742"/>
    <w:rsid w:val="5C925C81"/>
    <w:rsid w:val="5CA92A5E"/>
    <w:rsid w:val="5CB44485"/>
    <w:rsid w:val="5CB57277"/>
    <w:rsid w:val="5CBD07F0"/>
    <w:rsid w:val="5CC54554"/>
    <w:rsid w:val="5CCA2FB6"/>
    <w:rsid w:val="5CCD70C5"/>
    <w:rsid w:val="5CD02723"/>
    <w:rsid w:val="5CD75078"/>
    <w:rsid w:val="5CE2595B"/>
    <w:rsid w:val="5CE75B1C"/>
    <w:rsid w:val="5CEA635F"/>
    <w:rsid w:val="5CF31967"/>
    <w:rsid w:val="5CF45EC2"/>
    <w:rsid w:val="5CF76700"/>
    <w:rsid w:val="5D001FE3"/>
    <w:rsid w:val="5D01245B"/>
    <w:rsid w:val="5D0276A8"/>
    <w:rsid w:val="5D2008AE"/>
    <w:rsid w:val="5D246FE4"/>
    <w:rsid w:val="5D3F1693"/>
    <w:rsid w:val="5D4C2262"/>
    <w:rsid w:val="5D4D4DDC"/>
    <w:rsid w:val="5D4E7DF6"/>
    <w:rsid w:val="5D5A54D8"/>
    <w:rsid w:val="5D741DD1"/>
    <w:rsid w:val="5D8C25E0"/>
    <w:rsid w:val="5D915FD5"/>
    <w:rsid w:val="5DA23F1B"/>
    <w:rsid w:val="5DA26E6E"/>
    <w:rsid w:val="5DA3284C"/>
    <w:rsid w:val="5DA55361"/>
    <w:rsid w:val="5DA87018"/>
    <w:rsid w:val="5DAC16AC"/>
    <w:rsid w:val="5DB52A50"/>
    <w:rsid w:val="5DB572D5"/>
    <w:rsid w:val="5DBB41E0"/>
    <w:rsid w:val="5DBE7033"/>
    <w:rsid w:val="5DC269AB"/>
    <w:rsid w:val="5DC56E88"/>
    <w:rsid w:val="5DCB0053"/>
    <w:rsid w:val="5DCB1138"/>
    <w:rsid w:val="5DCF365B"/>
    <w:rsid w:val="5DD304AB"/>
    <w:rsid w:val="5DD34C1D"/>
    <w:rsid w:val="5DD708D1"/>
    <w:rsid w:val="5DD916A0"/>
    <w:rsid w:val="5DDF2784"/>
    <w:rsid w:val="5DE2147D"/>
    <w:rsid w:val="5DE35261"/>
    <w:rsid w:val="5DE61CDD"/>
    <w:rsid w:val="5DE838FC"/>
    <w:rsid w:val="5DE863BE"/>
    <w:rsid w:val="5DEC2E8E"/>
    <w:rsid w:val="5DEF7D0C"/>
    <w:rsid w:val="5DF37768"/>
    <w:rsid w:val="5DF76D60"/>
    <w:rsid w:val="5DFF3624"/>
    <w:rsid w:val="5E0859A5"/>
    <w:rsid w:val="5E096B40"/>
    <w:rsid w:val="5E0B6666"/>
    <w:rsid w:val="5E120A99"/>
    <w:rsid w:val="5E144D04"/>
    <w:rsid w:val="5E151B2F"/>
    <w:rsid w:val="5E153A9D"/>
    <w:rsid w:val="5E166794"/>
    <w:rsid w:val="5E1E6087"/>
    <w:rsid w:val="5E23721E"/>
    <w:rsid w:val="5E275897"/>
    <w:rsid w:val="5E2B6200"/>
    <w:rsid w:val="5E2C0D04"/>
    <w:rsid w:val="5E2D6700"/>
    <w:rsid w:val="5E3B6308"/>
    <w:rsid w:val="5E3F4BE4"/>
    <w:rsid w:val="5E434D11"/>
    <w:rsid w:val="5E47664A"/>
    <w:rsid w:val="5E484657"/>
    <w:rsid w:val="5E4F03CE"/>
    <w:rsid w:val="5E576D5A"/>
    <w:rsid w:val="5E5D085D"/>
    <w:rsid w:val="5E611004"/>
    <w:rsid w:val="5E641F73"/>
    <w:rsid w:val="5E655B3D"/>
    <w:rsid w:val="5E683D14"/>
    <w:rsid w:val="5E6D3ED1"/>
    <w:rsid w:val="5E7279BF"/>
    <w:rsid w:val="5E73468D"/>
    <w:rsid w:val="5E742236"/>
    <w:rsid w:val="5E757DD2"/>
    <w:rsid w:val="5E803B4F"/>
    <w:rsid w:val="5E8E4464"/>
    <w:rsid w:val="5E9638ED"/>
    <w:rsid w:val="5E967A01"/>
    <w:rsid w:val="5E98490F"/>
    <w:rsid w:val="5EA04DF0"/>
    <w:rsid w:val="5EAD7EC5"/>
    <w:rsid w:val="5EAF0310"/>
    <w:rsid w:val="5EB11A44"/>
    <w:rsid w:val="5EB633A0"/>
    <w:rsid w:val="5EC241FE"/>
    <w:rsid w:val="5ECD56DF"/>
    <w:rsid w:val="5ED1641E"/>
    <w:rsid w:val="5ED8107B"/>
    <w:rsid w:val="5EE35088"/>
    <w:rsid w:val="5EF320DB"/>
    <w:rsid w:val="5EF71905"/>
    <w:rsid w:val="5EFD0A06"/>
    <w:rsid w:val="5EFF4631"/>
    <w:rsid w:val="5F005557"/>
    <w:rsid w:val="5F04175E"/>
    <w:rsid w:val="5F0A208B"/>
    <w:rsid w:val="5F0D2658"/>
    <w:rsid w:val="5F146DF4"/>
    <w:rsid w:val="5F21368A"/>
    <w:rsid w:val="5F2400E6"/>
    <w:rsid w:val="5F2446D3"/>
    <w:rsid w:val="5F3F1CFF"/>
    <w:rsid w:val="5F442B59"/>
    <w:rsid w:val="5F472AAD"/>
    <w:rsid w:val="5F501689"/>
    <w:rsid w:val="5F503E08"/>
    <w:rsid w:val="5F505AC6"/>
    <w:rsid w:val="5F527D89"/>
    <w:rsid w:val="5F5568E2"/>
    <w:rsid w:val="5F590E51"/>
    <w:rsid w:val="5F5B71DE"/>
    <w:rsid w:val="5F5C2BF8"/>
    <w:rsid w:val="5F5F02C6"/>
    <w:rsid w:val="5F6A29D2"/>
    <w:rsid w:val="5F6B36D1"/>
    <w:rsid w:val="5F6B7D46"/>
    <w:rsid w:val="5F6C6112"/>
    <w:rsid w:val="5F6D644F"/>
    <w:rsid w:val="5F702AD9"/>
    <w:rsid w:val="5F732B10"/>
    <w:rsid w:val="5F784341"/>
    <w:rsid w:val="5F7A3139"/>
    <w:rsid w:val="5F7E7317"/>
    <w:rsid w:val="5F815915"/>
    <w:rsid w:val="5F827762"/>
    <w:rsid w:val="5F873C76"/>
    <w:rsid w:val="5F89438E"/>
    <w:rsid w:val="5F8C6652"/>
    <w:rsid w:val="5F9072E0"/>
    <w:rsid w:val="5F914AF9"/>
    <w:rsid w:val="5F932724"/>
    <w:rsid w:val="5F9C2A09"/>
    <w:rsid w:val="5FA01CD8"/>
    <w:rsid w:val="5FA34AFC"/>
    <w:rsid w:val="5FAC23A5"/>
    <w:rsid w:val="5FAE6C4B"/>
    <w:rsid w:val="5FB6272D"/>
    <w:rsid w:val="5FB6707C"/>
    <w:rsid w:val="5FE41024"/>
    <w:rsid w:val="5FEA3E55"/>
    <w:rsid w:val="5FEA4EC4"/>
    <w:rsid w:val="5FFC1511"/>
    <w:rsid w:val="60065F60"/>
    <w:rsid w:val="600D6BCF"/>
    <w:rsid w:val="60137B8B"/>
    <w:rsid w:val="60162DD9"/>
    <w:rsid w:val="60177FEF"/>
    <w:rsid w:val="601C12F8"/>
    <w:rsid w:val="601F3FEC"/>
    <w:rsid w:val="60311E77"/>
    <w:rsid w:val="60370660"/>
    <w:rsid w:val="603C0697"/>
    <w:rsid w:val="60442C6C"/>
    <w:rsid w:val="604D0370"/>
    <w:rsid w:val="60512C3A"/>
    <w:rsid w:val="6051551F"/>
    <w:rsid w:val="605546DF"/>
    <w:rsid w:val="605672D7"/>
    <w:rsid w:val="6057672F"/>
    <w:rsid w:val="606A1E53"/>
    <w:rsid w:val="6082590C"/>
    <w:rsid w:val="608841EC"/>
    <w:rsid w:val="608B2FEB"/>
    <w:rsid w:val="60910981"/>
    <w:rsid w:val="609A3EBB"/>
    <w:rsid w:val="60A52386"/>
    <w:rsid w:val="60A72802"/>
    <w:rsid w:val="60A80A46"/>
    <w:rsid w:val="60A9501F"/>
    <w:rsid w:val="60B548E3"/>
    <w:rsid w:val="60BF6A49"/>
    <w:rsid w:val="60C47CBB"/>
    <w:rsid w:val="60C55C79"/>
    <w:rsid w:val="60C8257C"/>
    <w:rsid w:val="60CD0A68"/>
    <w:rsid w:val="60D006EF"/>
    <w:rsid w:val="60D40F2F"/>
    <w:rsid w:val="60D961AC"/>
    <w:rsid w:val="60F4014C"/>
    <w:rsid w:val="60F7496E"/>
    <w:rsid w:val="60F86B89"/>
    <w:rsid w:val="60FB2F71"/>
    <w:rsid w:val="60FE0937"/>
    <w:rsid w:val="60FF35FA"/>
    <w:rsid w:val="6103021D"/>
    <w:rsid w:val="6112474B"/>
    <w:rsid w:val="61163303"/>
    <w:rsid w:val="61190CBC"/>
    <w:rsid w:val="611F6DEF"/>
    <w:rsid w:val="61212F27"/>
    <w:rsid w:val="61214E1A"/>
    <w:rsid w:val="612F27E0"/>
    <w:rsid w:val="61380C4C"/>
    <w:rsid w:val="613A2A56"/>
    <w:rsid w:val="613A6014"/>
    <w:rsid w:val="613D5C78"/>
    <w:rsid w:val="613F080E"/>
    <w:rsid w:val="615735CB"/>
    <w:rsid w:val="615863E7"/>
    <w:rsid w:val="615C7145"/>
    <w:rsid w:val="616025E1"/>
    <w:rsid w:val="6161540A"/>
    <w:rsid w:val="616E6DCB"/>
    <w:rsid w:val="617209BA"/>
    <w:rsid w:val="617346EC"/>
    <w:rsid w:val="617811E1"/>
    <w:rsid w:val="618529D5"/>
    <w:rsid w:val="618E2FAB"/>
    <w:rsid w:val="619057BE"/>
    <w:rsid w:val="6195176A"/>
    <w:rsid w:val="619835AD"/>
    <w:rsid w:val="61A52DE0"/>
    <w:rsid w:val="61A72E0A"/>
    <w:rsid w:val="61AC5A0C"/>
    <w:rsid w:val="61B75517"/>
    <w:rsid w:val="61BC5DED"/>
    <w:rsid w:val="61BE784F"/>
    <w:rsid w:val="61C30A8E"/>
    <w:rsid w:val="61D10688"/>
    <w:rsid w:val="61D87559"/>
    <w:rsid w:val="61D876F7"/>
    <w:rsid w:val="61E2787B"/>
    <w:rsid w:val="61E8579F"/>
    <w:rsid w:val="61EA4335"/>
    <w:rsid w:val="61F5529C"/>
    <w:rsid w:val="61F7015A"/>
    <w:rsid w:val="61FE0967"/>
    <w:rsid w:val="6206024F"/>
    <w:rsid w:val="620F1A1D"/>
    <w:rsid w:val="62117A70"/>
    <w:rsid w:val="622050AF"/>
    <w:rsid w:val="622F657D"/>
    <w:rsid w:val="6246432C"/>
    <w:rsid w:val="62472592"/>
    <w:rsid w:val="624B3B53"/>
    <w:rsid w:val="624E5B27"/>
    <w:rsid w:val="62526A8A"/>
    <w:rsid w:val="625A6EF8"/>
    <w:rsid w:val="626F67D4"/>
    <w:rsid w:val="628B737B"/>
    <w:rsid w:val="629D5B4A"/>
    <w:rsid w:val="62A07612"/>
    <w:rsid w:val="62AC5614"/>
    <w:rsid w:val="62AF3365"/>
    <w:rsid w:val="62B330EE"/>
    <w:rsid w:val="62B56BCB"/>
    <w:rsid w:val="62B67E21"/>
    <w:rsid w:val="62B958D5"/>
    <w:rsid w:val="62C428F0"/>
    <w:rsid w:val="62C60CE2"/>
    <w:rsid w:val="62CD14B8"/>
    <w:rsid w:val="62CD24D9"/>
    <w:rsid w:val="62D942E1"/>
    <w:rsid w:val="62DE01D4"/>
    <w:rsid w:val="62DE776C"/>
    <w:rsid w:val="62E009B8"/>
    <w:rsid w:val="62E2573D"/>
    <w:rsid w:val="62E34F33"/>
    <w:rsid w:val="62E57D48"/>
    <w:rsid w:val="62F13968"/>
    <w:rsid w:val="62F73D28"/>
    <w:rsid w:val="62FC7435"/>
    <w:rsid w:val="62FE19A9"/>
    <w:rsid w:val="63013811"/>
    <w:rsid w:val="63041DB1"/>
    <w:rsid w:val="630C6118"/>
    <w:rsid w:val="63142F7A"/>
    <w:rsid w:val="631E5CAC"/>
    <w:rsid w:val="63245A3F"/>
    <w:rsid w:val="63291E4E"/>
    <w:rsid w:val="632C53D7"/>
    <w:rsid w:val="633A2D0F"/>
    <w:rsid w:val="633D4119"/>
    <w:rsid w:val="633E6E86"/>
    <w:rsid w:val="63406229"/>
    <w:rsid w:val="63437E3A"/>
    <w:rsid w:val="63496393"/>
    <w:rsid w:val="635170BE"/>
    <w:rsid w:val="6354104F"/>
    <w:rsid w:val="63580A39"/>
    <w:rsid w:val="635F3DFD"/>
    <w:rsid w:val="63693983"/>
    <w:rsid w:val="636F2CFD"/>
    <w:rsid w:val="636F4616"/>
    <w:rsid w:val="636F54D3"/>
    <w:rsid w:val="637828B4"/>
    <w:rsid w:val="637868AC"/>
    <w:rsid w:val="637B716A"/>
    <w:rsid w:val="637B749E"/>
    <w:rsid w:val="63887D9B"/>
    <w:rsid w:val="638B28B7"/>
    <w:rsid w:val="638F555F"/>
    <w:rsid w:val="639E7FC8"/>
    <w:rsid w:val="63A30505"/>
    <w:rsid w:val="63A53A02"/>
    <w:rsid w:val="63B46A15"/>
    <w:rsid w:val="63BC35CB"/>
    <w:rsid w:val="63C73B39"/>
    <w:rsid w:val="63D4329D"/>
    <w:rsid w:val="63D8293C"/>
    <w:rsid w:val="63D850F8"/>
    <w:rsid w:val="63DB3078"/>
    <w:rsid w:val="63E078B3"/>
    <w:rsid w:val="63E45E3B"/>
    <w:rsid w:val="63EF6F42"/>
    <w:rsid w:val="63F21AC3"/>
    <w:rsid w:val="63F274E0"/>
    <w:rsid w:val="63F760DD"/>
    <w:rsid w:val="63FD22BD"/>
    <w:rsid w:val="64003978"/>
    <w:rsid w:val="6408054D"/>
    <w:rsid w:val="64086080"/>
    <w:rsid w:val="641173C3"/>
    <w:rsid w:val="641C16BA"/>
    <w:rsid w:val="642063C5"/>
    <w:rsid w:val="64261E82"/>
    <w:rsid w:val="6428797C"/>
    <w:rsid w:val="64287FAB"/>
    <w:rsid w:val="642B1DCE"/>
    <w:rsid w:val="644B13A6"/>
    <w:rsid w:val="644E0B07"/>
    <w:rsid w:val="645A26AC"/>
    <w:rsid w:val="645D4860"/>
    <w:rsid w:val="646F59CC"/>
    <w:rsid w:val="64786C22"/>
    <w:rsid w:val="647F72CF"/>
    <w:rsid w:val="64806B3F"/>
    <w:rsid w:val="64877E19"/>
    <w:rsid w:val="648D166D"/>
    <w:rsid w:val="648F457E"/>
    <w:rsid w:val="64921EDA"/>
    <w:rsid w:val="649257A4"/>
    <w:rsid w:val="649A7ADD"/>
    <w:rsid w:val="64AA11F2"/>
    <w:rsid w:val="64B639A8"/>
    <w:rsid w:val="64BD03E3"/>
    <w:rsid w:val="64C04280"/>
    <w:rsid w:val="64C220A4"/>
    <w:rsid w:val="64C96CC6"/>
    <w:rsid w:val="64D434D6"/>
    <w:rsid w:val="64DC4E4C"/>
    <w:rsid w:val="64DE7AB5"/>
    <w:rsid w:val="64E04D7C"/>
    <w:rsid w:val="65045F8B"/>
    <w:rsid w:val="65080A76"/>
    <w:rsid w:val="650C660E"/>
    <w:rsid w:val="650D1979"/>
    <w:rsid w:val="651404EF"/>
    <w:rsid w:val="65142AC0"/>
    <w:rsid w:val="65182C39"/>
    <w:rsid w:val="65197C6F"/>
    <w:rsid w:val="651A5155"/>
    <w:rsid w:val="651D3E88"/>
    <w:rsid w:val="651D4A01"/>
    <w:rsid w:val="65255E1B"/>
    <w:rsid w:val="65293213"/>
    <w:rsid w:val="653536B8"/>
    <w:rsid w:val="65356509"/>
    <w:rsid w:val="65357ED2"/>
    <w:rsid w:val="653713D5"/>
    <w:rsid w:val="65387622"/>
    <w:rsid w:val="653D420A"/>
    <w:rsid w:val="653F4495"/>
    <w:rsid w:val="65403D4E"/>
    <w:rsid w:val="6541646E"/>
    <w:rsid w:val="65463155"/>
    <w:rsid w:val="654957F3"/>
    <w:rsid w:val="654D54DE"/>
    <w:rsid w:val="65521FB0"/>
    <w:rsid w:val="65532D86"/>
    <w:rsid w:val="65624F5D"/>
    <w:rsid w:val="65633583"/>
    <w:rsid w:val="6567363C"/>
    <w:rsid w:val="657A1716"/>
    <w:rsid w:val="657C2DBD"/>
    <w:rsid w:val="657F1F84"/>
    <w:rsid w:val="65843D64"/>
    <w:rsid w:val="658567EC"/>
    <w:rsid w:val="659F5F8B"/>
    <w:rsid w:val="65AE5189"/>
    <w:rsid w:val="65AF1625"/>
    <w:rsid w:val="65B232FF"/>
    <w:rsid w:val="65C623DD"/>
    <w:rsid w:val="65D0670D"/>
    <w:rsid w:val="65D40467"/>
    <w:rsid w:val="65EC11EA"/>
    <w:rsid w:val="65F21195"/>
    <w:rsid w:val="65F30746"/>
    <w:rsid w:val="6602747F"/>
    <w:rsid w:val="6606073D"/>
    <w:rsid w:val="66084492"/>
    <w:rsid w:val="660E5D99"/>
    <w:rsid w:val="66134390"/>
    <w:rsid w:val="66161746"/>
    <w:rsid w:val="66164AA1"/>
    <w:rsid w:val="661D6754"/>
    <w:rsid w:val="661E373C"/>
    <w:rsid w:val="661F37DA"/>
    <w:rsid w:val="66250351"/>
    <w:rsid w:val="662C76BD"/>
    <w:rsid w:val="662E1881"/>
    <w:rsid w:val="663347E0"/>
    <w:rsid w:val="6638685A"/>
    <w:rsid w:val="66397D7B"/>
    <w:rsid w:val="6640690B"/>
    <w:rsid w:val="66474FC9"/>
    <w:rsid w:val="664B5A47"/>
    <w:rsid w:val="664B6FA0"/>
    <w:rsid w:val="664C6CCC"/>
    <w:rsid w:val="664D7670"/>
    <w:rsid w:val="66540291"/>
    <w:rsid w:val="66624218"/>
    <w:rsid w:val="66717C0A"/>
    <w:rsid w:val="66781D7E"/>
    <w:rsid w:val="66793003"/>
    <w:rsid w:val="668442B4"/>
    <w:rsid w:val="66854991"/>
    <w:rsid w:val="66857DB2"/>
    <w:rsid w:val="668A1360"/>
    <w:rsid w:val="6696228D"/>
    <w:rsid w:val="669A1220"/>
    <w:rsid w:val="669D0644"/>
    <w:rsid w:val="66A505E2"/>
    <w:rsid w:val="66A75D7C"/>
    <w:rsid w:val="66BB52A4"/>
    <w:rsid w:val="66BD5AAF"/>
    <w:rsid w:val="66BF2CDA"/>
    <w:rsid w:val="66C3424C"/>
    <w:rsid w:val="66CA44F4"/>
    <w:rsid w:val="66CF14D1"/>
    <w:rsid w:val="66D15C66"/>
    <w:rsid w:val="66DA5073"/>
    <w:rsid w:val="66DB1ABA"/>
    <w:rsid w:val="66E62BC1"/>
    <w:rsid w:val="66E93428"/>
    <w:rsid w:val="66E934DA"/>
    <w:rsid w:val="66F07A63"/>
    <w:rsid w:val="670F25E0"/>
    <w:rsid w:val="67204DBD"/>
    <w:rsid w:val="67247809"/>
    <w:rsid w:val="67254B49"/>
    <w:rsid w:val="67272D70"/>
    <w:rsid w:val="672830AA"/>
    <w:rsid w:val="67293A47"/>
    <w:rsid w:val="672C22D4"/>
    <w:rsid w:val="672D2B20"/>
    <w:rsid w:val="672F7983"/>
    <w:rsid w:val="67360DBA"/>
    <w:rsid w:val="67381E61"/>
    <w:rsid w:val="674E7A5D"/>
    <w:rsid w:val="675F5A39"/>
    <w:rsid w:val="676B1609"/>
    <w:rsid w:val="676D774A"/>
    <w:rsid w:val="67743111"/>
    <w:rsid w:val="67821B35"/>
    <w:rsid w:val="67857270"/>
    <w:rsid w:val="67951AE4"/>
    <w:rsid w:val="67980804"/>
    <w:rsid w:val="679B38AE"/>
    <w:rsid w:val="67A94480"/>
    <w:rsid w:val="67AF2743"/>
    <w:rsid w:val="67C51CD0"/>
    <w:rsid w:val="67D12BBA"/>
    <w:rsid w:val="67D50F26"/>
    <w:rsid w:val="67E75563"/>
    <w:rsid w:val="67EA6FC6"/>
    <w:rsid w:val="67EB0818"/>
    <w:rsid w:val="67F50E07"/>
    <w:rsid w:val="67F71F56"/>
    <w:rsid w:val="67F845BD"/>
    <w:rsid w:val="68071761"/>
    <w:rsid w:val="68097307"/>
    <w:rsid w:val="68203753"/>
    <w:rsid w:val="68214946"/>
    <w:rsid w:val="68263460"/>
    <w:rsid w:val="68290567"/>
    <w:rsid w:val="682B62E9"/>
    <w:rsid w:val="683006F5"/>
    <w:rsid w:val="68372260"/>
    <w:rsid w:val="683956A6"/>
    <w:rsid w:val="683F0740"/>
    <w:rsid w:val="6840027C"/>
    <w:rsid w:val="68413FF8"/>
    <w:rsid w:val="684A1A77"/>
    <w:rsid w:val="68502A38"/>
    <w:rsid w:val="68564E7C"/>
    <w:rsid w:val="687C224C"/>
    <w:rsid w:val="687E715E"/>
    <w:rsid w:val="68817458"/>
    <w:rsid w:val="688249D7"/>
    <w:rsid w:val="68881402"/>
    <w:rsid w:val="68944E21"/>
    <w:rsid w:val="68971DC9"/>
    <w:rsid w:val="68977FF1"/>
    <w:rsid w:val="68A03643"/>
    <w:rsid w:val="68A709B3"/>
    <w:rsid w:val="68A92E2A"/>
    <w:rsid w:val="68AB4906"/>
    <w:rsid w:val="68AE42AF"/>
    <w:rsid w:val="68BA2D6F"/>
    <w:rsid w:val="68BE1EA5"/>
    <w:rsid w:val="68BE6207"/>
    <w:rsid w:val="68C233D0"/>
    <w:rsid w:val="68CB7F89"/>
    <w:rsid w:val="68CC1259"/>
    <w:rsid w:val="68CD6B8B"/>
    <w:rsid w:val="68D75E9E"/>
    <w:rsid w:val="68DB290B"/>
    <w:rsid w:val="68DC4A74"/>
    <w:rsid w:val="68E61BA0"/>
    <w:rsid w:val="68F36D72"/>
    <w:rsid w:val="68F45F9D"/>
    <w:rsid w:val="68FD464C"/>
    <w:rsid w:val="69014BE1"/>
    <w:rsid w:val="69052D66"/>
    <w:rsid w:val="69063AB6"/>
    <w:rsid w:val="69073256"/>
    <w:rsid w:val="690D06BA"/>
    <w:rsid w:val="690F1F2F"/>
    <w:rsid w:val="69120C89"/>
    <w:rsid w:val="691B5CE7"/>
    <w:rsid w:val="6922338F"/>
    <w:rsid w:val="69232AB2"/>
    <w:rsid w:val="69267DEF"/>
    <w:rsid w:val="692A7E0C"/>
    <w:rsid w:val="69315A1F"/>
    <w:rsid w:val="69447FB7"/>
    <w:rsid w:val="694A46AA"/>
    <w:rsid w:val="694C4633"/>
    <w:rsid w:val="694D5CAC"/>
    <w:rsid w:val="694F3019"/>
    <w:rsid w:val="695117B3"/>
    <w:rsid w:val="695B2387"/>
    <w:rsid w:val="695E2CEF"/>
    <w:rsid w:val="69620633"/>
    <w:rsid w:val="69626DBA"/>
    <w:rsid w:val="696E1E82"/>
    <w:rsid w:val="69757B30"/>
    <w:rsid w:val="69790BC0"/>
    <w:rsid w:val="697D1A6E"/>
    <w:rsid w:val="69803CE0"/>
    <w:rsid w:val="69806D7D"/>
    <w:rsid w:val="69826B84"/>
    <w:rsid w:val="698767D7"/>
    <w:rsid w:val="698A6CE5"/>
    <w:rsid w:val="699148F9"/>
    <w:rsid w:val="69924F3F"/>
    <w:rsid w:val="69926C39"/>
    <w:rsid w:val="699777B2"/>
    <w:rsid w:val="699C6022"/>
    <w:rsid w:val="699D023C"/>
    <w:rsid w:val="69A44EBE"/>
    <w:rsid w:val="69A620B9"/>
    <w:rsid w:val="69AE1C5B"/>
    <w:rsid w:val="69B16790"/>
    <w:rsid w:val="69B2182F"/>
    <w:rsid w:val="69B5715B"/>
    <w:rsid w:val="69BF0BA7"/>
    <w:rsid w:val="69C65F29"/>
    <w:rsid w:val="69C85D58"/>
    <w:rsid w:val="69CB1945"/>
    <w:rsid w:val="69D86F15"/>
    <w:rsid w:val="69D95913"/>
    <w:rsid w:val="69D972DA"/>
    <w:rsid w:val="69DC4864"/>
    <w:rsid w:val="69E00AC0"/>
    <w:rsid w:val="69F5478A"/>
    <w:rsid w:val="69F67B79"/>
    <w:rsid w:val="69FA64A0"/>
    <w:rsid w:val="69FF19E0"/>
    <w:rsid w:val="69FF73E2"/>
    <w:rsid w:val="6A024D8D"/>
    <w:rsid w:val="6A0973C2"/>
    <w:rsid w:val="6A0C21A0"/>
    <w:rsid w:val="6A1F6CD9"/>
    <w:rsid w:val="6A2310EF"/>
    <w:rsid w:val="6A3D0C60"/>
    <w:rsid w:val="6A420173"/>
    <w:rsid w:val="6A434151"/>
    <w:rsid w:val="6A4D4D00"/>
    <w:rsid w:val="6A57383F"/>
    <w:rsid w:val="6A604B76"/>
    <w:rsid w:val="6A613853"/>
    <w:rsid w:val="6A61772C"/>
    <w:rsid w:val="6A69048F"/>
    <w:rsid w:val="6A735D94"/>
    <w:rsid w:val="6A771DAB"/>
    <w:rsid w:val="6A7A403A"/>
    <w:rsid w:val="6A857E78"/>
    <w:rsid w:val="6A860E1E"/>
    <w:rsid w:val="6A8A61C1"/>
    <w:rsid w:val="6A8D57DE"/>
    <w:rsid w:val="6A900F56"/>
    <w:rsid w:val="6A905618"/>
    <w:rsid w:val="6A915072"/>
    <w:rsid w:val="6A9D4C89"/>
    <w:rsid w:val="6AA27D7A"/>
    <w:rsid w:val="6ABE11C5"/>
    <w:rsid w:val="6ABF7695"/>
    <w:rsid w:val="6AC75F4E"/>
    <w:rsid w:val="6ACC30F0"/>
    <w:rsid w:val="6AD762D7"/>
    <w:rsid w:val="6AD82AE4"/>
    <w:rsid w:val="6AD910C4"/>
    <w:rsid w:val="6AD97343"/>
    <w:rsid w:val="6ADA0C0B"/>
    <w:rsid w:val="6AE22281"/>
    <w:rsid w:val="6AF1362A"/>
    <w:rsid w:val="6AF95455"/>
    <w:rsid w:val="6AFB2C63"/>
    <w:rsid w:val="6AFD4459"/>
    <w:rsid w:val="6AFF3EB4"/>
    <w:rsid w:val="6B02361E"/>
    <w:rsid w:val="6B036693"/>
    <w:rsid w:val="6B0D6ACB"/>
    <w:rsid w:val="6B194EB7"/>
    <w:rsid w:val="6B220DF9"/>
    <w:rsid w:val="6B230D3F"/>
    <w:rsid w:val="6B370DFE"/>
    <w:rsid w:val="6B372E0A"/>
    <w:rsid w:val="6B3968B8"/>
    <w:rsid w:val="6B417661"/>
    <w:rsid w:val="6B452079"/>
    <w:rsid w:val="6B4C2D6D"/>
    <w:rsid w:val="6B535FF8"/>
    <w:rsid w:val="6B547D0A"/>
    <w:rsid w:val="6B7E66D4"/>
    <w:rsid w:val="6B885340"/>
    <w:rsid w:val="6B8F1051"/>
    <w:rsid w:val="6B8F31C1"/>
    <w:rsid w:val="6B901B95"/>
    <w:rsid w:val="6BB35756"/>
    <w:rsid w:val="6BB92763"/>
    <w:rsid w:val="6BBB7139"/>
    <w:rsid w:val="6BBF30D7"/>
    <w:rsid w:val="6BC961ED"/>
    <w:rsid w:val="6BD516C4"/>
    <w:rsid w:val="6BDA2302"/>
    <w:rsid w:val="6BDA3F7A"/>
    <w:rsid w:val="6BEA6FE4"/>
    <w:rsid w:val="6BF31599"/>
    <w:rsid w:val="6C017983"/>
    <w:rsid w:val="6C0A33A4"/>
    <w:rsid w:val="6C0F0521"/>
    <w:rsid w:val="6C173361"/>
    <w:rsid w:val="6C1B7515"/>
    <w:rsid w:val="6C201E19"/>
    <w:rsid w:val="6C2253B1"/>
    <w:rsid w:val="6C253F2F"/>
    <w:rsid w:val="6C2A4094"/>
    <w:rsid w:val="6C322988"/>
    <w:rsid w:val="6C3278AE"/>
    <w:rsid w:val="6C376125"/>
    <w:rsid w:val="6C3A4712"/>
    <w:rsid w:val="6C3E28C9"/>
    <w:rsid w:val="6C3E3F10"/>
    <w:rsid w:val="6C3F4594"/>
    <w:rsid w:val="6C424139"/>
    <w:rsid w:val="6C532355"/>
    <w:rsid w:val="6C592CE4"/>
    <w:rsid w:val="6C5B1F32"/>
    <w:rsid w:val="6C5B2992"/>
    <w:rsid w:val="6C8A1856"/>
    <w:rsid w:val="6C8E731E"/>
    <w:rsid w:val="6C9074DC"/>
    <w:rsid w:val="6C937F17"/>
    <w:rsid w:val="6C953767"/>
    <w:rsid w:val="6C9F3980"/>
    <w:rsid w:val="6CB17AE6"/>
    <w:rsid w:val="6CB55EE3"/>
    <w:rsid w:val="6CB76400"/>
    <w:rsid w:val="6CBC0179"/>
    <w:rsid w:val="6CBC4A9A"/>
    <w:rsid w:val="6CC91C0E"/>
    <w:rsid w:val="6CD262BD"/>
    <w:rsid w:val="6CD612FA"/>
    <w:rsid w:val="6CDA6DED"/>
    <w:rsid w:val="6CDD1AEB"/>
    <w:rsid w:val="6CE57C62"/>
    <w:rsid w:val="6CEB62C0"/>
    <w:rsid w:val="6CED5852"/>
    <w:rsid w:val="6CEE6069"/>
    <w:rsid w:val="6CF52C9A"/>
    <w:rsid w:val="6CF9075B"/>
    <w:rsid w:val="6D0276C0"/>
    <w:rsid w:val="6D0C024C"/>
    <w:rsid w:val="6D0D1FFE"/>
    <w:rsid w:val="6D1134A3"/>
    <w:rsid w:val="6D131FEC"/>
    <w:rsid w:val="6D187C60"/>
    <w:rsid w:val="6D1E70C8"/>
    <w:rsid w:val="6D214CCC"/>
    <w:rsid w:val="6D2A7289"/>
    <w:rsid w:val="6D2C4967"/>
    <w:rsid w:val="6D2E187F"/>
    <w:rsid w:val="6D314F10"/>
    <w:rsid w:val="6D330C3D"/>
    <w:rsid w:val="6D353739"/>
    <w:rsid w:val="6D3B16B1"/>
    <w:rsid w:val="6D3C2A6B"/>
    <w:rsid w:val="6D4715BB"/>
    <w:rsid w:val="6D4A26CF"/>
    <w:rsid w:val="6D4D18E2"/>
    <w:rsid w:val="6D4D5FD8"/>
    <w:rsid w:val="6D53463E"/>
    <w:rsid w:val="6D5572A1"/>
    <w:rsid w:val="6D5662AF"/>
    <w:rsid w:val="6D582B49"/>
    <w:rsid w:val="6D644023"/>
    <w:rsid w:val="6D6B7A63"/>
    <w:rsid w:val="6D721C76"/>
    <w:rsid w:val="6D763AE9"/>
    <w:rsid w:val="6D793D69"/>
    <w:rsid w:val="6D8153C6"/>
    <w:rsid w:val="6D875F06"/>
    <w:rsid w:val="6D883616"/>
    <w:rsid w:val="6D9D1660"/>
    <w:rsid w:val="6DA21687"/>
    <w:rsid w:val="6DAF2D05"/>
    <w:rsid w:val="6DB55E0D"/>
    <w:rsid w:val="6DBB33FA"/>
    <w:rsid w:val="6DBC6F45"/>
    <w:rsid w:val="6DC733DE"/>
    <w:rsid w:val="6DC80817"/>
    <w:rsid w:val="6DCF1CA3"/>
    <w:rsid w:val="6DD24192"/>
    <w:rsid w:val="6DD2735C"/>
    <w:rsid w:val="6DDD31B3"/>
    <w:rsid w:val="6DF6272C"/>
    <w:rsid w:val="6DF77874"/>
    <w:rsid w:val="6DF9255B"/>
    <w:rsid w:val="6DFA4BC0"/>
    <w:rsid w:val="6DFD149F"/>
    <w:rsid w:val="6E006821"/>
    <w:rsid w:val="6E066EAE"/>
    <w:rsid w:val="6E0D483B"/>
    <w:rsid w:val="6E11397B"/>
    <w:rsid w:val="6E124984"/>
    <w:rsid w:val="6E1B5076"/>
    <w:rsid w:val="6E25744D"/>
    <w:rsid w:val="6E366B59"/>
    <w:rsid w:val="6E3B1A56"/>
    <w:rsid w:val="6E3C3601"/>
    <w:rsid w:val="6E414C18"/>
    <w:rsid w:val="6E465C16"/>
    <w:rsid w:val="6E46728A"/>
    <w:rsid w:val="6E4C149E"/>
    <w:rsid w:val="6E5053D4"/>
    <w:rsid w:val="6E7311C4"/>
    <w:rsid w:val="6E74502B"/>
    <w:rsid w:val="6E7653C3"/>
    <w:rsid w:val="6E822AD7"/>
    <w:rsid w:val="6E84344E"/>
    <w:rsid w:val="6E8465EC"/>
    <w:rsid w:val="6E850778"/>
    <w:rsid w:val="6E8716A0"/>
    <w:rsid w:val="6E881EFD"/>
    <w:rsid w:val="6E8840C7"/>
    <w:rsid w:val="6E89094C"/>
    <w:rsid w:val="6E8A6869"/>
    <w:rsid w:val="6E8E3324"/>
    <w:rsid w:val="6E94453B"/>
    <w:rsid w:val="6E9B521E"/>
    <w:rsid w:val="6E9C2E32"/>
    <w:rsid w:val="6E9F2044"/>
    <w:rsid w:val="6EA04C6D"/>
    <w:rsid w:val="6EA41C2D"/>
    <w:rsid w:val="6EA64AF0"/>
    <w:rsid w:val="6EAC3E14"/>
    <w:rsid w:val="6EAC7BE2"/>
    <w:rsid w:val="6EBD37A4"/>
    <w:rsid w:val="6EBE23CE"/>
    <w:rsid w:val="6EC56D15"/>
    <w:rsid w:val="6EC90615"/>
    <w:rsid w:val="6ECB734C"/>
    <w:rsid w:val="6ECC08A2"/>
    <w:rsid w:val="6ED62C6C"/>
    <w:rsid w:val="6ED72586"/>
    <w:rsid w:val="6EE72E6D"/>
    <w:rsid w:val="6EEA49D9"/>
    <w:rsid w:val="6EEC326D"/>
    <w:rsid w:val="6EED046E"/>
    <w:rsid w:val="6EEF3D0D"/>
    <w:rsid w:val="6EF02681"/>
    <w:rsid w:val="6EF75574"/>
    <w:rsid w:val="6F1E6D73"/>
    <w:rsid w:val="6F2608F9"/>
    <w:rsid w:val="6F46510D"/>
    <w:rsid w:val="6F48237F"/>
    <w:rsid w:val="6F483481"/>
    <w:rsid w:val="6F493913"/>
    <w:rsid w:val="6F50197E"/>
    <w:rsid w:val="6F5031E9"/>
    <w:rsid w:val="6F5553C7"/>
    <w:rsid w:val="6F634576"/>
    <w:rsid w:val="6F683076"/>
    <w:rsid w:val="6F6B2751"/>
    <w:rsid w:val="6F716118"/>
    <w:rsid w:val="6F7221EF"/>
    <w:rsid w:val="6F7518F2"/>
    <w:rsid w:val="6F7F0808"/>
    <w:rsid w:val="6F97764D"/>
    <w:rsid w:val="6F9A0DFD"/>
    <w:rsid w:val="6FAD32F3"/>
    <w:rsid w:val="6FAF3B6E"/>
    <w:rsid w:val="6FB0778A"/>
    <w:rsid w:val="6FB21603"/>
    <w:rsid w:val="6FB3696D"/>
    <w:rsid w:val="6FBC418B"/>
    <w:rsid w:val="6FC612D3"/>
    <w:rsid w:val="6FCB2251"/>
    <w:rsid w:val="6FCC3B15"/>
    <w:rsid w:val="6FD515F5"/>
    <w:rsid w:val="6FD53B57"/>
    <w:rsid w:val="6FD876B2"/>
    <w:rsid w:val="6FD92C16"/>
    <w:rsid w:val="6FD97C49"/>
    <w:rsid w:val="6FE21DC0"/>
    <w:rsid w:val="6FE252EF"/>
    <w:rsid w:val="6FE272D4"/>
    <w:rsid w:val="6FE3327A"/>
    <w:rsid w:val="6FE607BF"/>
    <w:rsid w:val="6FEE1CEC"/>
    <w:rsid w:val="6FFC5C49"/>
    <w:rsid w:val="6FFE3A53"/>
    <w:rsid w:val="700338AD"/>
    <w:rsid w:val="70046B16"/>
    <w:rsid w:val="70047A95"/>
    <w:rsid w:val="700E006F"/>
    <w:rsid w:val="7010767C"/>
    <w:rsid w:val="70183837"/>
    <w:rsid w:val="701F56CF"/>
    <w:rsid w:val="7026642F"/>
    <w:rsid w:val="70312243"/>
    <w:rsid w:val="703515DC"/>
    <w:rsid w:val="70386C0B"/>
    <w:rsid w:val="70401807"/>
    <w:rsid w:val="70421A25"/>
    <w:rsid w:val="704A2071"/>
    <w:rsid w:val="704B0AFC"/>
    <w:rsid w:val="70595B60"/>
    <w:rsid w:val="705A26B6"/>
    <w:rsid w:val="7060020B"/>
    <w:rsid w:val="70605A3E"/>
    <w:rsid w:val="706C10FA"/>
    <w:rsid w:val="706C32DB"/>
    <w:rsid w:val="70724303"/>
    <w:rsid w:val="70760576"/>
    <w:rsid w:val="707B47BC"/>
    <w:rsid w:val="707E07CD"/>
    <w:rsid w:val="707E1519"/>
    <w:rsid w:val="7086408A"/>
    <w:rsid w:val="70867A07"/>
    <w:rsid w:val="708A7789"/>
    <w:rsid w:val="708E1623"/>
    <w:rsid w:val="709B7028"/>
    <w:rsid w:val="709D3EE0"/>
    <w:rsid w:val="709F089C"/>
    <w:rsid w:val="709F5674"/>
    <w:rsid w:val="70A831CE"/>
    <w:rsid w:val="70AA78D4"/>
    <w:rsid w:val="70AB5F45"/>
    <w:rsid w:val="70AD0F31"/>
    <w:rsid w:val="70B0693C"/>
    <w:rsid w:val="70B521EA"/>
    <w:rsid w:val="70B53FB0"/>
    <w:rsid w:val="70C21CAB"/>
    <w:rsid w:val="70C33906"/>
    <w:rsid w:val="70C5055D"/>
    <w:rsid w:val="70C82405"/>
    <w:rsid w:val="70CB03AA"/>
    <w:rsid w:val="70CD3F2D"/>
    <w:rsid w:val="70D0733A"/>
    <w:rsid w:val="70DD18A8"/>
    <w:rsid w:val="70DD739B"/>
    <w:rsid w:val="70DE5F9A"/>
    <w:rsid w:val="70E9245E"/>
    <w:rsid w:val="70EC6AC3"/>
    <w:rsid w:val="70EF2898"/>
    <w:rsid w:val="70F35648"/>
    <w:rsid w:val="70FA7879"/>
    <w:rsid w:val="710328CE"/>
    <w:rsid w:val="71182054"/>
    <w:rsid w:val="7120395E"/>
    <w:rsid w:val="712415A7"/>
    <w:rsid w:val="713361DE"/>
    <w:rsid w:val="71337A8C"/>
    <w:rsid w:val="71363AEE"/>
    <w:rsid w:val="713A7185"/>
    <w:rsid w:val="71424EB0"/>
    <w:rsid w:val="71481CE7"/>
    <w:rsid w:val="715C13D3"/>
    <w:rsid w:val="71636C84"/>
    <w:rsid w:val="71645B63"/>
    <w:rsid w:val="716A4D7C"/>
    <w:rsid w:val="71732F3C"/>
    <w:rsid w:val="717D3579"/>
    <w:rsid w:val="717E0B45"/>
    <w:rsid w:val="71840E44"/>
    <w:rsid w:val="718467D4"/>
    <w:rsid w:val="718866C0"/>
    <w:rsid w:val="718E0B7C"/>
    <w:rsid w:val="718E1A0A"/>
    <w:rsid w:val="7193323C"/>
    <w:rsid w:val="719373EF"/>
    <w:rsid w:val="71963D04"/>
    <w:rsid w:val="719A642C"/>
    <w:rsid w:val="719F4E4E"/>
    <w:rsid w:val="71A4312E"/>
    <w:rsid w:val="71A4600B"/>
    <w:rsid w:val="71A568B6"/>
    <w:rsid w:val="71A73018"/>
    <w:rsid w:val="71B01FBF"/>
    <w:rsid w:val="71B60410"/>
    <w:rsid w:val="71B6516A"/>
    <w:rsid w:val="71B941B2"/>
    <w:rsid w:val="71C32EE9"/>
    <w:rsid w:val="71C61335"/>
    <w:rsid w:val="71C70715"/>
    <w:rsid w:val="71C82FF4"/>
    <w:rsid w:val="71C84A34"/>
    <w:rsid w:val="71CA5B35"/>
    <w:rsid w:val="71D34D77"/>
    <w:rsid w:val="71D3635E"/>
    <w:rsid w:val="71D567D1"/>
    <w:rsid w:val="71D75BA3"/>
    <w:rsid w:val="71F22E0D"/>
    <w:rsid w:val="71F235C7"/>
    <w:rsid w:val="71F50610"/>
    <w:rsid w:val="71FA3936"/>
    <w:rsid w:val="71FE4787"/>
    <w:rsid w:val="71FE5273"/>
    <w:rsid w:val="71FF45A4"/>
    <w:rsid w:val="72051112"/>
    <w:rsid w:val="72107D0C"/>
    <w:rsid w:val="72121886"/>
    <w:rsid w:val="721330F8"/>
    <w:rsid w:val="72160AC5"/>
    <w:rsid w:val="72262BFA"/>
    <w:rsid w:val="722B3417"/>
    <w:rsid w:val="722E5122"/>
    <w:rsid w:val="72361A18"/>
    <w:rsid w:val="72381E1E"/>
    <w:rsid w:val="723954B5"/>
    <w:rsid w:val="724C6787"/>
    <w:rsid w:val="724D1963"/>
    <w:rsid w:val="724D590C"/>
    <w:rsid w:val="72556B51"/>
    <w:rsid w:val="72603D48"/>
    <w:rsid w:val="7263657C"/>
    <w:rsid w:val="72685F04"/>
    <w:rsid w:val="72702867"/>
    <w:rsid w:val="727F4E52"/>
    <w:rsid w:val="728D39A0"/>
    <w:rsid w:val="72914DAE"/>
    <w:rsid w:val="72922784"/>
    <w:rsid w:val="72982501"/>
    <w:rsid w:val="72A1509B"/>
    <w:rsid w:val="72C2425C"/>
    <w:rsid w:val="72CC3F9A"/>
    <w:rsid w:val="72CD2F57"/>
    <w:rsid w:val="72D36349"/>
    <w:rsid w:val="72D36605"/>
    <w:rsid w:val="72D738C5"/>
    <w:rsid w:val="72E02A32"/>
    <w:rsid w:val="72E34DA2"/>
    <w:rsid w:val="72E714E0"/>
    <w:rsid w:val="72EA2C30"/>
    <w:rsid w:val="72F00AD4"/>
    <w:rsid w:val="72F44CF4"/>
    <w:rsid w:val="72F67D6E"/>
    <w:rsid w:val="72F757A4"/>
    <w:rsid w:val="72F87C29"/>
    <w:rsid w:val="72FB5780"/>
    <w:rsid w:val="72FD36A2"/>
    <w:rsid w:val="72FE7839"/>
    <w:rsid w:val="730E0D3C"/>
    <w:rsid w:val="73115881"/>
    <w:rsid w:val="731341E9"/>
    <w:rsid w:val="73150607"/>
    <w:rsid w:val="73194A5B"/>
    <w:rsid w:val="732768B7"/>
    <w:rsid w:val="732D4688"/>
    <w:rsid w:val="73342319"/>
    <w:rsid w:val="73371357"/>
    <w:rsid w:val="733A706D"/>
    <w:rsid w:val="733E7F10"/>
    <w:rsid w:val="73404080"/>
    <w:rsid w:val="73441F82"/>
    <w:rsid w:val="734C6DF6"/>
    <w:rsid w:val="73532F30"/>
    <w:rsid w:val="73562850"/>
    <w:rsid w:val="73590E3E"/>
    <w:rsid w:val="735975A3"/>
    <w:rsid w:val="73641D49"/>
    <w:rsid w:val="73674CC5"/>
    <w:rsid w:val="736A34B4"/>
    <w:rsid w:val="736E293D"/>
    <w:rsid w:val="73747BBB"/>
    <w:rsid w:val="73755F01"/>
    <w:rsid w:val="73784CE3"/>
    <w:rsid w:val="737B4E02"/>
    <w:rsid w:val="7382116F"/>
    <w:rsid w:val="73821B88"/>
    <w:rsid w:val="7385740C"/>
    <w:rsid w:val="739214CB"/>
    <w:rsid w:val="7397510A"/>
    <w:rsid w:val="73A31346"/>
    <w:rsid w:val="73A9315C"/>
    <w:rsid w:val="73AC457B"/>
    <w:rsid w:val="73AE5DB0"/>
    <w:rsid w:val="73B10C0D"/>
    <w:rsid w:val="73B21CF4"/>
    <w:rsid w:val="73B45C3D"/>
    <w:rsid w:val="73B47614"/>
    <w:rsid w:val="73BC5B9D"/>
    <w:rsid w:val="73C94078"/>
    <w:rsid w:val="73CC0252"/>
    <w:rsid w:val="73CD0E13"/>
    <w:rsid w:val="73CD338C"/>
    <w:rsid w:val="73CF1834"/>
    <w:rsid w:val="73D27B40"/>
    <w:rsid w:val="73D505F8"/>
    <w:rsid w:val="73E26755"/>
    <w:rsid w:val="73E30DA5"/>
    <w:rsid w:val="73E50222"/>
    <w:rsid w:val="73E51610"/>
    <w:rsid w:val="73E96706"/>
    <w:rsid w:val="73E97C56"/>
    <w:rsid w:val="73EB3C97"/>
    <w:rsid w:val="73EB7726"/>
    <w:rsid w:val="73F46F50"/>
    <w:rsid w:val="73F871CA"/>
    <w:rsid w:val="74091DF1"/>
    <w:rsid w:val="74156989"/>
    <w:rsid w:val="7415769D"/>
    <w:rsid w:val="7416199B"/>
    <w:rsid w:val="741C4F65"/>
    <w:rsid w:val="741E2172"/>
    <w:rsid w:val="741F17D1"/>
    <w:rsid w:val="742109D9"/>
    <w:rsid w:val="74236A73"/>
    <w:rsid w:val="74255A42"/>
    <w:rsid w:val="742B02F8"/>
    <w:rsid w:val="74434F0C"/>
    <w:rsid w:val="744954A7"/>
    <w:rsid w:val="744B45E7"/>
    <w:rsid w:val="744F4CFB"/>
    <w:rsid w:val="74524A10"/>
    <w:rsid w:val="745758E0"/>
    <w:rsid w:val="74640B5C"/>
    <w:rsid w:val="74890EC2"/>
    <w:rsid w:val="748E5424"/>
    <w:rsid w:val="748F3611"/>
    <w:rsid w:val="74916FB4"/>
    <w:rsid w:val="749727F5"/>
    <w:rsid w:val="749877E0"/>
    <w:rsid w:val="74A11EB4"/>
    <w:rsid w:val="74B142EC"/>
    <w:rsid w:val="74B7502D"/>
    <w:rsid w:val="74B93C20"/>
    <w:rsid w:val="74BA19CF"/>
    <w:rsid w:val="74D315C5"/>
    <w:rsid w:val="74D65B2D"/>
    <w:rsid w:val="74D85BE1"/>
    <w:rsid w:val="74DC0A20"/>
    <w:rsid w:val="74DD5A94"/>
    <w:rsid w:val="74DE6DFB"/>
    <w:rsid w:val="74EC2FC9"/>
    <w:rsid w:val="74EC5FC0"/>
    <w:rsid w:val="74F31305"/>
    <w:rsid w:val="74F700E3"/>
    <w:rsid w:val="74FB01FE"/>
    <w:rsid w:val="74FB186D"/>
    <w:rsid w:val="74FC42F1"/>
    <w:rsid w:val="74FD1BC4"/>
    <w:rsid w:val="74FD2865"/>
    <w:rsid w:val="75033F30"/>
    <w:rsid w:val="75037A37"/>
    <w:rsid w:val="75091E3F"/>
    <w:rsid w:val="7515635F"/>
    <w:rsid w:val="75217373"/>
    <w:rsid w:val="752B2254"/>
    <w:rsid w:val="752E134D"/>
    <w:rsid w:val="753253BF"/>
    <w:rsid w:val="75376B3A"/>
    <w:rsid w:val="753A339A"/>
    <w:rsid w:val="753B6B54"/>
    <w:rsid w:val="753F2A4E"/>
    <w:rsid w:val="754C467A"/>
    <w:rsid w:val="755153D5"/>
    <w:rsid w:val="7558186F"/>
    <w:rsid w:val="75596840"/>
    <w:rsid w:val="756060C1"/>
    <w:rsid w:val="75696C8A"/>
    <w:rsid w:val="757A0331"/>
    <w:rsid w:val="75803098"/>
    <w:rsid w:val="7581150F"/>
    <w:rsid w:val="758346C4"/>
    <w:rsid w:val="758937A4"/>
    <w:rsid w:val="758E2161"/>
    <w:rsid w:val="75934AE9"/>
    <w:rsid w:val="759A2959"/>
    <w:rsid w:val="759B2687"/>
    <w:rsid w:val="75A17170"/>
    <w:rsid w:val="75AE53D3"/>
    <w:rsid w:val="75B66793"/>
    <w:rsid w:val="75C2558A"/>
    <w:rsid w:val="75C62D0F"/>
    <w:rsid w:val="75C81EA6"/>
    <w:rsid w:val="75CE2B74"/>
    <w:rsid w:val="75D72D95"/>
    <w:rsid w:val="75DD5B07"/>
    <w:rsid w:val="75DE253F"/>
    <w:rsid w:val="75DE4BE0"/>
    <w:rsid w:val="75E20D83"/>
    <w:rsid w:val="75E4176E"/>
    <w:rsid w:val="75EA1DE6"/>
    <w:rsid w:val="76096440"/>
    <w:rsid w:val="760C656A"/>
    <w:rsid w:val="760E224F"/>
    <w:rsid w:val="760F1747"/>
    <w:rsid w:val="7614383F"/>
    <w:rsid w:val="76157416"/>
    <w:rsid w:val="761661ED"/>
    <w:rsid w:val="761C2263"/>
    <w:rsid w:val="762469A2"/>
    <w:rsid w:val="76366480"/>
    <w:rsid w:val="76387676"/>
    <w:rsid w:val="763B37EA"/>
    <w:rsid w:val="76462439"/>
    <w:rsid w:val="764919CA"/>
    <w:rsid w:val="76521438"/>
    <w:rsid w:val="76524F9A"/>
    <w:rsid w:val="76561535"/>
    <w:rsid w:val="76620480"/>
    <w:rsid w:val="7662358C"/>
    <w:rsid w:val="766B14A6"/>
    <w:rsid w:val="76765625"/>
    <w:rsid w:val="76935E1C"/>
    <w:rsid w:val="7695067B"/>
    <w:rsid w:val="7698151E"/>
    <w:rsid w:val="76A0635F"/>
    <w:rsid w:val="76A448F2"/>
    <w:rsid w:val="76A92F9C"/>
    <w:rsid w:val="76A937B3"/>
    <w:rsid w:val="76B02DF6"/>
    <w:rsid w:val="76B25CE6"/>
    <w:rsid w:val="76BD1004"/>
    <w:rsid w:val="76C65E92"/>
    <w:rsid w:val="76CB337F"/>
    <w:rsid w:val="76CD7BBA"/>
    <w:rsid w:val="76CF5FF5"/>
    <w:rsid w:val="76DA4F95"/>
    <w:rsid w:val="76DF4647"/>
    <w:rsid w:val="76E9649A"/>
    <w:rsid w:val="76F64666"/>
    <w:rsid w:val="76F7301B"/>
    <w:rsid w:val="77022ACD"/>
    <w:rsid w:val="771A4F6B"/>
    <w:rsid w:val="771B4117"/>
    <w:rsid w:val="77220995"/>
    <w:rsid w:val="77246B26"/>
    <w:rsid w:val="77254650"/>
    <w:rsid w:val="772B2BF2"/>
    <w:rsid w:val="77322C62"/>
    <w:rsid w:val="77455EF3"/>
    <w:rsid w:val="77464012"/>
    <w:rsid w:val="77485FA2"/>
    <w:rsid w:val="77505B58"/>
    <w:rsid w:val="7756537D"/>
    <w:rsid w:val="775C392D"/>
    <w:rsid w:val="77730EAA"/>
    <w:rsid w:val="778940CA"/>
    <w:rsid w:val="77900D91"/>
    <w:rsid w:val="77915F2B"/>
    <w:rsid w:val="77B369A7"/>
    <w:rsid w:val="77B73EB6"/>
    <w:rsid w:val="77B90C96"/>
    <w:rsid w:val="77C129B7"/>
    <w:rsid w:val="77C24B03"/>
    <w:rsid w:val="77CF29C0"/>
    <w:rsid w:val="77D07941"/>
    <w:rsid w:val="77D113BA"/>
    <w:rsid w:val="77D5735A"/>
    <w:rsid w:val="77D77DB8"/>
    <w:rsid w:val="77DF03A5"/>
    <w:rsid w:val="77E329C5"/>
    <w:rsid w:val="77E341DB"/>
    <w:rsid w:val="77E77032"/>
    <w:rsid w:val="77EA27FB"/>
    <w:rsid w:val="77F06349"/>
    <w:rsid w:val="77F32F17"/>
    <w:rsid w:val="780B3688"/>
    <w:rsid w:val="780C7EE7"/>
    <w:rsid w:val="780D0D98"/>
    <w:rsid w:val="780D72FD"/>
    <w:rsid w:val="780F4174"/>
    <w:rsid w:val="7811714F"/>
    <w:rsid w:val="781437A0"/>
    <w:rsid w:val="7816666C"/>
    <w:rsid w:val="781A5FCB"/>
    <w:rsid w:val="782D1D2E"/>
    <w:rsid w:val="783F42F9"/>
    <w:rsid w:val="785A0E41"/>
    <w:rsid w:val="786D3FA9"/>
    <w:rsid w:val="786E5EE5"/>
    <w:rsid w:val="78773B55"/>
    <w:rsid w:val="7884459B"/>
    <w:rsid w:val="788A1E7D"/>
    <w:rsid w:val="788D0443"/>
    <w:rsid w:val="789254C9"/>
    <w:rsid w:val="7892555D"/>
    <w:rsid w:val="78992C62"/>
    <w:rsid w:val="78A40B72"/>
    <w:rsid w:val="78B220D6"/>
    <w:rsid w:val="78C84DBE"/>
    <w:rsid w:val="78CB3CE7"/>
    <w:rsid w:val="78CF297C"/>
    <w:rsid w:val="78D24139"/>
    <w:rsid w:val="78D47DDC"/>
    <w:rsid w:val="78D852A7"/>
    <w:rsid w:val="78EF1120"/>
    <w:rsid w:val="78FE0F64"/>
    <w:rsid w:val="79051C5D"/>
    <w:rsid w:val="79061A1D"/>
    <w:rsid w:val="790760A9"/>
    <w:rsid w:val="790A03A6"/>
    <w:rsid w:val="790E3801"/>
    <w:rsid w:val="791E7610"/>
    <w:rsid w:val="791E7AD1"/>
    <w:rsid w:val="791F16A6"/>
    <w:rsid w:val="79245CA8"/>
    <w:rsid w:val="79247B36"/>
    <w:rsid w:val="792961E7"/>
    <w:rsid w:val="79304315"/>
    <w:rsid w:val="793248A8"/>
    <w:rsid w:val="793A4D6C"/>
    <w:rsid w:val="79472C4A"/>
    <w:rsid w:val="795F26B9"/>
    <w:rsid w:val="796049AA"/>
    <w:rsid w:val="796344E5"/>
    <w:rsid w:val="79646DE8"/>
    <w:rsid w:val="796F6FE6"/>
    <w:rsid w:val="79784F1E"/>
    <w:rsid w:val="797A7FF8"/>
    <w:rsid w:val="797B2E8C"/>
    <w:rsid w:val="797C0A0B"/>
    <w:rsid w:val="797F3CBF"/>
    <w:rsid w:val="79882431"/>
    <w:rsid w:val="79892E35"/>
    <w:rsid w:val="798D4432"/>
    <w:rsid w:val="799056F6"/>
    <w:rsid w:val="799317F8"/>
    <w:rsid w:val="79932FAE"/>
    <w:rsid w:val="79982846"/>
    <w:rsid w:val="79A74E18"/>
    <w:rsid w:val="79AF3754"/>
    <w:rsid w:val="79B06156"/>
    <w:rsid w:val="79B80980"/>
    <w:rsid w:val="79B9112F"/>
    <w:rsid w:val="79C46410"/>
    <w:rsid w:val="79C71AE7"/>
    <w:rsid w:val="79C742B2"/>
    <w:rsid w:val="79D627F2"/>
    <w:rsid w:val="79DB2E0C"/>
    <w:rsid w:val="79DE28DA"/>
    <w:rsid w:val="79E86595"/>
    <w:rsid w:val="79F14DE5"/>
    <w:rsid w:val="79F337BC"/>
    <w:rsid w:val="79FE78A5"/>
    <w:rsid w:val="7A0052EB"/>
    <w:rsid w:val="7A047D64"/>
    <w:rsid w:val="7A0A486C"/>
    <w:rsid w:val="7A1C0E69"/>
    <w:rsid w:val="7A1F665F"/>
    <w:rsid w:val="7A3114D1"/>
    <w:rsid w:val="7A3A2165"/>
    <w:rsid w:val="7A3E25E4"/>
    <w:rsid w:val="7A435F0A"/>
    <w:rsid w:val="7A471D5A"/>
    <w:rsid w:val="7A4872BE"/>
    <w:rsid w:val="7A560BF7"/>
    <w:rsid w:val="7A562A90"/>
    <w:rsid w:val="7A5A2392"/>
    <w:rsid w:val="7A602295"/>
    <w:rsid w:val="7A6363E8"/>
    <w:rsid w:val="7A662D26"/>
    <w:rsid w:val="7A677DB2"/>
    <w:rsid w:val="7A716546"/>
    <w:rsid w:val="7A7830BF"/>
    <w:rsid w:val="7A7D5D46"/>
    <w:rsid w:val="7A804A18"/>
    <w:rsid w:val="7A83707C"/>
    <w:rsid w:val="7A873A73"/>
    <w:rsid w:val="7A9253DD"/>
    <w:rsid w:val="7A9B2AF7"/>
    <w:rsid w:val="7A9F5727"/>
    <w:rsid w:val="7AA1607B"/>
    <w:rsid w:val="7AA43762"/>
    <w:rsid w:val="7AAF3F68"/>
    <w:rsid w:val="7AB04C92"/>
    <w:rsid w:val="7AB44D4A"/>
    <w:rsid w:val="7ABE7796"/>
    <w:rsid w:val="7AC2158F"/>
    <w:rsid w:val="7AC50CA1"/>
    <w:rsid w:val="7AC525D5"/>
    <w:rsid w:val="7AC657D2"/>
    <w:rsid w:val="7ACA0B0D"/>
    <w:rsid w:val="7ACA4658"/>
    <w:rsid w:val="7ACF71FB"/>
    <w:rsid w:val="7ACF7388"/>
    <w:rsid w:val="7AD5565A"/>
    <w:rsid w:val="7ADE604C"/>
    <w:rsid w:val="7AE5379D"/>
    <w:rsid w:val="7AEE30FC"/>
    <w:rsid w:val="7AF11F66"/>
    <w:rsid w:val="7AF17A9A"/>
    <w:rsid w:val="7AF5152B"/>
    <w:rsid w:val="7AF7698D"/>
    <w:rsid w:val="7AF77B17"/>
    <w:rsid w:val="7AFA71B9"/>
    <w:rsid w:val="7B002C9E"/>
    <w:rsid w:val="7B0452DB"/>
    <w:rsid w:val="7B070F7B"/>
    <w:rsid w:val="7B0A7F90"/>
    <w:rsid w:val="7B0E1832"/>
    <w:rsid w:val="7B11363A"/>
    <w:rsid w:val="7B124E7F"/>
    <w:rsid w:val="7B1A3B2F"/>
    <w:rsid w:val="7B1C5860"/>
    <w:rsid w:val="7B1F17E2"/>
    <w:rsid w:val="7B2444B5"/>
    <w:rsid w:val="7B277B04"/>
    <w:rsid w:val="7B307434"/>
    <w:rsid w:val="7B311A20"/>
    <w:rsid w:val="7B3154E6"/>
    <w:rsid w:val="7B3235AE"/>
    <w:rsid w:val="7B374BD2"/>
    <w:rsid w:val="7B3A6891"/>
    <w:rsid w:val="7B403EF8"/>
    <w:rsid w:val="7B4160F1"/>
    <w:rsid w:val="7B4320CB"/>
    <w:rsid w:val="7B464B87"/>
    <w:rsid w:val="7B473FC8"/>
    <w:rsid w:val="7B5801A2"/>
    <w:rsid w:val="7B6172C4"/>
    <w:rsid w:val="7B6257DA"/>
    <w:rsid w:val="7B642D9A"/>
    <w:rsid w:val="7B673589"/>
    <w:rsid w:val="7B6A5C01"/>
    <w:rsid w:val="7B6E73A0"/>
    <w:rsid w:val="7B707F85"/>
    <w:rsid w:val="7B711162"/>
    <w:rsid w:val="7B71300C"/>
    <w:rsid w:val="7B715D4F"/>
    <w:rsid w:val="7B7516BD"/>
    <w:rsid w:val="7B7653B3"/>
    <w:rsid w:val="7B77693C"/>
    <w:rsid w:val="7B8277C5"/>
    <w:rsid w:val="7B842993"/>
    <w:rsid w:val="7B862233"/>
    <w:rsid w:val="7B867A48"/>
    <w:rsid w:val="7B967CD4"/>
    <w:rsid w:val="7B9B54A3"/>
    <w:rsid w:val="7B9F2FE9"/>
    <w:rsid w:val="7BA046B9"/>
    <w:rsid w:val="7BA7112B"/>
    <w:rsid w:val="7BAF3B2D"/>
    <w:rsid w:val="7BB401F8"/>
    <w:rsid w:val="7BBA275D"/>
    <w:rsid w:val="7BBD74A3"/>
    <w:rsid w:val="7BCA2832"/>
    <w:rsid w:val="7BCE7FDF"/>
    <w:rsid w:val="7BD4735C"/>
    <w:rsid w:val="7BDC45E5"/>
    <w:rsid w:val="7BE20C03"/>
    <w:rsid w:val="7BE72F96"/>
    <w:rsid w:val="7BE7728D"/>
    <w:rsid w:val="7BE96E82"/>
    <w:rsid w:val="7BED379F"/>
    <w:rsid w:val="7BF43F4D"/>
    <w:rsid w:val="7BF56E4A"/>
    <w:rsid w:val="7BFB6862"/>
    <w:rsid w:val="7C024BDE"/>
    <w:rsid w:val="7C083196"/>
    <w:rsid w:val="7C0B07DA"/>
    <w:rsid w:val="7C1270E0"/>
    <w:rsid w:val="7C16089F"/>
    <w:rsid w:val="7C1D174D"/>
    <w:rsid w:val="7C1F0E1D"/>
    <w:rsid w:val="7C2865F9"/>
    <w:rsid w:val="7C2A1A60"/>
    <w:rsid w:val="7C2B124E"/>
    <w:rsid w:val="7C2C1AF8"/>
    <w:rsid w:val="7C364B42"/>
    <w:rsid w:val="7C39704A"/>
    <w:rsid w:val="7C3B09F5"/>
    <w:rsid w:val="7C3C4992"/>
    <w:rsid w:val="7C3D6924"/>
    <w:rsid w:val="7C4A4807"/>
    <w:rsid w:val="7C4D5DC8"/>
    <w:rsid w:val="7C4D7927"/>
    <w:rsid w:val="7C554ED3"/>
    <w:rsid w:val="7C567C0A"/>
    <w:rsid w:val="7C5E29B1"/>
    <w:rsid w:val="7C5F0E28"/>
    <w:rsid w:val="7C640C28"/>
    <w:rsid w:val="7C6B5DD8"/>
    <w:rsid w:val="7C75199C"/>
    <w:rsid w:val="7C7B7C47"/>
    <w:rsid w:val="7C7D312D"/>
    <w:rsid w:val="7C7F1F94"/>
    <w:rsid w:val="7C801EB3"/>
    <w:rsid w:val="7C845485"/>
    <w:rsid w:val="7C875439"/>
    <w:rsid w:val="7C883827"/>
    <w:rsid w:val="7C950AF2"/>
    <w:rsid w:val="7CA833D0"/>
    <w:rsid w:val="7CA94DEB"/>
    <w:rsid w:val="7CAA700D"/>
    <w:rsid w:val="7CBE2FD8"/>
    <w:rsid w:val="7CBF4E6D"/>
    <w:rsid w:val="7CC51A33"/>
    <w:rsid w:val="7CC54596"/>
    <w:rsid w:val="7CCE24EA"/>
    <w:rsid w:val="7CCF5B28"/>
    <w:rsid w:val="7CD2229C"/>
    <w:rsid w:val="7CDF05A9"/>
    <w:rsid w:val="7CF0144B"/>
    <w:rsid w:val="7CF200B0"/>
    <w:rsid w:val="7CF57398"/>
    <w:rsid w:val="7D0014A2"/>
    <w:rsid w:val="7D025732"/>
    <w:rsid w:val="7D034E49"/>
    <w:rsid w:val="7D0531BB"/>
    <w:rsid w:val="7D0648F0"/>
    <w:rsid w:val="7D104091"/>
    <w:rsid w:val="7D2432E8"/>
    <w:rsid w:val="7D262C8C"/>
    <w:rsid w:val="7D267844"/>
    <w:rsid w:val="7D2731B1"/>
    <w:rsid w:val="7D280FED"/>
    <w:rsid w:val="7D2908DE"/>
    <w:rsid w:val="7D31776B"/>
    <w:rsid w:val="7D332756"/>
    <w:rsid w:val="7D444E65"/>
    <w:rsid w:val="7D446A29"/>
    <w:rsid w:val="7D4C4942"/>
    <w:rsid w:val="7D4F11D1"/>
    <w:rsid w:val="7D507B62"/>
    <w:rsid w:val="7D5B4D0B"/>
    <w:rsid w:val="7D5E2288"/>
    <w:rsid w:val="7D612A07"/>
    <w:rsid w:val="7D763417"/>
    <w:rsid w:val="7D771E80"/>
    <w:rsid w:val="7D78140E"/>
    <w:rsid w:val="7D822D16"/>
    <w:rsid w:val="7D8D14CD"/>
    <w:rsid w:val="7D8D3637"/>
    <w:rsid w:val="7D8F08A2"/>
    <w:rsid w:val="7D901AF5"/>
    <w:rsid w:val="7D9633D7"/>
    <w:rsid w:val="7D986BB0"/>
    <w:rsid w:val="7D9D2E79"/>
    <w:rsid w:val="7DA47EC7"/>
    <w:rsid w:val="7DBB127A"/>
    <w:rsid w:val="7DBC2D58"/>
    <w:rsid w:val="7DBF0FDC"/>
    <w:rsid w:val="7DC22785"/>
    <w:rsid w:val="7DCC15C0"/>
    <w:rsid w:val="7DCE6412"/>
    <w:rsid w:val="7DD22250"/>
    <w:rsid w:val="7DD72783"/>
    <w:rsid w:val="7DD83C10"/>
    <w:rsid w:val="7DE05429"/>
    <w:rsid w:val="7DF00B86"/>
    <w:rsid w:val="7DFD782E"/>
    <w:rsid w:val="7E011601"/>
    <w:rsid w:val="7E161AB1"/>
    <w:rsid w:val="7E36766F"/>
    <w:rsid w:val="7E3C3A0B"/>
    <w:rsid w:val="7E3E16FA"/>
    <w:rsid w:val="7E3E56DA"/>
    <w:rsid w:val="7E576DE4"/>
    <w:rsid w:val="7E5B32F6"/>
    <w:rsid w:val="7E5D23F2"/>
    <w:rsid w:val="7E613CD2"/>
    <w:rsid w:val="7E737E3F"/>
    <w:rsid w:val="7E757668"/>
    <w:rsid w:val="7E79132E"/>
    <w:rsid w:val="7E852134"/>
    <w:rsid w:val="7E8E4F58"/>
    <w:rsid w:val="7E9371E2"/>
    <w:rsid w:val="7E98258C"/>
    <w:rsid w:val="7E993B01"/>
    <w:rsid w:val="7E9E2A2D"/>
    <w:rsid w:val="7EA308D3"/>
    <w:rsid w:val="7EA62E90"/>
    <w:rsid w:val="7EAA2874"/>
    <w:rsid w:val="7EC15362"/>
    <w:rsid w:val="7EC44E31"/>
    <w:rsid w:val="7ECC26DF"/>
    <w:rsid w:val="7ECD3920"/>
    <w:rsid w:val="7ECD63D4"/>
    <w:rsid w:val="7ED00075"/>
    <w:rsid w:val="7ED47CD0"/>
    <w:rsid w:val="7ED5244E"/>
    <w:rsid w:val="7EE32AA0"/>
    <w:rsid w:val="7EED5054"/>
    <w:rsid w:val="7EF175A6"/>
    <w:rsid w:val="7EF52C8A"/>
    <w:rsid w:val="7EF57FD1"/>
    <w:rsid w:val="7EF80913"/>
    <w:rsid w:val="7EF917C4"/>
    <w:rsid w:val="7EFC7B55"/>
    <w:rsid w:val="7F0010F3"/>
    <w:rsid w:val="7F03475F"/>
    <w:rsid w:val="7F0C2FE8"/>
    <w:rsid w:val="7F0E3C5D"/>
    <w:rsid w:val="7F110F2F"/>
    <w:rsid w:val="7F191022"/>
    <w:rsid w:val="7F1F6EF6"/>
    <w:rsid w:val="7F25299B"/>
    <w:rsid w:val="7F265874"/>
    <w:rsid w:val="7F2661B7"/>
    <w:rsid w:val="7F285C01"/>
    <w:rsid w:val="7F2A4C36"/>
    <w:rsid w:val="7F2B7E5E"/>
    <w:rsid w:val="7F3054CE"/>
    <w:rsid w:val="7F31776E"/>
    <w:rsid w:val="7F392C06"/>
    <w:rsid w:val="7F47696B"/>
    <w:rsid w:val="7F4C2727"/>
    <w:rsid w:val="7F524351"/>
    <w:rsid w:val="7F600D8D"/>
    <w:rsid w:val="7F7D4231"/>
    <w:rsid w:val="7F837D83"/>
    <w:rsid w:val="7F8C4518"/>
    <w:rsid w:val="7F8C76B9"/>
    <w:rsid w:val="7F932D8E"/>
    <w:rsid w:val="7FA03B6D"/>
    <w:rsid w:val="7FA0731F"/>
    <w:rsid w:val="7FA735E3"/>
    <w:rsid w:val="7FAB425E"/>
    <w:rsid w:val="7FB20D03"/>
    <w:rsid w:val="7FB40BD7"/>
    <w:rsid w:val="7FB91AE8"/>
    <w:rsid w:val="7FBD315B"/>
    <w:rsid w:val="7FC4694E"/>
    <w:rsid w:val="7FC77196"/>
    <w:rsid w:val="7FCA4B69"/>
    <w:rsid w:val="7FCC7D41"/>
    <w:rsid w:val="7FD32C7F"/>
    <w:rsid w:val="7FD8058D"/>
    <w:rsid w:val="7FEC76C3"/>
    <w:rsid w:val="7FFA0918"/>
    <w:rsid w:val="7FFF5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paragraph" w:customStyle="1" w:styleId="8">
    <w:name w:val="列表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2026-06-17T01:39:00Z</dcterms:created>
  <dc:creator>qianyi.jia</dc:creator>
  <cp:lastModifiedBy>qianyi.jia</cp:lastModifiedBy>
  <dcterms:modified xsi:type="dcterms:W3CDTF">2026-06-24T10:16:56Z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ies>
</file>