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3982"/>
      <w:bookmarkStart w:id="1" w:name="_Toc26670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  <w:highlight w:val="none"/>
        </w:rPr>
      </w:pPr>
      <w:bookmarkStart w:id="2" w:name="_GoBack"/>
      <w:r>
        <w:rPr>
          <w:rFonts w:hint="eastAsia" w:ascii="黑体" w:hAnsi="黑体" w:eastAsia="黑体" w:cs="黑体"/>
          <w:sz w:val="28"/>
          <w:szCs w:val="28"/>
          <w:highlight w:val="none"/>
        </w:rPr>
        <w:t>信用中国</w:t>
      </w:r>
      <w:r>
        <w:rPr>
          <w:rFonts w:hint="eastAsia" w:ascii="黑体" w:hAnsi="黑体" w:eastAsia="黑体" w:cs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none"/>
        </w:rPr>
        <w:t>http://www.creditchina.gov.cn</w:t>
      </w:r>
      <w:r>
        <w:rPr>
          <w:rFonts w:hint="eastAsia" w:ascii="宋体" w:hAnsi="宋体" w:cs="宋体"/>
          <w:b/>
          <w:bCs/>
          <w:highlight w:val="none"/>
        </w:rPr>
        <w:t>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none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none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pStyle w:val="6"/>
        <w:spacing w:line="360" w:lineRule="auto"/>
        <w:jc w:val="both"/>
        <w:rPr>
          <w:rFonts w:hint="default" w:cs="宋体" w:eastAsiaTheme="minorEastAsia"/>
          <w:b/>
          <w:bCs/>
          <w:sz w:val="21"/>
          <w:szCs w:val="22"/>
          <w:highlight w:val="none"/>
          <w:lang w:val="en-US" w:eastAsia="zh-CN"/>
        </w:rPr>
      </w:pPr>
      <w:r>
        <w:rPr>
          <w:rFonts w:hint="eastAsia" w:cs="宋体"/>
          <w:b/>
          <w:bCs/>
          <w:sz w:val="21"/>
          <w:szCs w:val="22"/>
          <w:highlight w:val="none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专项服务</w:t>
      </w:r>
    </w:p>
    <w:p>
      <w:pPr>
        <w:pStyle w:val="6"/>
        <w:jc w:val="both"/>
        <w:rPr>
          <w:rFonts w:hint="eastAsia" w:cs="宋体" w:eastAsiaTheme="minorEastAsia"/>
          <w:b/>
          <w:bCs/>
          <w:highlight w:val="none"/>
          <w:lang w:eastAsia="zh-CN"/>
        </w:rPr>
      </w:pPr>
      <w:r>
        <w:rPr>
          <w:rFonts w:hint="eastAsia" w:cs="宋体" w:eastAsiaTheme="minorEastAsia"/>
          <w:b/>
          <w:bCs/>
          <w:highlight w:val="none"/>
          <w:lang w:eastAsia="zh-CN"/>
        </w:rPr>
        <w:drawing>
          <wp:inline distT="0" distB="0" distL="114300" distR="114300">
            <wp:extent cx="6014085" cy="1598295"/>
            <wp:effectExtent l="0" t="0" r="5715" b="1905"/>
            <wp:docPr id="7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408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eastAsiaTheme="minorEastAsia"/>
          <w:b/>
          <w:bCs/>
          <w:highlight w:val="none"/>
          <w:lang w:eastAsia="zh-CN"/>
        </w:rPr>
        <w:drawing>
          <wp:inline distT="0" distB="0" distL="114300" distR="114300">
            <wp:extent cx="6009640" cy="1409700"/>
            <wp:effectExtent l="0" t="0" r="10160" b="0"/>
            <wp:docPr id="5" name="图片 5" descr="重大税收未发失信主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重大税收未发失信主体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cs="宋体" w:eastAsiaTheme="minorEastAsia"/>
          <w:b/>
          <w:bCs/>
          <w:highlight w:val="none"/>
          <w:lang w:eastAsia="zh-CN"/>
        </w:rPr>
        <w:drawing>
          <wp:inline distT="0" distB="0" distL="114300" distR="114300">
            <wp:extent cx="5994400" cy="1443355"/>
            <wp:effectExtent l="0" t="0" r="6350" b="4445"/>
            <wp:docPr id="6" name="图片 6" descr="政府采购严重未发失信行为记录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政府采购严重未发失信行为记录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  <w:highlight w:val="none"/>
        </w:rPr>
      </w:pP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  <w:highlight w:val="none"/>
        </w:rPr>
      </w:pPr>
    </w:p>
    <w:p>
      <w:pPr>
        <w:widowControl/>
        <w:spacing w:after="0" w:line="240" w:lineRule="auto"/>
        <w:jc w:val="left"/>
        <w:rPr>
          <w:rFonts w:hint="eastAsia" w:ascii="宋体" w:hAnsi="宋体" w:cs="宋体"/>
          <w:b/>
          <w:bCs/>
          <w:sz w:val="21"/>
          <w:szCs w:val="22"/>
          <w:highlight w:val="none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none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政府采购严重违法失信行为记录名单</w:t>
      </w:r>
    </w:p>
    <w:bookmarkEnd w:id="2"/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012F0F51"/>
    <w:rsid w:val="14B7784D"/>
    <w:rsid w:val="35EA54A9"/>
    <w:rsid w:val="5180023E"/>
    <w:rsid w:val="5D216A59"/>
    <w:rsid w:val="5D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cp:lastPrinted>2026-02-06T06:28:00Z</cp:lastPrinted>
  <dcterms:modified xsi:type="dcterms:W3CDTF">2026-06-29T01:29:16Z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