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幸福99丰裕固收386天25132期理财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2</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2026年7月15日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2026年6月30日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2026年4月1日</w:t>
            </w:r>
            <w:r w:rsidRPr="000064EC">
              <w:rPr>
                <w:rFonts w:asciiTheme="minorEastAsia" w:eastAsiaTheme="minorEastAsia" w:hAnsiTheme="minorEastAsia" w:cs="仿宋" w:hint="eastAsia"/>
                <w:color w:val="404040"/>
                <w:kern w:val="0"/>
                <w:sz w:val="24"/>
              </w:rPr>
              <w:t>起至</w:t>
            </w:r>
            <w:r>
              <w:rPr>
                <w:color w:val="404040"/>
                <w:sz w:val="24"/>
              </w:rPr>
              <w:t>2026年6月30日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幸福99丰裕固收386天25132期理财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FYG25132</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Z7002225000249</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2025年7月15日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2026年8月5日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2.50-2.80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1,571,573,247.94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100.14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2026年4月1日</w:t>
            </w:r>
            <w:r w:rsidRPr="000064EC">
              <w:rPr>
                <w:rFonts w:asciiTheme="minorEastAsia" w:eastAsiaTheme="minorEastAsia" w:hAnsiTheme="minorEastAsia" w:cs="仿宋" w:hint="eastAsia"/>
                <w:color w:val="000000"/>
                <w:kern w:val="0"/>
                <w:sz w:val="24"/>
              </w:rPr>
              <w:t>-</w:t>
            </w:r>
            <w:r>
              <w:rPr>
                <w:color w:val="000000"/>
                <w:sz w:val="24"/>
              </w:rPr>
              <w:t>2026年6月30日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1,571,573,247.94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1,532,308,047.00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1.0256</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1.0256</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395,127,561.65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313,842,895.41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172,900,382.28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58,143,783.90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1.0264</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20,176,721.66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57,435,817.39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6,825,664.61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丰裕固收25132期I款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FYG25132I</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102,461.12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1.0270</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1.0270</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96,700,433.84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1,374,412.07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11,470,264.87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8,198,960.03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33,225,157.68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62,361,840.69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3,838,733.79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74,378,403.11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8,315,157.50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1.0246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130,081,217.86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75,977,919.20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丰裕固收25132期Z款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FYG25132Z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1.0266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41,095,459.28</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2.38</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2.75</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2.75</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丰裕固收25132期I款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3.33</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2.82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3.35</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3.25</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2.72</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2.72</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3.19</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2.67</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丰裕固收25132期Z款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2.37</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3.43</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3.31</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2.77</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2.77</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二季度以来，债券市场长短端收益率整体震荡下行，短端收益率下行幅度超过长端。二季度货币政策延续了“适度宽松”的总基调，但实际操作中呈现出前松后紧的特征。其中4月至5月，市场进入流动性超宽松阶段，主要市场利率持续走低。4月DR001均值为1.23%，较上月下行8个基点；1年期商业银行（AAA级）同业存单到期收益率均值降至1.47%，较上月下行7个基点，创历史新低。5月至6月，流动性边际收紧，PPI快速上行、核心CPI处于高位加剧了债市脆弱性。央行以“MLF加量续作”与“隔夜逆回购”的长短搭配组合，在半年末资金扰动集中期实现“前收后放、定向稳价”。二季度并未出现市场此前普遍预期的降准降息操作。一季度报告中，央行也已悄然删去“降准降息”表述，表明降准降息时点可能延后。财政方面，进入二季度后，专项债发行呈“先慢后快”态势，6月中旬以来专项债发行明显提速，三季度有望迎来发行高峰。</w:t>
        <w:cr/>
        <w:t xml:space="preserve">    从收益率来看，截至6月30日，10年国债收益率1.7330%，较今年3月末下行8.41BP；1年期国股商业银行同业存单收益率1.4625%，较今年3月末下行4.5bp；3年期AA+城投债收益率1.6866%，较今年3月末下行14.04bp，3年期AAA商业银行二级资本债收益率1.7002%，较今年3月末下行11.29bp。本产品主要配置固收类资产，债券部分以信用债为主，久期适中偏短，二季度以来受信用利差小幅压缩及收益率小幅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展望2026年三季度，从7月初央行投放看，中期流动性净投放正在边际恢复。三季度货币政策将延续“适度宽松”的总基调，但边际上较二季度或出现转向——从“边际收敛”切换为“边际宽松”。</w:t>
        <w:cr/>
        <w:t xml:space="preserve">    下半年多空因素交织、宏观能见度偏低。伴随中东局势降温，美伊签署谅解备忘录，国际油价快速回落，此前高油价带动国内PPI持续上行的势头基本见顶，下半年通胀带来的政策约束明显减弱。这为货币政策宽松创造了有利条件。但同时，从供给上看，三季度或压力最大， 三季度利率债供给高峰叠加滞后发行补发，净发行量将大幅高于去年同期，30年期超长国债将面临交易盘加仓不足与配置盘承接有限的供需压力。</w:t>
        <w:cr/>
        <w:t xml:space="preserve">    三季度债市大概率处于多空拉锯的震荡格局，利率债在供给冲击与配置需求之间寻求平衡，信用债则以票息收入为主、波段操作为辅。</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7.90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28.66</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28.14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25.84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15.24</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1.47</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63.08</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质押式逆回购(038910)</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236,110,121.38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15.02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质押式逆回购(038902)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214,909,538.03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13.68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26交通银行CD085</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99,477,426.09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6.33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85,072,200.40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5.41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83,073,503.38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他行存款(JS0962-000163)</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52,903,741.17</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他行存款(JS0962-000029)</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48,978,561.33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3.12</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36,035,698.10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2.29</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他行存款(JS0962-000637)</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34,778,152.79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2.21</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他行存款(JS0962-000636)</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24,491,656.89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1.56</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南京溧水城发城市运营管理服务集团有限公司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光大信托-苏兴10号-溧水城发信托贷款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11,011,075.79</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上海信托-临平城建1号信托贷款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83,073,503.38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交银国信-融诚1106号-之江城投信托贷款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85,072,200.40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交银国信-融诚1123号-之江城投信托贷款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15,013,101.30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浙江安吉两山国有控股集团有限公司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中信信托-新悦211号-安吉两山债权投资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2026-08-03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14,018,500.83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象山县大目湾新城投资开发有限公司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上海信托-大目湾2号-象山大目湾信托贷款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2026-07-13</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36,035,698.10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1,532,308,047.00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1,532,308,047.00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杭银理财幸福99丰裕固收386天25132期理财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3301040160015309811-5125132</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2026年7月15日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