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三、本风险揭示书及《温州银行“金鹿理财-温盈”19022号开放式净值型银行理财计划产品说明书》所揭示事项仅为列举性质，未能详尽列明投资者</w:t>
      </w:r>
      <w:bookmarkStart w:id="0" w:name="_GoBack"/>
      <w:bookmarkEnd w:id="0"/>
      <w:r>
        <w:rPr>
          <w:rFonts w:hint="eastAsia" w:ascii="宋体" w:hAnsi="宋体"/>
          <w:color w:val="000000"/>
          <w:szCs w:val="21"/>
        </w:rPr>
        <w:t>参与理财计划所面临的全部风险和可能导致投资者资产损失的所有因素。在您签约购买本理财产品前，应当仔细阅读本风险揭示书、《温州银行“金鹿理财”银行理财计划合约》、《温州银行“金鹿理财-温盈”19022号开放式净值型银行理财计划产品说明书》、《温州银行“金鹿理财-温盈”19022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2019年9月12日</w:t>
            </w:r>
            <w:r>
              <w:rPr>
                <w:rFonts w:hint="eastAsia"/>
                <w:sz w:val="18"/>
                <w:szCs w:val="18"/>
                <w:u w:val="single"/>
              </w:rPr>
              <w:t>至</w:t>
            </w:r>
            <w:r>
              <w:rPr>
                <w:rFonts w:hint="eastAsia"/>
                <w:color w:val="000000"/>
                <w:sz w:val="18"/>
                <w:szCs w:val="18"/>
                <w:u w:val="single"/>
                <w:lang w:val="en-US" w:eastAsia="zh-CN"/>
              </w:rPr>
              <w:t>2019年9月17日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本理财计划成立日为2019年9月18日。温州银行有权根据实际募集情况选择产品提前成立，若温州银行采取以上措施，温州银行将就产品相应要素的调整事宜于提前成立日前的一个工作日在温州银行网站予以公告。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280</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：本理财计划成立日为2019年9月18日，从成立日起，每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本产品预计到期终止日为2029年9月18日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19022号开放式净值型银行理财计划风险揭示书》、《温州银行“金鹿理财”银行理财计划合约》、《温州银行“金鹿理财-温盈”19022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yY9fjEbxhBsUWHtpuHHyqc2cRr0=" w:salt="lTHiTHPRzHXDjhezSfwVc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4B7AF2"/>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2</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2026-07-31T07:56:16Z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