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rFonts w:hint="default" w:ascii="等线" w:hAnsi="等线" w:eastAsia="等线" w:cs="等线"/>
          <w:sz w:val="32"/>
          <w:szCs w:val="32"/>
          <w:lang w:val="en-US" w:eastAsia="zh-CN"/>
        </w:rPr>
      </w:pPr>
      <w:r>
        <w:rPr>
          <w:rFonts w:hint="eastAsia" w:ascii="等线" w:hAnsi="等线" w:eastAsia="等线" w:cs="等线"/>
          <w:sz w:val="32"/>
          <w:szCs w:val="32"/>
          <w:lang w:val="en-US" w:eastAsia="zh-CN"/>
        </w:rPr>
        <w:t>附件5</w:t>
      </w:r>
    </w:p>
    <w:p>
      <w:pPr>
        <w:spacing w:after="624" w:afterLines="200" w:line="240" w:lineRule="auto"/>
        <w:jc w:val="center"/>
        <w:rPr>
          <w:rFonts w:hint="eastAsia" w:asciiTheme="majorEastAsia" w:hAnsiTheme="majorEastAsia" w:eastAsiaTheme="majorEastAsia" w:cstheme="majorEastAsia"/>
          <w:b/>
          <w:bCs/>
          <w:sz w:val="44"/>
          <w:szCs w:val="44"/>
        </w:rPr>
      </w:pPr>
    </w:p>
    <w:p>
      <w:pPr>
        <w:spacing w:after="624" w:afterLines="200" w:line="240" w:lineRule="auto"/>
        <w:jc w:val="center"/>
        <w:rPr>
          <w:rFonts w:hint="eastAsia" w:asciiTheme="majorEastAsia" w:hAnsiTheme="majorEastAsia" w:eastAsiaTheme="majorEastAsia" w:cstheme="majorEastAsia"/>
          <w:b/>
          <w:bCs/>
          <w:sz w:val="44"/>
          <w:szCs w:val="44"/>
        </w:rPr>
      </w:pPr>
    </w:p>
    <w:p>
      <w:pPr>
        <w:spacing w:after="624" w:afterLines="200" w:line="240"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温州银行</w:t>
      </w:r>
    </w:p>
    <w:p>
      <w:pPr>
        <w:spacing w:after="624" w:afterLines="200" w:line="240" w:lineRule="auto"/>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带外管理系统测试用例</w:t>
      </w:r>
    </w:p>
    <w:p>
      <w:pPr>
        <w:spacing w:line="240" w:lineRule="auto"/>
        <w:rPr>
          <w:rFonts w:hint="eastAsia" w:asciiTheme="minorEastAsia" w:hAnsiTheme="minorEastAsia" w:eastAsiaTheme="minorEastAsia"/>
          <w:b/>
        </w:rPr>
      </w:pPr>
      <w:bookmarkStart w:id="0" w:name="_Toc2307"/>
      <w:bookmarkStart w:id="1" w:name="_Toc17713"/>
    </w:p>
    <w:p>
      <w:pPr>
        <w:tabs>
          <w:tab w:val="left" w:pos="1650"/>
        </w:tabs>
        <w:spacing w:before="312" w:beforeLines="100" w:line="240" w:lineRule="auto"/>
        <w:jc w:val="center"/>
        <w:rPr>
          <w:rFonts w:hint="eastAsia" w:ascii="等线" w:hAnsi="等线" w:eastAsia="等线" w:cs="等线"/>
          <w:sz w:val="30"/>
          <w:szCs w:val="30"/>
        </w:rPr>
      </w:pPr>
    </w:p>
    <w:p>
      <w:pPr>
        <w:tabs>
          <w:tab w:val="left" w:pos="1650"/>
        </w:tabs>
        <w:spacing w:before="312" w:beforeLines="100" w:line="240" w:lineRule="auto"/>
        <w:jc w:val="center"/>
        <w:rPr>
          <w:rFonts w:hint="eastAsia" w:ascii="等线" w:hAnsi="等线" w:eastAsia="等线" w:cs="等线"/>
          <w:sz w:val="30"/>
          <w:szCs w:val="30"/>
        </w:rPr>
      </w:pPr>
    </w:p>
    <w:p>
      <w:pPr>
        <w:tabs>
          <w:tab w:val="left" w:pos="1650"/>
        </w:tabs>
        <w:spacing w:before="312" w:beforeLines="100" w:line="240" w:lineRule="auto"/>
        <w:jc w:val="center"/>
        <w:rPr>
          <w:rFonts w:hint="eastAsia" w:ascii="等线" w:hAnsi="等线" w:eastAsia="等线" w:cs="等线"/>
          <w:sz w:val="30"/>
          <w:szCs w:val="30"/>
        </w:rPr>
      </w:pPr>
    </w:p>
    <w:p>
      <w:pPr>
        <w:tabs>
          <w:tab w:val="left" w:pos="1650"/>
        </w:tabs>
        <w:spacing w:before="312" w:beforeLines="100" w:line="240" w:lineRule="auto"/>
        <w:jc w:val="center"/>
        <w:rPr>
          <w:rFonts w:hint="eastAsia" w:ascii="等线" w:hAnsi="等线" w:eastAsia="等线" w:cs="等线"/>
          <w:sz w:val="30"/>
          <w:szCs w:val="30"/>
        </w:rPr>
      </w:pPr>
    </w:p>
    <w:p>
      <w:pPr>
        <w:tabs>
          <w:tab w:val="left" w:pos="1650"/>
        </w:tabs>
        <w:spacing w:before="312" w:beforeLines="100" w:line="240" w:lineRule="auto"/>
        <w:jc w:val="center"/>
        <w:rPr>
          <w:rFonts w:hint="eastAsia" w:ascii="等线" w:hAnsi="等线" w:eastAsia="等线" w:cs="等线"/>
          <w:sz w:val="30"/>
          <w:szCs w:val="30"/>
        </w:rPr>
      </w:pPr>
    </w:p>
    <w:bookmarkEnd w:id="0"/>
    <w:bookmarkEnd w:id="1"/>
    <w:p>
      <w:pPr>
        <w:tabs>
          <w:tab w:val="left" w:pos="1650"/>
        </w:tabs>
        <w:spacing w:before="312" w:beforeLines="100" w:line="240" w:lineRule="auto"/>
        <w:jc w:val="center"/>
        <w:rPr>
          <w:rFonts w:hint="eastAsia" w:ascii="等线" w:hAnsi="等线" w:eastAsia="等线" w:cs="等线"/>
          <w:sz w:val="30"/>
          <w:szCs w:val="30"/>
        </w:rPr>
      </w:pPr>
      <w:r>
        <w:rPr>
          <w:rFonts w:hint="eastAsia" w:asciiTheme="minorEastAsia" w:hAnsiTheme="minorEastAsia" w:eastAsiaTheme="minorEastAsia"/>
          <w:sz w:val="30"/>
          <w:szCs w:val="30"/>
        </w:rPr>
        <w:t>20</w:t>
      </w:r>
      <w:r>
        <w:rPr>
          <w:rFonts w:asciiTheme="minorEastAsia" w:hAnsiTheme="minorEastAsia" w:eastAsiaTheme="minorEastAsia"/>
          <w:sz w:val="30"/>
          <w:szCs w:val="30"/>
        </w:rPr>
        <w:t>2</w:t>
      </w:r>
      <w:r>
        <w:rPr>
          <w:rFonts w:hint="eastAsia" w:asciiTheme="minorEastAsia" w:hAnsiTheme="minorEastAsia" w:eastAsiaTheme="minorEastAsia"/>
          <w:sz w:val="30"/>
          <w:szCs w:val="30"/>
        </w:rPr>
        <w:t>6年</w:t>
      </w:r>
      <w:r>
        <w:rPr>
          <w:rFonts w:asciiTheme="minorEastAsia" w:hAnsiTheme="minorEastAsia" w:eastAsiaTheme="minorEastAsia"/>
          <w:sz w:val="30"/>
          <w:szCs w:val="30"/>
        </w:rPr>
        <w:t>0</w:t>
      </w:r>
      <w:r>
        <w:rPr>
          <w:rFonts w:hint="eastAsia" w:asciiTheme="minorEastAsia" w:hAnsiTheme="minorEastAsia" w:eastAsiaTheme="minorEastAsia"/>
          <w:sz w:val="30"/>
          <w:szCs w:val="30"/>
        </w:rPr>
        <w:t>6月</w:t>
      </w:r>
    </w:p>
    <w:p>
      <w:pPr>
        <w:rPr>
          <w:rFonts w:hint="eastAsia" w:ascii="等线" w:hAnsi="等线" w:eastAsia="等线" w:cs="等线"/>
          <w:b/>
          <w:sz w:val="28"/>
          <w:szCs w:val="28"/>
        </w:rPr>
      </w:pPr>
    </w:p>
    <w:p>
      <w:pPr>
        <w:rPr>
          <w:rFonts w:hint="eastAsia" w:ascii="等线" w:hAnsi="等线" w:eastAsia="等线" w:cs="等线"/>
          <w:b/>
          <w:sz w:val="28"/>
          <w:szCs w:val="28"/>
        </w:rPr>
        <w:sectPr>
          <w:headerReference r:id="rId6" w:type="first"/>
          <w:footerReference r:id="rId9" w:type="first"/>
          <w:footerReference r:id="rId7" w:type="default"/>
          <w:headerReference r:id="rId5" w:type="even"/>
          <w:footerReference r:id="rId8" w:type="even"/>
          <w:pgSz w:w="11906" w:h="16838"/>
          <w:pgMar w:top="1440" w:right="1800" w:bottom="1440" w:left="1800" w:header="851" w:footer="992" w:gutter="0"/>
          <w:cols w:space="425" w:num="1"/>
          <w:docGrid w:type="lines" w:linePitch="312" w:charSpace="0"/>
        </w:sectPr>
      </w:pPr>
    </w:p>
    <w:p>
      <w:pPr>
        <w:rPr>
          <w:rFonts w:hint="eastAsia" w:ascii="等线" w:hAnsi="等线" w:eastAsia="等线" w:cs="等线"/>
          <w:b/>
          <w:sz w:val="28"/>
          <w:szCs w:val="28"/>
        </w:rPr>
      </w:pPr>
    </w:p>
    <w:sdt>
      <w:sdtPr>
        <w:rPr>
          <w:rFonts w:ascii="宋体" w:hAnsi="宋体"/>
          <w:b/>
          <w:bCs/>
          <w:sz w:val="30"/>
          <w:szCs w:val="30"/>
        </w:rPr>
        <w:id w:val="147452981"/>
        <w15:color w:val="DBDBDB"/>
        <w:docPartObj>
          <w:docPartGallery w:val="Table of Contents"/>
          <w:docPartUnique/>
        </w:docPartObj>
      </w:sdtPr>
      <w:sdtEndPr>
        <w:rPr>
          <w:rFonts w:ascii="宋体" w:hAnsi="宋体"/>
          <w:b/>
          <w:bCs/>
          <w:sz w:val="30"/>
          <w:szCs w:val="30"/>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5"/>
            <w:tabs>
              <w:tab w:val="right" w:leader="dot" w:pos="8306"/>
              <w:tab w:val="clear" w:pos="1050"/>
              <w:tab w:val="clear" w:pos="8295"/>
            </w:tabs>
          </w:pPr>
          <w:r>
            <w:fldChar w:fldCharType="begin"/>
          </w:r>
          <w:r>
            <w:instrText xml:space="preserve"> TOC \o "1-3" \h \z \u </w:instrText>
          </w:r>
          <w:r>
            <w:fldChar w:fldCharType="separate"/>
          </w:r>
          <w:r>
            <w:fldChar w:fldCharType="begin"/>
          </w:r>
          <w:r>
            <w:instrText xml:space="preserve"> HYPERLINK \l _Toc5014 </w:instrText>
          </w:r>
          <w:r>
            <w:fldChar w:fldCharType="separate"/>
          </w:r>
          <w:r>
            <w:rPr>
              <w:rFonts w:hint="default"/>
            </w:rPr>
            <w:t xml:space="preserve">1. </w:t>
          </w:r>
          <w:r>
            <w:rPr>
              <w:rFonts w:hint="eastAsia"/>
            </w:rPr>
            <w:t>详细测试项</w:t>
          </w:r>
          <w:r>
            <w:tab/>
          </w:r>
          <w:r>
            <w:fldChar w:fldCharType="begin"/>
          </w:r>
          <w:r>
            <w:instrText xml:space="preserve"> PAGEREF _Toc5014 \h </w:instrText>
          </w:r>
          <w:r>
            <w:fldChar w:fldCharType="separate"/>
          </w:r>
          <w:r>
            <w:t>1</w:t>
          </w:r>
          <w:r>
            <w:fldChar w:fldCharType="end"/>
          </w:r>
          <w:r>
            <w:fldChar w:fldCharType="end"/>
          </w:r>
        </w:p>
        <w:p>
          <w:pPr>
            <w:pStyle w:val="18"/>
            <w:tabs>
              <w:tab w:val="right" w:leader="dot" w:pos="8306"/>
              <w:tab w:val="clear" w:pos="1050"/>
              <w:tab w:val="clear" w:pos="8296"/>
            </w:tabs>
          </w:pPr>
          <w:r>
            <w:fldChar w:fldCharType="begin"/>
          </w:r>
          <w:r>
            <w:instrText xml:space="preserve"> HYPERLINK \l _Toc13760 </w:instrText>
          </w:r>
          <w:r>
            <w:fldChar w:fldCharType="separate"/>
          </w:r>
          <w:r>
            <w:rPr>
              <w:rFonts w:hint="default" w:ascii="宋体" w:hAnsi="宋体" w:eastAsia="宋体" w:cs="宋体"/>
              <w:szCs w:val="28"/>
            </w:rPr>
            <w:t xml:space="preserve">1.1. </w:t>
          </w:r>
          <w:r>
            <w:rPr>
              <w:rFonts w:hint="eastAsia"/>
              <w:lang w:val="en-US" w:eastAsia="zh-CN"/>
            </w:rPr>
            <w:t>基本要求</w:t>
          </w:r>
          <w:r>
            <w:tab/>
          </w:r>
          <w:r>
            <w:fldChar w:fldCharType="begin"/>
          </w:r>
          <w:r>
            <w:instrText xml:space="preserve"> PAGEREF _Toc13760 \h </w:instrText>
          </w:r>
          <w:r>
            <w:fldChar w:fldCharType="separate"/>
          </w:r>
          <w:r>
            <w:t>1</w:t>
          </w:r>
          <w:r>
            <w:fldChar w:fldCharType="end"/>
          </w:r>
          <w:r>
            <w:fldChar w:fldCharType="end"/>
          </w:r>
        </w:p>
        <w:p>
          <w:pPr>
            <w:pStyle w:val="9"/>
          </w:pPr>
          <w:r>
            <w:fldChar w:fldCharType="begin"/>
          </w:r>
          <w:r>
            <w:instrText xml:space="preserve"> HYPERLINK \l _Toc9923 </w:instrText>
          </w:r>
          <w:r>
            <w:fldChar w:fldCharType="separate"/>
          </w:r>
          <w:r>
            <w:rPr>
              <w:rFonts w:hint="default" w:ascii="宋体" w:hAnsi="宋体" w:eastAsia="宋体" w:cstheme="majorEastAsia"/>
              <w:szCs w:val="24"/>
              <w:lang w:val="en-US" w:eastAsia="zh-CN"/>
            </w:rPr>
            <w:t xml:space="preserve">1.1.1. </w:t>
          </w:r>
          <w:r>
            <w:rPr>
              <w:rFonts w:hint="eastAsia"/>
              <w:lang w:val="en-US" w:eastAsia="zh-CN"/>
            </w:rPr>
            <w:t>国产化要求</w:t>
          </w:r>
          <w:r>
            <w:tab/>
          </w:r>
          <w:r>
            <w:fldChar w:fldCharType="begin"/>
          </w:r>
          <w:r>
            <w:instrText xml:space="preserve"> PAGEREF _Toc9923 \h </w:instrText>
          </w:r>
          <w:r>
            <w:fldChar w:fldCharType="separate"/>
          </w:r>
          <w:r>
            <w:t>1</w:t>
          </w:r>
          <w:r>
            <w:fldChar w:fldCharType="end"/>
          </w:r>
          <w:r>
            <w:fldChar w:fldCharType="end"/>
          </w:r>
        </w:p>
        <w:p>
          <w:pPr>
            <w:pStyle w:val="9"/>
          </w:pPr>
          <w:r>
            <w:fldChar w:fldCharType="begin"/>
          </w:r>
          <w:r>
            <w:instrText xml:space="preserve"> HYPERLINK \l _Toc19812 </w:instrText>
          </w:r>
          <w:r>
            <w:fldChar w:fldCharType="separate"/>
          </w:r>
          <w:r>
            <w:rPr>
              <w:rFonts w:hint="default" w:ascii="宋体" w:hAnsi="宋体" w:eastAsia="宋体" w:cstheme="majorEastAsia"/>
              <w:szCs w:val="24"/>
            </w:rPr>
            <w:t xml:space="preserve">1.1.2. </w:t>
          </w:r>
          <w:r>
            <w:t>系统访问分析</w:t>
          </w:r>
          <w:r>
            <w:tab/>
          </w:r>
          <w:r>
            <w:fldChar w:fldCharType="begin"/>
          </w:r>
          <w:r>
            <w:instrText xml:space="preserve"> PAGEREF _Toc19812 \h </w:instrText>
          </w:r>
          <w:r>
            <w:fldChar w:fldCharType="separate"/>
          </w:r>
          <w:r>
            <w:t>1</w:t>
          </w:r>
          <w:r>
            <w:fldChar w:fldCharType="end"/>
          </w:r>
          <w:r>
            <w:fldChar w:fldCharType="end"/>
          </w:r>
        </w:p>
        <w:p>
          <w:pPr>
            <w:pStyle w:val="9"/>
          </w:pPr>
          <w:r>
            <w:fldChar w:fldCharType="begin"/>
          </w:r>
          <w:r>
            <w:instrText xml:space="preserve"> HYPERLINK \l _Toc11254 </w:instrText>
          </w:r>
          <w:r>
            <w:fldChar w:fldCharType="separate"/>
          </w:r>
          <w:r>
            <w:rPr>
              <w:rFonts w:hint="default" w:ascii="宋体" w:hAnsi="宋体" w:eastAsia="宋体" w:cstheme="majorEastAsia"/>
              <w:szCs w:val="24"/>
            </w:rPr>
            <w:t xml:space="preserve">1.1.3. </w:t>
          </w:r>
          <w:r>
            <w:rPr>
              <w:rFonts w:hint="eastAsia"/>
            </w:rPr>
            <w:t>安全登陆验证</w:t>
          </w:r>
          <w:r>
            <w:tab/>
          </w:r>
          <w:r>
            <w:fldChar w:fldCharType="begin"/>
          </w:r>
          <w:r>
            <w:instrText xml:space="preserve"> PAGEREF _Toc11254 \h </w:instrText>
          </w:r>
          <w:r>
            <w:fldChar w:fldCharType="separate"/>
          </w:r>
          <w:r>
            <w:t>1</w:t>
          </w:r>
          <w:r>
            <w:fldChar w:fldCharType="end"/>
          </w:r>
          <w:r>
            <w:fldChar w:fldCharType="end"/>
          </w:r>
        </w:p>
        <w:p>
          <w:pPr>
            <w:pStyle w:val="9"/>
          </w:pPr>
          <w:r>
            <w:fldChar w:fldCharType="begin"/>
          </w:r>
          <w:r>
            <w:instrText xml:space="preserve"> HYPERLINK \l _Toc6802 </w:instrText>
          </w:r>
          <w:r>
            <w:fldChar w:fldCharType="separate"/>
          </w:r>
          <w:r>
            <w:rPr>
              <w:rFonts w:hint="default" w:ascii="宋体" w:hAnsi="宋体" w:eastAsia="宋体" w:cstheme="majorEastAsia"/>
              <w:szCs w:val="24"/>
            </w:rPr>
            <w:t xml:space="preserve">1.1.4. </w:t>
          </w:r>
          <w:r>
            <w:rPr>
              <w:rFonts w:hint="eastAsia"/>
            </w:rPr>
            <w:t>监测方式</w:t>
          </w:r>
          <w:r>
            <w:tab/>
          </w:r>
          <w:r>
            <w:fldChar w:fldCharType="begin"/>
          </w:r>
          <w:r>
            <w:instrText xml:space="preserve"> PAGEREF _Toc6802 \h </w:instrText>
          </w:r>
          <w:r>
            <w:fldChar w:fldCharType="separate"/>
          </w:r>
          <w:r>
            <w:t>2</w:t>
          </w:r>
          <w:r>
            <w:fldChar w:fldCharType="end"/>
          </w:r>
          <w:r>
            <w:fldChar w:fldCharType="end"/>
          </w:r>
        </w:p>
        <w:p>
          <w:pPr>
            <w:pStyle w:val="9"/>
          </w:pPr>
          <w:r>
            <w:fldChar w:fldCharType="begin"/>
          </w:r>
          <w:r>
            <w:instrText xml:space="preserve"> HYPERLINK \l _Toc27320 </w:instrText>
          </w:r>
          <w:r>
            <w:fldChar w:fldCharType="separate"/>
          </w:r>
          <w:r>
            <w:rPr>
              <w:rFonts w:hint="default" w:ascii="宋体" w:hAnsi="宋体" w:eastAsia="宋体" w:cstheme="majorEastAsia"/>
              <w:szCs w:val="24"/>
              <w:lang w:val="en-US" w:eastAsia="zh-CN"/>
            </w:rPr>
            <w:t xml:space="preserve">1.1.5. </w:t>
          </w:r>
          <w:r>
            <w:rPr>
              <w:rFonts w:hint="eastAsia"/>
              <w:lang w:val="en-US" w:eastAsia="zh-CN"/>
            </w:rPr>
            <w:t>安全设备控制</w:t>
          </w:r>
          <w:r>
            <w:tab/>
          </w:r>
          <w:r>
            <w:fldChar w:fldCharType="begin"/>
          </w:r>
          <w:r>
            <w:instrText xml:space="preserve"> PAGEREF _Toc27320 \h </w:instrText>
          </w:r>
          <w:r>
            <w:fldChar w:fldCharType="separate"/>
          </w:r>
          <w:r>
            <w:t>2</w:t>
          </w:r>
          <w:r>
            <w:fldChar w:fldCharType="end"/>
          </w:r>
          <w:r>
            <w:fldChar w:fldCharType="end"/>
          </w:r>
        </w:p>
        <w:p>
          <w:pPr>
            <w:pStyle w:val="9"/>
          </w:pPr>
          <w:r>
            <w:fldChar w:fldCharType="begin"/>
          </w:r>
          <w:r>
            <w:instrText xml:space="preserve"> HYPERLINK \l _Toc13702 </w:instrText>
          </w:r>
          <w:r>
            <w:fldChar w:fldCharType="separate"/>
          </w:r>
          <w:r>
            <w:rPr>
              <w:rFonts w:hint="default" w:ascii="宋体" w:hAnsi="宋体" w:eastAsia="宋体" w:cstheme="majorEastAsia"/>
              <w:szCs w:val="24"/>
            </w:rPr>
            <w:t xml:space="preserve">1.1.6. </w:t>
          </w:r>
          <w:r>
            <w:rPr>
              <w:rFonts w:hint="eastAsia"/>
            </w:rPr>
            <w:t>设备信息展示</w:t>
          </w:r>
          <w:r>
            <w:tab/>
          </w:r>
          <w:r>
            <w:fldChar w:fldCharType="begin"/>
          </w:r>
          <w:r>
            <w:instrText xml:space="preserve"> PAGEREF _Toc13702 \h </w:instrText>
          </w:r>
          <w:r>
            <w:fldChar w:fldCharType="separate"/>
          </w:r>
          <w:r>
            <w:t>3</w:t>
          </w:r>
          <w:r>
            <w:fldChar w:fldCharType="end"/>
          </w:r>
          <w:r>
            <w:fldChar w:fldCharType="end"/>
          </w:r>
        </w:p>
        <w:p>
          <w:pPr>
            <w:pStyle w:val="9"/>
          </w:pPr>
          <w:r>
            <w:fldChar w:fldCharType="begin"/>
          </w:r>
          <w:r>
            <w:instrText xml:space="preserve"> HYPERLINK \l _Toc13768 </w:instrText>
          </w:r>
          <w:r>
            <w:fldChar w:fldCharType="separate"/>
          </w:r>
          <w:r>
            <w:rPr>
              <w:rFonts w:hint="default" w:ascii="宋体" w:hAnsi="宋体" w:eastAsia="宋体" w:cstheme="majorEastAsia"/>
              <w:szCs w:val="24"/>
            </w:rPr>
            <w:t xml:space="preserve">1.1.7. </w:t>
          </w:r>
          <w:r>
            <w:rPr>
              <w:rFonts w:hint="eastAsia"/>
            </w:rPr>
            <w:t>设备</w:t>
          </w:r>
          <w:r>
            <w:rPr>
              <w:rFonts w:hint="eastAsia"/>
              <w:lang w:val="en-US" w:eastAsia="zh-CN"/>
            </w:rPr>
            <w:t>信息</w:t>
          </w:r>
          <w:r>
            <w:rPr>
              <w:rFonts w:hint="eastAsia"/>
            </w:rPr>
            <w:t>分类</w:t>
          </w:r>
          <w:r>
            <w:tab/>
          </w:r>
          <w:r>
            <w:fldChar w:fldCharType="begin"/>
          </w:r>
          <w:r>
            <w:instrText xml:space="preserve"> PAGEREF _Toc13768 \h </w:instrText>
          </w:r>
          <w:r>
            <w:fldChar w:fldCharType="separate"/>
          </w:r>
          <w:r>
            <w:t>3</w:t>
          </w:r>
          <w:r>
            <w:fldChar w:fldCharType="end"/>
          </w:r>
          <w:r>
            <w:fldChar w:fldCharType="end"/>
          </w:r>
        </w:p>
        <w:p>
          <w:pPr>
            <w:pStyle w:val="9"/>
          </w:pPr>
          <w:r>
            <w:fldChar w:fldCharType="begin"/>
          </w:r>
          <w:r>
            <w:instrText xml:space="preserve"> HYPERLINK \l _Toc7090 </w:instrText>
          </w:r>
          <w:r>
            <w:fldChar w:fldCharType="separate"/>
          </w:r>
          <w:r>
            <w:rPr>
              <w:rFonts w:hint="default" w:ascii="宋体" w:hAnsi="宋体" w:eastAsia="宋体" w:cstheme="majorEastAsia"/>
              <w:szCs w:val="24"/>
            </w:rPr>
            <w:t xml:space="preserve">1.1.8. </w:t>
          </w:r>
          <w:r>
            <w:rPr>
              <w:rFonts w:hint="eastAsia"/>
            </w:rPr>
            <w:t>系统稳定性</w:t>
          </w:r>
          <w:r>
            <w:tab/>
          </w:r>
          <w:r>
            <w:fldChar w:fldCharType="begin"/>
          </w:r>
          <w:r>
            <w:instrText xml:space="preserve"> PAGEREF _Toc7090 \h </w:instrText>
          </w:r>
          <w:r>
            <w:fldChar w:fldCharType="separate"/>
          </w:r>
          <w:r>
            <w:t>3</w:t>
          </w:r>
          <w:r>
            <w:fldChar w:fldCharType="end"/>
          </w:r>
          <w:r>
            <w:fldChar w:fldCharType="end"/>
          </w:r>
        </w:p>
        <w:p>
          <w:pPr>
            <w:pStyle w:val="9"/>
          </w:pPr>
          <w:r>
            <w:fldChar w:fldCharType="begin"/>
          </w:r>
          <w:r>
            <w:instrText xml:space="preserve"> HYPERLINK \l _Toc23505 </w:instrText>
          </w:r>
          <w:r>
            <w:fldChar w:fldCharType="separate"/>
          </w:r>
          <w:r>
            <w:rPr>
              <w:rFonts w:hint="default" w:ascii="宋体" w:hAnsi="宋体" w:eastAsia="宋体" w:cstheme="majorEastAsia"/>
              <w:szCs w:val="24"/>
              <w:lang w:val="en-US" w:eastAsia="zh-CN"/>
            </w:rPr>
            <w:t xml:space="preserve">1.1.9. </w:t>
          </w:r>
          <w:r>
            <w:rPr>
              <w:rFonts w:hint="eastAsia"/>
              <w:lang w:val="en-US" w:eastAsia="zh-CN"/>
            </w:rPr>
            <w:t>资产展现</w:t>
          </w:r>
          <w:r>
            <w:tab/>
          </w:r>
          <w:r>
            <w:fldChar w:fldCharType="begin"/>
          </w:r>
          <w:r>
            <w:instrText xml:space="preserve"> PAGEREF _Toc23505 \h </w:instrText>
          </w:r>
          <w:r>
            <w:fldChar w:fldCharType="separate"/>
          </w:r>
          <w:r>
            <w:t>4</w:t>
          </w:r>
          <w:r>
            <w:fldChar w:fldCharType="end"/>
          </w:r>
          <w:r>
            <w:fldChar w:fldCharType="end"/>
          </w:r>
        </w:p>
        <w:p>
          <w:pPr>
            <w:pStyle w:val="9"/>
          </w:pPr>
          <w:r>
            <w:fldChar w:fldCharType="begin"/>
          </w:r>
          <w:r>
            <w:instrText xml:space="preserve"> HYPERLINK \l _Toc5132 </w:instrText>
          </w:r>
          <w:r>
            <w:fldChar w:fldCharType="separate"/>
          </w:r>
          <w:r>
            <w:rPr>
              <w:rFonts w:hint="default" w:ascii="宋体" w:hAnsi="宋体" w:eastAsia="宋体" w:cstheme="majorEastAsia"/>
              <w:szCs w:val="24"/>
            </w:rPr>
            <w:t xml:space="preserve">1.1.10. </w:t>
          </w:r>
          <w:r>
            <w:rPr>
              <w:rFonts w:hint="eastAsia"/>
            </w:rPr>
            <w:t>资产数据采集</w:t>
          </w:r>
          <w:r>
            <w:tab/>
          </w:r>
          <w:r>
            <w:fldChar w:fldCharType="begin"/>
          </w:r>
          <w:r>
            <w:instrText xml:space="preserve"> PAGEREF _Toc5132 \h </w:instrText>
          </w:r>
          <w:r>
            <w:fldChar w:fldCharType="separate"/>
          </w:r>
          <w:r>
            <w:t>4</w:t>
          </w:r>
          <w:r>
            <w:fldChar w:fldCharType="end"/>
          </w:r>
          <w:r>
            <w:fldChar w:fldCharType="end"/>
          </w:r>
        </w:p>
        <w:p>
          <w:pPr>
            <w:pStyle w:val="9"/>
          </w:pPr>
          <w:r>
            <w:fldChar w:fldCharType="begin"/>
          </w:r>
          <w:r>
            <w:instrText xml:space="preserve"> HYPERLINK \l _Toc22280 </w:instrText>
          </w:r>
          <w:r>
            <w:fldChar w:fldCharType="separate"/>
          </w:r>
          <w:r>
            <w:rPr>
              <w:rFonts w:hint="default" w:ascii="宋体" w:hAnsi="宋体" w:eastAsia="宋体" w:cstheme="majorEastAsia"/>
              <w:szCs w:val="24"/>
              <w:lang w:val="en-US" w:eastAsia="zh-CN"/>
            </w:rPr>
            <w:t xml:space="preserve">1.1.11. </w:t>
          </w:r>
          <w:r>
            <w:rPr>
              <w:rFonts w:hint="eastAsia"/>
              <w:lang w:val="en-US" w:eastAsia="zh-CN"/>
            </w:rPr>
            <w:t>自动发现</w:t>
          </w:r>
          <w:r>
            <w:tab/>
          </w:r>
          <w:r>
            <w:fldChar w:fldCharType="begin"/>
          </w:r>
          <w:r>
            <w:instrText xml:space="preserve"> PAGEREF _Toc22280 \h </w:instrText>
          </w:r>
          <w:r>
            <w:fldChar w:fldCharType="separate"/>
          </w:r>
          <w:r>
            <w:t>5</w:t>
          </w:r>
          <w:r>
            <w:fldChar w:fldCharType="end"/>
          </w:r>
          <w:r>
            <w:fldChar w:fldCharType="end"/>
          </w:r>
        </w:p>
        <w:p>
          <w:pPr>
            <w:pStyle w:val="9"/>
          </w:pPr>
          <w:r>
            <w:fldChar w:fldCharType="begin"/>
          </w:r>
          <w:r>
            <w:instrText xml:space="preserve"> HYPERLINK \l _Toc2752 </w:instrText>
          </w:r>
          <w:r>
            <w:fldChar w:fldCharType="separate"/>
          </w:r>
          <w:r>
            <w:rPr>
              <w:rFonts w:hint="default" w:ascii="宋体" w:hAnsi="宋体" w:eastAsia="宋体" w:cstheme="majorEastAsia"/>
              <w:szCs w:val="24"/>
              <w:lang w:val="en-US" w:eastAsia="zh-CN"/>
            </w:rPr>
            <w:t xml:space="preserve">1.1.12. </w:t>
          </w:r>
          <w:r>
            <w:rPr>
              <w:rFonts w:hint="eastAsia"/>
              <w:lang w:val="en-US" w:eastAsia="zh-CN"/>
            </w:rPr>
            <w:t>远程控制</w:t>
          </w:r>
          <w:r>
            <w:tab/>
          </w:r>
          <w:r>
            <w:fldChar w:fldCharType="begin"/>
          </w:r>
          <w:r>
            <w:instrText xml:space="preserve"> PAGEREF _Toc2752 \h </w:instrText>
          </w:r>
          <w:r>
            <w:fldChar w:fldCharType="separate"/>
          </w:r>
          <w:r>
            <w:t>5</w:t>
          </w:r>
          <w:r>
            <w:fldChar w:fldCharType="end"/>
          </w:r>
          <w:r>
            <w:fldChar w:fldCharType="end"/>
          </w:r>
        </w:p>
        <w:p>
          <w:pPr>
            <w:pStyle w:val="9"/>
          </w:pPr>
          <w:r>
            <w:fldChar w:fldCharType="begin"/>
          </w:r>
          <w:r>
            <w:instrText xml:space="preserve"> HYPERLINK \l _Toc31365 </w:instrText>
          </w:r>
          <w:r>
            <w:fldChar w:fldCharType="separate"/>
          </w:r>
          <w:r>
            <w:rPr>
              <w:rFonts w:hint="default" w:ascii="宋体" w:hAnsi="宋体" w:eastAsia="宋体" w:cstheme="majorEastAsia"/>
              <w:szCs w:val="24"/>
            </w:rPr>
            <w:t xml:space="preserve">1.1.13. </w:t>
          </w:r>
          <w:r>
            <w:rPr>
              <w:rFonts w:hint="eastAsia"/>
            </w:rPr>
            <w:t>权限测试</w:t>
          </w:r>
          <w:r>
            <w:tab/>
          </w:r>
          <w:r>
            <w:fldChar w:fldCharType="begin"/>
          </w:r>
          <w:r>
            <w:instrText xml:space="preserve"> PAGEREF _Toc31365 \h </w:instrText>
          </w:r>
          <w:r>
            <w:fldChar w:fldCharType="separate"/>
          </w:r>
          <w:r>
            <w:t>5</w:t>
          </w:r>
          <w:r>
            <w:fldChar w:fldCharType="end"/>
          </w:r>
          <w:r>
            <w:fldChar w:fldCharType="end"/>
          </w:r>
        </w:p>
        <w:p>
          <w:pPr>
            <w:pStyle w:val="15"/>
            <w:tabs>
              <w:tab w:val="right" w:leader="dot" w:pos="8306"/>
              <w:tab w:val="clear" w:pos="1050"/>
              <w:tab w:val="clear" w:pos="8295"/>
            </w:tabs>
          </w:pPr>
          <w:r>
            <w:fldChar w:fldCharType="begin"/>
          </w:r>
          <w:r>
            <w:instrText xml:space="preserve"> HYPERLINK \l _Toc18331 </w:instrText>
          </w:r>
          <w:r>
            <w:fldChar w:fldCharType="separate"/>
          </w:r>
          <w:r>
            <w:rPr>
              <w:rFonts w:hint="default"/>
            </w:rPr>
            <w:t xml:space="preserve">2. </w:t>
          </w:r>
          <w:r>
            <w:rPr>
              <w:rFonts w:hint="eastAsia"/>
            </w:rPr>
            <w:t>测试结果</w:t>
          </w:r>
          <w:r>
            <w:tab/>
          </w:r>
          <w:r>
            <w:fldChar w:fldCharType="begin"/>
          </w:r>
          <w:r>
            <w:instrText xml:space="preserve"> PAGEREF _Toc18331 \h </w:instrText>
          </w:r>
          <w:r>
            <w:fldChar w:fldCharType="separate"/>
          </w:r>
          <w:r>
            <w:t>6</w:t>
          </w:r>
          <w:r>
            <w:fldChar w:fldCharType="end"/>
          </w:r>
          <w:r>
            <w:fldChar w:fldCharType="end"/>
          </w:r>
        </w:p>
        <w:p>
          <w:r>
            <w:fldChar w:fldCharType="end"/>
          </w:r>
        </w:p>
      </w:sdtContent>
    </w:sdt>
    <w:p>
      <w:pPr>
        <w:pStyle w:val="2"/>
        <w:sectPr>
          <w:footerReference r:id="rId10" w:type="default"/>
          <w:pgSz w:w="11906" w:h="16838"/>
          <w:pgMar w:top="1440" w:right="1800" w:bottom="1440" w:left="1800" w:header="851" w:footer="992" w:gutter="0"/>
          <w:pgNumType w:start="1"/>
          <w:cols w:space="425" w:num="1"/>
          <w:docGrid w:type="lines" w:linePitch="312" w:charSpace="0"/>
        </w:sectPr>
      </w:pPr>
      <w:bookmarkStart w:id="2" w:name="_Toc5898"/>
    </w:p>
    <w:p>
      <w:pPr>
        <w:pStyle w:val="2"/>
      </w:pPr>
      <w:bookmarkStart w:id="3" w:name="_Toc5014"/>
      <w:r>
        <w:rPr>
          <w:rFonts w:hint="eastAsia"/>
        </w:rPr>
        <w:t>详细测试项</w:t>
      </w:r>
      <w:bookmarkEnd w:id="2"/>
      <w:bookmarkEnd w:id="3"/>
    </w:p>
    <w:p>
      <w:pPr>
        <w:rPr>
          <w:rFonts w:hint="default" w:eastAsia="宋体"/>
          <w:lang w:val="en-US" w:eastAsia="zh-CN"/>
        </w:rPr>
      </w:pPr>
      <w:r>
        <w:rPr>
          <w:rFonts w:hint="eastAsia"/>
          <w:lang w:val="en-US" w:eastAsia="zh-CN"/>
        </w:rPr>
        <w:t>POC测试涉及的设备类型/品牌/型号：</w:t>
      </w:r>
    </w:p>
    <w:tbl>
      <w:tblPr>
        <w:tblStyle w:val="20"/>
        <w:tblW w:w="47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920"/>
        <w:gridCol w:w="1785"/>
        <w:gridCol w:w="1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920" w:type="dxa"/>
            <w:tcBorders>
              <w:top w:val="single" w:color="969696" w:sz="4" w:space="0"/>
              <w:left w:val="single" w:color="969696" w:sz="4" w:space="0"/>
              <w:bottom w:val="nil"/>
              <w:right w:val="single" w:color="969696" w:sz="4" w:space="0"/>
            </w:tcBorders>
            <w:shd w:val="clear" w:color="000080" w:fill="000080"/>
            <w:noWrap/>
            <w:tcMar>
              <w:top w:w="15" w:type="dxa"/>
              <w:left w:w="15" w:type="dxa"/>
              <w:right w:w="15" w:type="dxa"/>
            </w:tcMar>
            <w:vAlign w:val="bottom"/>
          </w:tcPr>
          <w:p>
            <w:pPr>
              <w:keepNext w:val="0"/>
              <w:keepLines w:val="0"/>
              <w:widowControl/>
              <w:suppressLineNumbers w:val="0"/>
              <w:jc w:val="center"/>
              <w:textAlignment w:val="bottom"/>
              <w:rPr>
                <w:rFonts w:ascii="Calibri" w:hAnsi="Calibri" w:eastAsia="宋体" w:cs="Calibri"/>
                <w:i w:val="0"/>
                <w:color w:val="FFFFFF"/>
                <w:sz w:val="22"/>
                <w:szCs w:val="22"/>
                <w:u w:val="none"/>
              </w:rPr>
            </w:pPr>
            <w:r>
              <w:rPr>
                <w:rFonts w:hint="default" w:ascii="Calibri" w:hAnsi="Calibri" w:eastAsia="宋体" w:cs="Calibri"/>
                <w:i w:val="0"/>
                <w:color w:val="FFFFFF"/>
                <w:kern w:val="0"/>
                <w:sz w:val="22"/>
                <w:szCs w:val="22"/>
                <w:u w:val="none"/>
                <w:lang w:val="en-US" w:eastAsia="zh-CN" w:bidi="ar"/>
              </w:rPr>
              <w:t>类型</w:t>
            </w:r>
          </w:p>
        </w:tc>
        <w:tc>
          <w:tcPr>
            <w:tcW w:w="1785" w:type="dxa"/>
            <w:tcBorders>
              <w:top w:val="single" w:color="969696" w:sz="4" w:space="0"/>
              <w:left w:val="single" w:color="969696" w:sz="4" w:space="0"/>
              <w:bottom w:val="single" w:color="969696" w:sz="4" w:space="0"/>
              <w:right w:val="single" w:color="969696" w:sz="4" w:space="0"/>
            </w:tcBorders>
            <w:shd w:val="clear" w:color="000080" w:fill="000080"/>
            <w:noWrap/>
            <w:tcMar>
              <w:top w:w="15" w:type="dxa"/>
              <w:left w:w="15" w:type="dxa"/>
              <w:right w:w="15" w:type="dxa"/>
            </w:tcMar>
            <w:vAlign w:val="bottom"/>
          </w:tcPr>
          <w:p>
            <w:pPr>
              <w:keepNext w:val="0"/>
              <w:keepLines w:val="0"/>
              <w:widowControl/>
              <w:suppressLineNumbers w:val="0"/>
              <w:jc w:val="center"/>
              <w:textAlignment w:val="bottom"/>
              <w:rPr>
                <w:rFonts w:hint="default" w:ascii="Calibri" w:hAnsi="Calibri" w:eastAsia="宋体" w:cs="Calibri"/>
                <w:i w:val="0"/>
                <w:color w:val="FFFFFF"/>
                <w:sz w:val="22"/>
                <w:szCs w:val="22"/>
                <w:u w:val="none"/>
              </w:rPr>
            </w:pPr>
            <w:r>
              <w:rPr>
                <w:rFonts w:hint="default" w:ascii="Calibri" w:hAnsi="Calibri" w:eastAsia="宋体" w:cs="Calibri"/>
                <w:i w:val="0"/>
                <w:color w:val="FFFFFF"/>
                <w:kern w:val="0"/>
                <w:sz w:val="22"/>
                <w:szCs w:val="22"/>
                <w:u w:val="none"/>
                <w:lang w:val="en-US" w:eastAsia="zh-CN" w:bidi="ar"/>
              </w:rPr>
              <w:t>设备型号</w:t>
            </w:r>
          </w:p>
        </w:tc>
        <w:tc>
          <w:tcPr>
            <w:tcW w:w="1065" w:type="dxa"/>
            <w:tcBorders>
              <w:top w:val="single" w:color="969696" w:sz="4" w:space="0"/>
              <w:left w:val="single" w:color="969696" w:sz="4" w:space="0"/>
              <w:bottom w:val="single" w:color="969696" w:sz="4" w:space="0"/>
              <w:right w:val="single" w:color="969696" w:sz="4" w:space="0"/>
            </w:tcBorders>
            <w:shd w:val="clear" w:color="000080" w:fill="000080"/>
            <w:noWrap/>
            <w:tcMar>
              <w:top w:w="15" w:type="dxa"/>
              <w:left w:w="15" w:type="dxa"/>
              <w:right w:w="15" w:type="dxa"/>
            </w:tcMar>
            <w:vAlign w:val="bottom"/>
          </w:tcPr>
          <w:p>
            <w:pPr>
              <w:keepNext w:val="0"/>
              <w:keepLines w:val="0"/>
              <w:widowControl/>
              <w:suppressLineNumbers w:val="0"/>
              <w:jc w:val="center"/>
              <w:textAlignment w:val="bottom"/>
              <w:rPr>
                <w:rFonts w:hint="default" w:ascii="Calibri" w:hAnsi="Calibri" w:eastAsia="宋体" w:cs="Calibri"/>
                <w:i w:val="0"/>
                <w:color w:val="FFFFFF"/>
                <w:sz w:val="22"/>
                <w:szCs w:val="22"/>
                <w:u w:val="none"/>
              </w:rPr>
            </w:pPr>
            <w:r>
              <w:rPr>
                <w:rFonts w:hint="default" w:ascii="Calibri" w:hAnsi="Calibri" w:eastAsia="宋体" w:cs="Calibri"/>
                <w:i w:val="0"/>
                <w:color w:val="FFFFFF"/>
                <w:kern w:val="0"/>
                <w:sz w:val="22"/>
                <w:szCs w:val="22"/>
                <w:u w:val="none"/>
                <w:lang w:val="en-US" w:eastAsia="zh-CN" w:bidi="ar"/>
              </w:rPr>
              <w:t>设备品牌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存储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CF22030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存储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UNITY400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易安信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2288H V5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超聚变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2288H V5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CS5280H2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NF5280M4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NF5280M5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NF5280M6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浪潮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PR210K</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宝德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R3820 G3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紫光恒越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R4900 G5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R4900G3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RH2288H V3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SR658H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联想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TaiShan 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华为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UNIS R3830 G5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紫光恒越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超强K620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同方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光交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DS6505B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易安信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签名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NetSign3300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信安世纪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签名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NSAE1800-NS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信安世纪</w:t>
            </w:r>
          </w:p>
        </w:tc>
      </w:tr>
    </w:tbl>
    <w:p/>
    <w:p>
      <w:pPr>
        <w:pStyle w:val="3"/>
        <w:numPr>
          <w:ilvl w:val="1"/>
          <w:numId w:val="2"/>
        </w:numPr>
      </w:pPr>
      <w:bookmarkStart w:id="4" w:name="_Toc13760"/>
      <w:r>
        <w:rPr>
          <w:rFonts w:hint="eastAsia"/>
          <w:lang w:val="en-US" w:eastAsia="zh-CN"/>
        </w:rPr>
        <w:t>基本要求</w:t>
      </w:r>
      <w:bookmarkEnd w:id="4"/>
    </w:p>
    <w:p>
      <w:pPr>
        <w:pStyle w:val="4"/>
        <w:numPr>
          <w:ilvl w:val="2"/>
          <w:numId w:val="2"/>
        </w:numPr>
        <w:rPr>
          <w:rFonts w:hint="default"/>
          <w:lang w:val="en-US" w:eastAsia="zh-CN"/>
        </w:rPr>
      </w:pPr>
      <w:bookmarkStart w:id="5" w:name="_Toc9923"/>
      <w:r>
        <w:rPr>
          <w:rFonts w:hint="eastAsia"/>
          <w:lang w:val="en-US" w:eastAsia="zh-CN"/>
        </w:rPr>
        <w:t>国产化要求</w:t>
      </w:r>
      <w:bookmarkEnd w:id="5"/>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rPr>
                <w:rFonts w:hint="default" w:eastAsia="宋体"/>
                <w:lang w:val="en-US" w:eastAsia="zh-CN"/>
              </w:rPr>
            </w:pPr>
            <w:r>
              <w:rPr>
                <w:rFonts w:hint="eastAsia"/>
                <w:lang w:val="en-US" w:eastAsia="zh-CN"/>
              </w:rPr>
              <w:t>证明</w:t>
            </w:r>
            <w:r>
              <w:rPr>
                <w:rFonts w:hint="eastAsia"/>
              </w:rPr>
              <w:t>系统</w:t>
            </w:r>
            <w:r>
              <w:rPr>
                <w:rFonts w:hint="eastAsia"/>
                <w:lang w:val="en-US" w:eastAsia="zh-CN"/>
              </w:rPr>
              <w:t>属于国产化自主研发，非国外品牌。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产品必须为国产、独立自主研发的品牌，不接受国外品牌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default"/>
          <w:lang w:val="en-US" w:eastAsia="zh-CN"/>
        </w:rPr>
      </w:pPr>
    </w:p>
    <w:p>
      <w:pPr>
        <w:pStyle w:val="4"/>
        <w:numPr>
          <w:ilvl w:val="2"/>
          <w:numId w:val="2"/>
        </w:numPr>
      </w:pPr>
      <w:bookmarkStart w:id="6" w:name="_Toc19413"/>
      <w:bookmarkStart w:id="7" w:name="_Toc19812"/>
      <w:r>
        <w:t>系统访问分析</w:t>
      </w:r>
      <w:bookmarkEnd w:id="6"/>
      <w:bookmarkEnd w:id="7"/>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验证系统具备访问分析能力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对平台各项功能的使用频度及实时在线人数进行统计分析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pStyle w:val="4"/>
        <w:numPr>
          <w:ilvl w:val="2"/>
          <w:numId w:val="2"/>
        </w:numPr>
      </w:pPr>
      <w:bookmarkStart w:id="8" w:name="_Toc10047"/>
      <w:bookmarkStart w:id="9" w:name="_Toc11254"/>
      <w:r>
        <w:rPr>
          <w:rFonts w:hint="eastAsia"/>
        </w:rPr>
        <w:t>安全登陆验证</w:t>
      </w:r>
      <w:bookmarkEnd w:id="8"/>
      <w:bookmarkEnd w:id="9"/>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验证系统具备安全登陆功能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t>支持多因子登录验证（登录密码、程序随机码、短信验证码），加强对系统登录的安全性管理。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eastAsia="宋体"/>
                <w:szCs w:val="21"/>
                <w:lang w:eastAsia="zh-CN"/>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
      <w:pPr>
        <w:pStyle w:val="4"/>
        <w:numPr>
          <w:ilvl w:val="2"/>
          <w:numId w:val="2"/>
        </w:numPr>
      </w:pPr>
      <w:bookmarkStart w:id="10" w:name="_Toc6802"/>
      <w:bookmarkStart w:id="11" w:name="_Toc14224"/>
      <w:r>
        <w:rPr>
          <w:rFonts w:hint="eastAsia"/>
        </w:rPr>
        <w:t>监测方式</w:t>
      </w:r>
      <w:bookmarkEnd w:id="10"/>
      <w:bookmarkEnd w:id="11"/>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验证系统通过带外管理口监测指标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1.</w:t>
            </w:r>
            <w:r>
              <w:t>支持服务器、存储、光纤交换机设备监测需基于设备独立的带外管理口直接对设备硬件运行情况进行，不依赖操作系统，不在被监测设备上安装任何代理、客户端或插件。需能够采集到设备部件级运行状态、配置和告警信息。</w:t>
            </w:r>
          </w:p>
          <w:p>
            <w:pPr>
              <w:pStyle w:val="45"/>
              <w:jc w:val="left"/>
            </w:pPr>
            <w:r>
              <w:rPr>
                <w:rFonts w:hint="eastAsia"/>
              </w:rPr>
              <w:t>2.</w:t>
            </w:r>
            <w:r>
              <w:t>POC涉及的所有服务器、存储要求全部能通过带外账号及密码进行资产采集及监控</w:t>
            </w:r>
            <w:r>
              <w:rPr>
                <w:rFonts w:hint="eastAsia"/>
                <w:lang w:eastAsia="zh-CN"/>
              </w:rPr>
              <w:t>，</w:t>
            </w:r>
            <w:r>
              <w:t>不能通过SNMP进行采集。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default" w:eastAsia="宋体"/>
          <w:lang w:val="en-US" w:eastAsia="zh-CN"/>
        </w:rPr>
      </w:pPr>
    </w:p>
    <w:p>
      <w:pPr>
        <w:pStyle w:val="4"/>
        <w:numPr>
          <w:ilvl w:val="2"/>
          <w:numId w:val="2"/>
        </w:numPr>
        <w:rPr>
          <w:rFonts w:hint="default"/>
          <w:lang w:val="en-US" w:eastAsia="zh-CN"/>
        </w:rPr>
      </w:pPr>
      <w:bookmarkStart w:id="12" w:name="_Toc27320"/>
      <w:r>
        <w:rPr>
          <w:rFonts w:hint="eastAsia"/>
          <w:lang w:val="en-US" w:eastAsia="zh-CN"/>
        </w:rPr>
        <w:t>安全设备控制</w:t>
      </w:r>
      <w:bookmarkEnd w:id="12"/>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rPr>
                <w:rFonts w:hint="default" w:eastAsia="宋体"/>
                <w:lang w:val="en-US" w:eastAsia="zh-CN"/>
              </w:rPr>
            </w:pPr>
            <w:r>
              <w:rPr>
                <w:rFonts w:hint="eastAsia"/>
              </w:rPr>
              <w:t>验证系统</w:t>
            </w:r>
            <w:r>
              <w:rPr>
                <w:rFonts w:hint="eastAsia"/>
                <w:lang w:val="en-US" w:eastAsia="zh-CN"/>
              </w:rPr>
              <w:t>具备安全设备控制功能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numPr>
                <w:ilvl w:val="0"/>
                <w:numId w:val="3"/>
              </w:numPr>
              <w:jc w:val="left"/>
              <w:rPr>
                <w:rFonts w:hint="eastAsia"/>
              </w:rPr>
            </w:pPr>
            <w:r>
              <w:rPr>
                <w:rFonts w:hint="eastAsia"/>
              </w:rPr>
              <w:t>支持对设备在指定时间段的安全操作，包括：关机\重启，远程控制，重启带外、控制台等</w:t>
            </w:r>
          </w:p>
          <w:p>
            <w:pPr>
              <w:pStyle w:val="45"/>
              <w:numPr>
                <w:ilvl w:val="0"/>
                <w:numId w:val="3"/>
              </w:numPr>
              <w:jc w:val="left"/>
              <w:rPr>
                <w:rFonts w:hint="eastAsia"/>
              </w:rPr>
            </w:pPr>
            <w:r>
              <w:rPr>
                <w:rFonts w:hint="eastAsia"/>
              </w:rPr>
              <w:t>支持设备操作的申请和审批，包括操作的行为，具体操作时间、设备范围、审批人等。</w:t>
            </w:r>
          </w:p>
          <w:p>
            <w:pPr>
              <w:pStyle w:val="45"/>
              <w:numPr>
                <w:ilvl w:val="0"/>
                <w:numId w:val="3"/>
              </w:numPr>
              <w:jc w:val="left"/>
              <w:rPr>
                <w:rFonts w:hint="eastAsia"/>
              </w:rPr>
            </w:pPr>
            <w:r>
              <w:rPr>
                <w:rFonts w:hint="eastAsia"/>
              </w:rPr>
              <w:t>支持对设备安全控制策略进行配置，根据下发策略信息在特定时间范围可对设备进行控制操作。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default"/>
          <w:lang w:val="en-US" w:eastAsia="zh-CN"/>
        </w:rPr>
      </w:pPr>
    </w:p>
    <w:p>
      <w:pPr>
        <w:pStyle w:val="4"/>
        <w:numPr>
          <w:ilvl w:val="2"/>
          <w:numId w:val="2"/>
        </w:numPr>
      </w:pPr>
      <w:bookmarkStart w:id="13" w:name="_Toc13702"/>
      <w:bookmarkStart w:id="14" w:name="_Toc10672"/>
      <w:bookmarkStart w:id="15" w:name="_Toc20258"/>
      <w:r>
        <w:rPr>
          <w:rFonts w:hint="eastAsia"/>
        </w:rPr>
        <w:t>设备信息展示</w:t>
      </w:r>
      <w:bookmarkEnd w:id="13"/>
      <w:bookmarkEnd w:id="14"/>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验证系统具备对设备列表自定义展示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系统对</w:t>
            </w:r>
            <w:r>
              <w:t>设备信息列表支持列项自定义，可自主选择需要展示的内容。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
      <w:pPr>
        <w:pStyle w:val="4"/>
        <w:numPr>
          <w:ilvl w:val="2"/>
          <w:numId w:val="2"/>
        </w:numPr>
      </w:pPr>
      <w:bookmarkStart w:id="16" w:name="_Toc13768"/>
      <w:bookmarkStart w:id="17" w:name="_Toc15916"/>
      <w:r>
        <w:rPr>
          <w:rFonts w:hint="eastAsia"/>
        </w:rPr>
        <w:t>设备</w:t>
      </w:r>
      <w:r>
        <w:rPr>
          <w:rFonts w:hint="eastAsia"/>
          <w:lang w:val="en-US" w:eastAsia="zh-CN"/>
        </w:rPr>
        <w:t>信息</w:t>
      </w:r>
      <w:r>
        <w:rPr>
          <w:rFonts w:hint="eastAsia"/>
        </w:rPr>
        <w:t>分类</w:t>
      </w:r>
      <w:bookmarkEnd w:id="16"/>
      <w:bookmarkEnd w:id="17"/>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验证系统具备对设备进行分类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系统</w:t>
            </w:r>
            <w:r>
              <w:t>能对设备进行分类，如存储、arm服务器、X86服务器等</w:t>
            </w:r>
            <w:r>
              <w:rPr>
                <w:rFonts w:hint="eastAsi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pStyle w:val="4"/>
        <w:numPr>
          <w:ilvl w:val="2"/>
          <w:numId w:val="2"/>
        </w:numPr>
      </w:pPr>
      <w:bookmarkStart w:id="18" w:name="_Toc7090"/>
      <w:r>
        <w:rPr>
          <w:rFonts w:hint="eastAsia"/>
        </w:rPr>
        <w:t>系统稳定性</w:t>
      </w:r>
      <w:bookmarkEnd w:id="15"/>
      <w:bookmarkEnd w:id="18"/>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tabs>
                <w:tab w:val="left" w:pos="736"/>
              </w:tabs>
              <w:jc w:val="left"/>
            </w:pPr>
            <w:r>
              <w:rPr>
                <w:rFonts w:hint="eastAsia"/>
              </w:rPr>
              <w:t>验证系统稳定性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t>整个POC测试过程中，系统不存在多处显示异常或者崩溃等现象。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
      <w:pPr>
        <w:pStyle w:val="4"/>
        <w:numPr>
          <w:ilvl w:val="2"/>
          <w:numId w:val="2"/>
        </w:numPr>
        <w:rPr>
          <w:rFonts w:hint="default"/>
          <w:lang w:val="en-US" w:eastAsia="zh-CN"/>
        </w:rPr>
      </w:pPr>
      <w:bookmarkStart w:id="19" w:name="_Toc23505"/>
      <w:r>
        <w:rPr>
          <w:rFonts w:hint="eastAsia"/>
          <w:lang w:val="en-US" w:eastAsia="zh-CN"/>
        </w:rPr>
        <w:t>资产展现</w:t>
      </w:r>
      <w:bookmarkEnd w:id="19"/>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eastAsia" w:ascii="宋体" w:hAnsi="宋体"/>
                <w:szCs w:val="21"/>
              </w:rPr>
            </w:pPr>
            <w:r>
              <w:rPr>
                <w:rFonts w:hint="eastAsia" w:ascii="宋体" w:hAnsi="宋体"/>
                <w:szCs w:val="21"/>
              </w:rPr>
              <w:t>验证不同维护展示资产统计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eastAsia" w:ascii="宋体" w:hAnsi="宋体"/>
                <w:szCs w:val="21"/>
              </w:rPr>
            </w:pPr>
            <w:r>
              <w:rPr>
                <w:rFonts w:hint="eastAsia" w:ascii="宋体" w:hAnsi="宋体"/>
                <w:szCs w:val="21"/>
              </w:rPr>
              <w:t>支持按照多种不同角度统计展现设备资产、备件、保修状态、机柜U位等资产信息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default"/>
          <w:lang w:val="en-US" w:eastAsia="zh-CN"/>
        </w:rPr>
      </w:pPr>
    </w:p>
    <w:p>
      <w:pPr>
        <w:pStyle w:val="4"/>
        <w:numPr>
          <w:ilvl w:val="2"/>
          <w:numId w:val="2"/>
        </w:numPr>
      </w:pPr>
      <w:bookmarkStart w:id="20" w:name="_Toc5132"/>
      <w:r>
        <w:rPr>
          <w:rFonts w:hint="eastAsia"/>
        </w:rPr>
        <w:t>资产数据采集</w:t>
      </w:r>
      <w:bookmarkEnd w:id="20"/>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eastAsia" w:ascii="宋体" w:hAnsi="宋体"/>
                <w:szCs w:val="21"/>
              </w:rPr>
            </w:pPr>
            <w:r>
              <w:rPr>
                <w:rFonts w:hint="eastAsia" w:ascii="宋体" w:hAnsi="宋体"/>
                <w:szCs w:val="21"/>
              </w:rPr>
              <w:t>验证资产信息采集能力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eastAsia" w:ascii="宋体" w:hAnsi="宋体"/>
                <w:szCs w:val="21"/>
              </w:rPr>
            </w:pPr>
            <w:r>
              <w:rPr>
                <w:rFonts w:hint="eastAsia" w:ascii="宋体" w:hAnsi="宋体"/>
                <w:szCs w:val="21"/>
              </w:rPr>
              <w:t>远程资产信息自动采集，包括（序列号、厂商型号、CPU、GPU、内存、磁盘、电源、风扇、阵列卡、网卡等），达到资产管理和配置信息自动更新的目的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default"/>
          <w:lang w:val="en-US" w:eastAsia="zh-CN"/>
        </w:rPr>
      </w:pPr>
    </w:p>
    <w:p>
      <w:pPr>
        <w:pStyle w:val="4"/>
        <w:numPr>
          <w:ilvl w:val="2"/>
          <w:numId w:val="2"/>
        </w:numPr>
        <w:rPr>
          <w:rFonts w:hint="default"/>
          <w:lang w:val="en-US" w:eastAsia="zh-CN"/>
        </w:rPr>
      </w:pPr>
      <w:bookmarkStart w:id="21" w:name="_Toc22280"/>
      <w:r>
        <w:rPr>
          <w:rFonts w:hint="eastAsia"/>
          <w:lang w:val="en-US" w:eastAsia="zh-CN"/>
        </w:rPr>
        <w:t>自动发现</w:t>
      </w:r>
      <w:bookmarkEnd w:id="21"/>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default" w:ascii="宋体" w:hAnsi="宋体" w:eastAsia="宋体"/>
                <w:szCs w:val="21"/>
                <w:lang w:val="en-US" w:eastAsia="zh-CN"/>
              </w:rPr>
            </w:pPr>
            <w:r>
              <w:rPr>
                <w:rFonts w:hint="eastAsia" w:ascii="宋体" w:hAnsi="宋体"/>
                <w:szCs w:val="21"/>
              </w:rPr>
              <w:t>验证</w:t>
            </w:r>
            <w:r>
              <w:rPr>
                <w:rFonts w:hint="eastAsia" w:ascii="宋体" w:hAnsi="宋体"/>
                <w:szCs w:val="21"/>
                <w:lang w:val="en-US" w:eastAsia="zh-CN"/>
              </w:rPr>
              <w:t>自动</w:t>
            </w:r>
            <w:r>
              <w:rPr>
                <w:rFonts w:hint="eastAsia" w:ascii="宋体" w:hAnsi="宋体"/>
                <w:szCs w:val="21"/>
              </w:rPr>
              <w:t>设备发现</w:t>
            </w:r>
            <w:r>
              <w:rPr>
                <w:rFonts w:hint="eastAsia" w:ascii="宋体" w:hAnsi="宋体"/>
                <w:szCs w:val="21"/>
                <w:lang w:val="en-US" w:eastAsia="zh-CN"/>
              </w:rPr>
              <w:t>纳管理能力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24"/>
              <w:ind w:firstLine="0" w:firstLineChars="0"/>
              <w:rPr>
                <w:rFonts w:hint="eastAsia" w:ascii="宋体" w:hAnsi="宋体"/>
                <w:szCs w:val="21"/>
              </w:rPr>
            </w:pPr>
            <w:r>
              <w:rPr>
                <w:rFonts w:hint="eastAsia" w:ascii="宋体" w:hAnsi="宋体"/>
                <w:szCs w:val="21"/>
              </w:rPr>
              <w:t>1.内置已适配品牌型号的指标采集模板、日志采集模板和告警阈值模板，实现开箱即用，无需人工配置</w:t>
            </w:r>
          </w:p>
          <w:p>
            <w:pPr>
              <w:pStyle w:val="45"/>
              <w:jc w:val="left"/>
              <w:rPr>
                <w:rFonts w:hint="eastAsia" w:ascii="宋体" w:hAnsi="宋体"/>
                <w:szCs w:val="21"/>
              </w:rPr>
            </w:pPr>
            <w:r>
              <w:rPr>
                <w:rFonts w:hint="eastAsia" w:ascii="宋体" w:hAnsi="宋体"/>
                <w:szCs w:val="21"/>
              </w:rPr>
              <w:t>2.支持通过导入IP地址、用户名密码信息实现资源的批量自动发现，发现后可以一键自动创建监测和资产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eastAsia" w:ascii="等线" w:hAnsi="等线" w:eastAsia="等线" w:cs="等线"/>
        </w:rPr>
      </w:pPr>
      <w:bookmarkStart w:id="22" w:name="_Toc11392"/>
      <w:bookmarkStart w:id="23" w:name="_Toc24139"/>
    </w:p>
    <w:p>
      <w:pPr>
        <w:pStyle w:val="4"/>
        <w:numPr>
          <w:ilvl w:val="2"/>
          <w:numId w:val="2"/>
        </w:numPr>
        <w:rPr>
          <w:rFonts w:hint="eastAsia"/>
          <w:lang w:val="en-US" w:eastAsia="zh-CN"/>
        </w:rPr>
      </w:pPr>
      <w:bookmarkStart w:id="24" w:name="_Toc2752"/>
      <w:r>
        <w:rPr>
          <w:rFonts w:hint="eastAsia"/>
          <w:lang w:val="en-US" w:eastAsia="zh-CN"/>
        </w:rPr>
        <w:t>远程控制</w:t>
      </w:r>
      <w:bookmarkEnd w:id="24"/>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default" w:ascii="宋体" w:hAnsi="宋体" w:eastAsia="宋体"/>
                <w:szCs w:val="21"/>
                <w:lang w:val="en-US" w:eastAsia="zh-CN"/>
              </w:rPr>
            </w:pPr>
            <w:r>
              <w:rPr>
                <w:rFonts w:hint="eastAsia" w:ascii="宋体" w:hAnsi="宋体"/>
                <w:szCs w:val="21"/>
                <w:lang w:val="en-US" w:eastAsia="zh-CN"/>
              </w:rPr>
              <w:t>验证远程控制管理功能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rPr>
                <w:rFonts w:hint="eastAsia" w:ascii="宋体" w:hAnsi="宋体"/>
                <w:szCs w:val="21"/>
              </w:rPr>
            </w:pPr>
            <w:r>
              <w:rPr>
                <w:rFonts w:hint="eastAsia" w:ascii="宋体" w:hAnsi="宋体"/>
                <w:szCs w:val="21"/>
              </w:rPr>
              <w:t>支持远程KVM管理：通过远程KVM的功能提供一个图形远程控制台，单独或者批量对服务器进行远程开机、关机和重启操作控制；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rPr>
          <w:rFonts w:hint="eastAsia"/>
          <w:lang w:val="en-US" w:eastAsia="zh-CN"/>
        </w:rPr>
      </w:pPr>
    </w:p>
    <w:p>
      <w:pPr>
        <w:pStyle w:val="4"/>
        <w:numPr>
          <w:ilvl w:val="2"/>
          <w:numId w:val="2"/>
        </w:numPr>
        <w:rPr>
          <w:rFonts w:hint="eastAsia" w:ascii="等线" w:hAnsi="等线" w:eastAsia="等线" w:cs="等线"/>
        </w:rPr>
      </w:pPr>
      <w:bookmarkStart w:id="25" w:name="_Toc31365"/>
      <w:r>
        <w:rPr>
          <w:rFonts w:hint="eastAsia"/>
        </w:rPr>
        <w:t>权限测试</w:t>
      </w:r>
      <w:bookmarkEnd w:id="22"/>
      <w:bookmarkEnd w:id="23"/>
      <w:bookmarkEnd w:id="25"/>
    </w:p>
    <w:tbl>
      <w:tblPr>
        <w:tblStyle w:val="2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0"/>
        <w:gridCol w:w="73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测试目的</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对不同用户权限进行测试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测试描述</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r>
              <w:rPr>
                <w:rFonts w:hint="eastAsia"/>
              </w:rPr>
              <w:t>可创建不同功能权限以及域权限的角色，赋予给不同用户。登陆此用户，查看其权限是否与设置一致。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测试步骤</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pStyle w:val="45"/>
              <w:jc w:val="left"/>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预期结果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eastAsiaTheme="minorEastAsia"/>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测试结果</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tcPr>
          <w:p>
            <w:pPr>
              <w:jc w:val="left"/>
              <w:rPr>
                <w:rFonts w:hint="eastAsia" w:ascii="仿宋" w:hAnsi="仿宋"/>
                <w:szCs w:val="21"/>
              </w:rPr>
            </w:pPr>
            <w:r>
              <w:rPr>
                <w:rFonts w:ascii="宋体" w:hAnsi="宋体"/>
              </w:rPr>
              <w:sym w:font="Wingdings 2" w:char="00A3"/>
            </w:r>
            <w:r>
              <w:rPr>
                <w:rFonts w:hint="eastAsia" w:ascii="宋体" w:hAnsi="宋体"/>
                <w:szCs w:val="21"/>
              </w:rPr>
              <w:t xml:space="preserve">  </w:t>
            </w:r>
            <w:r>
              <w:rPr>
                <w:rFonts w:hint="eastAsia" w:ascii="宋体" w:hAnsi="宋体"/>
                <w:szCs w:val="21"/>
                <w:lang w:val="en-US" w:eastAsia="zh-CN"/>
              </w:rPr>
              <w:t>满足</w:t>
            </w:r>
            <w:r>
              <w:rPr>
                <w:rFonts w:hint="eastAsia" w:ascii="宋体" w:hAnsi="宋体"/>
                <w:szCs w:val="21"/>
              </w:rPr>
              <w:t xml:space="preserve"> / </w:t>
            </w:r>
            <w:r>
              <w:rPr>
                <w:rFonts w:ascii="宋体" w:hAnsi="宋体"/>
              </w:rPr>
              <w:sym w:font="Wingdings 2" w:char="00A3"/>
            </w:r>
            <w:r>
              <w:rPr>
                <w:rFonts w:hint="eastAsia" w:ascii="宋体" w:hAnsi="宋体"/>
                <w:szCs w:val="21"/>
              </w:rPr>
              <w:t xml:space="preserve">  不</w:t>
            </w:r>
            <w:r>
              <w:rPr>
                <w:rFonts w:hint="eastAsia" w:ascii="宋体" w:hAnsi="宋体"/>
                <w:szCs w:val="21"/>
                <w:lang w:val="en-US" w:eastAsia="zh-CN"/>
              </w:rPr>
              <w:t>满足</w:t>
            </w:r>
            <w:r>
              <w:rPr>
                <w:rFonts w:hint="eastAsia" w:ascii="宋体" w:hAnsi="宋体"/>
                <w:szCs w:val="21"/>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jc w:val="center"/>
        </w:trPr>
        <w:tc>
          <w:tcPr>
            <w:tcW w:w="142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jc w:val="center"/>
              <w:rPr>
                <w:rFonts w:hint="eastAsia" w:ascii="仿宋" w:hAnsi="仿宋"/>
                <w:b/>
                <w:szCs w:val="21"/>
              </w:rPr>
            </w:pPr>
            <w:r>
              <w:rPr>
                <w:rFonts w:hint="eastAsia" w:ascii="仿宋" w:hAnsi="仿宋"/>
                <w:b/>
                <w:szCs w:val="21"/>
              </w:rPr>
              <w:t>测试记录</w:t>
            </w:r>
          </w:p>
        </w:tc>
        <w:tc>
          <w:tcPr>
            <w:tcW w:w="7300" w:type="dxa"/>
            <w:tcBorders>
              <w:top w:val="single" w:color="000000" w:sz="2" w:space="0"/>
              <w:left w:val="single" w:color="000000" w:sz="2" w:space="0"/>
              <w:bottom w:val="single" w:color="000000" w:sz="2" w:space="0"/>
              <w:right w:val="single" w:color="000000" w:sz="2" w:space="0"/>
            </w:tcBorders>
            <w:tcMar>
              <w:top w:w="80" w:type="dxa"/>
              <w:left w:w="80" w:type="dxa"/>
              <w:bottom w:w="80" w:type="dxa"/>
              <w:right w:w="80" w:type="dxa"/>
            </w:tcMar>
            <w:vAlign w:val="center"/>
          </w:tcPr>
          <w:p>
            <w:pPr>
              <w:rPr>
                <w:rFonts w:hint="eastAsia" w:ascii="仿宋" w:hAnsi="仿宋"/>
                <w:szCs w:val="21"/>
              </w:rPr>
            </w:pPr>
          </w:p>
        </w:tc>
      </w:tr>
    </w:tbl>
    <w:p>
      <w:pPr>
        <w:pStyle w:val="2"/>
      </w:pPr>
      <w:bookmarkStart w:id="26" w:name="_Toc2109"/>
      <w:bookmarkStart w:id="27" w:name="_Toc18331"/>
      <w:r>
        <w:rPr>
          <w:rFonts w:hint="eastAsia"/>
        </w:rPr>
        <w:t>测试结果</w:t>
      </w:r>
      <w:bookmarkEnd w:id="26"/>
      <w:bookmarkEnd w:id="27"/>
    </w:p>
    <w:p>
      <w:r>
        <w:rPr>
          <w:rFonts w:hint="eastAsia"/>
        </w:rPr>
        <w:t>测试结果记录</w:t>
      </w:r>
    </w:p>
    <w:p/>
    <w:tbl>
      <w:tblPr>
        <w:tblStyle w:val="20"/>
        <w:tblW w:w="8745" w:type="dxa"/>
        <w:jc w:val="center"/>
        <w:tblLayout w:type="fixed"/>
        <w:tblCellMar>
          <w:top w:w="0" w:type="dxa"/>
          <w:left w:w="108" w:type="dxa"/>
          <w:bottom w:w="0" w:type="dxa"/>
          <w:right w:w="108" w:type="dxa"/>
        </w:tblCellMar>
      </w:tblPr>
      <w:tblGrid>
        <w:gridCol w:w="804"/>
        <w:gridCol w:w="5733"/>
        <w:gridCol w:w="2208"/>
      </w:tblGrid>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序号</w:t>
            </w:r>
          </w:p>
        </w:tc>
        <w:tc>
          <w:tcPr>
            <w:tcW w:w="5733" w:type="dxa"/>
            <w:tcBorders>
              <w:top w:val="single" w:color="auto" w:sz="4" w:space="0"/>
              <w:left w:val="nil"/>
              <w:bottom w:val="single" w:color="auto" w:sz="4" w:space="0"/>
              <w:right w:val="single" w:color="auto" w:sz="4" w:space="0"/>
            </w:tcBorders>
            <w:vAlign w:val="center"/>
          </w:tcPr>
          <w:p>
            <w:pPr>
              <w:spacing w:line="440" w:lineRule="exact"/>
              <w:jc w:val="center"/>
            </w:pPr>
            <w:r>
              <w:rPr>
                <w:rFonts w:hint="eastAsia"/>
              </w:rPr>
              <w:t>测试项目</w:t>
            </w:r>
          </w:p>
        </w:tc>
        <w:tc>
          <w:tcPr>
            <w:tcW w:w="2208" w:type="dxa"/>
            <w:tcBorders>
              <w:top w:val="single" w:color="auto" w:sz="4" w:space="0"/>
              <w:left w:val="nil"/>
              <w:bottom w:val="single" w:color="auto" w:sz="4" w:space="0"/>
              <w:right w:val="single" w:color="auto" w:sz="4" w:space="0"/>
            </w:tcBorders>
            <w:vAlign w:val="center"/>
          </w:tcPr>
          <w:p>
            <w:pPr>
              <w:spacing w:line="440" w:lineRule="exact"/>
              <w:jc w:val="center"/>
            </w:pPr>
            <w:r>
              <w:rPr>
                <w:rFonts w:hint="eastAsia"/>
              </w:rPr>
              <w:t>结果</w:t>
            </w:r>
          </w:p>
        </w:tc>
      </w:tr>
      <w:tr>
        <w:tblPrEx>
          <w:tblCellMar>
            <w:top w:w="0" w:type="dxa"/>
            <w:left w:w="108" w:type="dxa"/>
            <w:bottom w:w="0" w:type="dxa"/>
            <w:right w:w="108" w:type="dxa"/>
          </w:tblCellMar>
        </w:tblPrEx>
        <w:trPr>
          <w:trHeight w:val="567" w:hRule="atLeast"/>
          <w:jc w:val="center"/>
        </w:trPr>
        <w:tc>
          <w:tcPr>
            <w:tcW w:w="804" w:type="dxa"/>
            <w:tcBorders>
              <w:top w:val="nil"/>
              <w:left w:val="single" w:color="auto" w:sz="4" w:space="0"/>
              <w:bottom w:val="single" w:color="auto" w:sz="4" w:space="0"/>
              <w:right w:val="single" w:color="auto" w:sz="4" w:space="0"/>
            </w:tcBorders>
            <w:vAlign w:val="center"/>
          </w:tcPr>
          <w:p>
            <w:pPr>
              <w:spacing w:line="440" w:lineRule="exact"/>
              <w:jc w:val="center"/>
            </w:pPr>
            <w:r>
              <w:rPr>
                <w:rFonts w:hint="eastAsia"/>
              </w:rPr>
              <w:t>001</w:t>
            </w:r>
          </w:p>
        </w:tc>
        <w:tc>
          <w:tcPr>
            <w:tcW w:w="5733" w:type="dxa"/>
            <w:tcBorders>
              <w:top w:val="nil"/>
              <w:left w:val="nil"/>
              <w:bottom w:val="single" w:color="auto" w:sz="4" w:space="0"/>
              <w:right w:val="single" w:color="auto" w:sz="4" w:space="0"/>
            </w:tcBorders>
            <w:vAlign w:val="center"/>
          </w:tcPr>
          <w:p>
            <w:pPr>
              <w:spacing w:line="440" w:lineRule="exact"/>
            </w:pPr>
          </w:p>
        </w:tc>
        <w:tc>
          <w:tcPr>
            <w:tcW w:w="2208" w:type="dxa"/>
            <w:tcBorders>
              <w:top w:val="nil"/>
              <w:left w:val="nil"/>
              <w:bottom w:val="single" w:color="auto" w:sz="4" w:space="0"/>
              <w:right w:val="single" w:color="auto" w:sz="4" w:space="0"/>
            </w:tcBorders>
            <w:vAlign w:val="center"/>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002</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003</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004</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vAlign w:val="center"/>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005</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006</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007</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vAlign w:val="center"/>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008</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009</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010</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vAlign w:val="center"/>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011</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012</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p>
        </w:tc>
      </w:tr>
      <w:tr>
        <w:tblPrEx>
          <w:tblCellMar>
            <w:top w:w="0" w:type="dxa"/>
            <w:left w:w="108" w:type="dxa"/>
            <w:bottom w:w="0" w:type="dxa"/>
            <w:right w:w="108" w:type="dxa"/>
          </w:tblCellMar>
        </w:tblPrEx>
        <w:trPr>
          <w:trHeight w:val="567"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pPr>
            <w:r>
              <w:rPr>
                <w:rFonts w:hint="eastAsia"/>
              </w:rPr>
              <w:t>013</w:t>
            </w:r>
          </w:p>
        </w:tc>
        <w:tc>
          <w:tcPr>
            <w:tcW w:w="5733" w:type="dxa"/>
            <w:tcBorders>
              <w:top w:val="single" w:color="auto" w:sz="4" w:space="0"/>
              <w:left w:val="single" w:color="auto" w:sz="4" w:space="0"/>
              <w:bottom w:val="single" w:color="auto" w:sz="4" w:space="0"/>
              <w:right w:val="single" w:color="auto" w:sz="4" w:space="0"/>
            </w:tcBorders>
            <w:vAlign w:val="center"/>
          </w:tcPr>
          <w:p>
            <w:pPr>
              <w:spacing w:line="440" w:lineRule="exact"/>
            </w:pPr>
          </w:p>
        </w:tc>
        <w:tc>
          <w:tcPr>
            <w:tcW w:w="2208" w:type="dxa"/>
            <w:tcBorders>
              <w:top w:val="single" w:color="auto" w:sz="4" w:space="0"/>
              <w:left w:val="single" w:color="auto" w:sz="4" w:space="0"/>
              <w:bottom w:val="single" w:color="auto" w:sz="4" w:space="0"/>
              <w:right w:val="single" w:color="auto" w:sz="4" w:space="0"/>
            </w:tcBorders>
          </w:tcPr>
          <w:p>
            <w:pPr>
              <w:spacing w:line="440" w:lineRule="exact"/>
            </w:pPr>
            <w:r>
              <w:rPr>
                <w:rFonts w:hint="eastAsia"/>
              </w:rPr>
              <w:sym w:font="Wingdings 2" w:char="00A3"/>
            </w:r>
            <w:r>
              <w:rPr>
                <w:rFonts w:hint="eastAsia"/>
                <w:lang w:val="en-US" w:eastAsia="zh-CN"/>
              </w:rPr>
              <w:t>满足</w:t>
            </w:r>
            <w:r>
              <w:rPr>
                <w:rFonts w:hint="eastAsia"/>
              </w:rPr>
              <w:t xml:space="preserve"> </w:t>
            </w:r>
            <w:r>
              <w:rPr>
                <w:rFonts w:hint="eastAsia"/>
              </w:rPr>
              <w:sym w:font="Wingdings 2" w:char="00A3"/>
            </w:r>
            <w:r>
              <w:rPr>
                <w:rFonts w:hint="eastAsia"/>
                <w:lang w:val="en-US" w:eastAsia="zh-CN"/>
              </w:rPr>
              <w:t>不满足</w:t>
            </w:r>
            <w:r>
              <w:rPr>
                <w:rFonts w:hint="eastAsia"/>
              </w:rPr>
              <w:t xml:space="preserve"> </w:t>
            </w:r>
            <w:bookmarkStart w:id="28" w:name="_GoBack"/>
            <w:bookmarkEnd w:id="28"/>
            <w:r>
              <w:rPr>
                <w:rFonts w:hint="eastAsia"/>
              </w:rPr>
              <w:t xml:space="preserve">  </w:t>
            </w:r>
          </w:p>
        </w:tc>
      </w:tr>
      <w:tr>
        <w:tblPrEx>
          <w:tblCellMar>
            <w:top w:w="0" w:type="dxa"/>
            <w:left w:w="108" w:type="dxa"/>
            <w:bottom w:w="0" w:type="dxa"/>
            <w:right w:w="108" w:type="dxa"/>
          </w:tblCellMar>
        </w:tblPrEx>
        <w:trPr>
          <w:trHeight w:val="811" w:hRule="atLeast"/>
          <w:jc w:val="center"/>
        </w:trPr>
        <w:tc>
          <w:tcPr>
            <w:tcW w:w="804" w:type="dxa"/>
            <w:vMerge w:val="restart"/>
            <w:tcBorders>
              <w:top w:val="single" w:color="auto" w:sz="4" w:space="0"/>
              <w:left w:val="single" w:color="auto" w:sz="4" w:space="0"/>
              <w:right w:val="single" w:color="auto" w:sz="4" w:space="0"/>
            </w:tcBorders>
            <w:vAlign w:val="center"/>
          </w:tcPr>
          <w:p>
            <w:pPr>
              <w:spacing w:line="440" w:lineRule="exact"/>
              <w:jc w:val="center"/>
            </w:pPr>
            <w:r>
              <w:rPr>
                <w:rFonts w:hint="eastAsia"/>
              </w:rPr>
              <w:t>测试结果确认</w:t>
            </w:r>
          </w:p>
        </w:tc>
        <w:tc>
          <w:tcPr>
            <w:tcW w:w="7941"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pPr>
            <w:r>
              <w:rPr>
                <w:rFonts w:hint="eastAsia"/>
              </w:rPr>
              <w:t>产品需求方：</w:t>
            </w:r>
          </w:p>
        </w:tc>
      </w:tr>
      <w:tr>
        <w:tblPrEx>
          <w:tblCellMar>
            <w:top w:w="0" w:type="dxa"/>
            <w:left w:w="108" w:type="dxa"/>
            <w:bottom w:w="0" w:type="dxa"/>
            <w:right w:w="108" w:type="dxa"/>
          </w:tblCellMar>
        </w:tblPrEx>
        <w:trPr>
          <w:trHeight w:val="749" w:hRule="atLeast"/>
          <w:jc w:val="center"/>
        </w:trPr>
        <w:tc>
          <w:tcPr>
            <w:tcW w:w="804" w:type="dxa"/>
            <w:vMerge w:val="continue"/>
            <w:tcBorders>
              <w:left w:val="single" w:color="auto" w:sz="4" w:space="0"/>
              <w:bottom w:val="single" w:color="auto" w:sz="4" w:space="0"/>
              <w:right w:val="single" w:color="auto" w:sz="4" w:space="0"/>
            </w:tcBorders>
            <w:vAlign w:val="center"/>
          </w:tcPr>
          <w:p>
            <w:pPr>
              <w:spacing w:line="440" w:lineRule="exact"/>
            </w:pPr>
          </w:p>
        </w:tc>
        <w:tc>
          <w:tcPr>
            <w:tcW w:w="7941"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pPr>
            <w:r>
              <w:rPr>
                <w:rFonts w:hint="eastAsia"/>
              </w:rPr>
              <w:t>产品供应方：</w:t>
            </w:r>
          </w:p>
        </w:tc>
      </w:tr>
    </w:tbl>
    <w:p/>
    <w:sectPr>
      <w:footerReference r:id="rId11"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9BA54C"/>
    <w:multiLevelType w:val="singleLevel"/>
    <w:tmpl w:val="E19BA54C"/>
    <w:lvl w:ilvl="0" w:tentative="0">
      <w:start w:val="1"/>
      <w:numFmt w:val="decimal"/>
      <w:pStyle w:val="2"/>
      <w:suff w:val="nothing"/>
      <w:lvlText w:val="%1."/>
      <w:lvlJc w:val="left"/>
      <w:pPr>
        <w:ind w:left="227" w:hanging="227"/>
      </w:pPr>
      <w:rPr>
        <w:rFonts w:hint="default"/>
      </w:rPr>
    </w:lvl>
  </w:abstractNum>
  <w:abstractNum w:abstractNumId="1">
    <w:nsid w:val="3BCF4164"/>
    <w:multiLevelType w:val="multilevel"/>
    <w:tmpl w:val="3BCF4164"/>
    <w:lvl w:ilvl="0" w:tentative="0">
      <w:start w:val="1"/>
      <w:numFmt w:val="decimal"/>
      <w:lvlText w:val="%1."/>
      <w:lvlJc w:val="left"/>
      <w:pPr>
        <w:ind w:left="425" w:hanging="425"/>
      </w:pPr>
    </w:lvl>
    <w:lvl w:ilvl="1" w:tentative="0">
      <w:start w:val="1"/>
      <w:numFmt w:val="decimal"/>
      <w:lvlText w:val="%1.%2."/>
      <w:lvlJc w:val="left"/>
      <w:pPr>
        <w:ind w:left="567" w:hanging="567"/>
      </w:pPr>
      <w:rPr>
        <w:rFonts w:hint="default" w:ascii="宋体" w:hAnsi="宋体" w:eastAsia="宋体" w:cs="宋体"/>
        <w:sz w:val="28"/>
        <w:szCs w:val="28"/>
      </w:rPr>
    </w:lvl>
    <w:lvl w:ilvl="2" w:tentative="0">
      <w:start w:val="1"/>
      <w:numFmt w:val="decimal"/>
      <w:suff w:val="nothing"/>
      <w:lvlText w:val="%1.%2.%3."/>
      <w:lvlJc w:val="left"/>
      <w:pPr>
        <w:ind w:left="709" w:hanging="709"/>
      </w:pPr>
      <w:rPr>
        <w:rFonts w:hint="default" w:ascii="宋体" w:hAnsi="宋体" w:eastAsia="宋体" w:cstheme="majorEastAsia"/>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72E3CF85"/>
    <w:multiLevelType w:val="singleLevel"/>
    <w:tmpl w:val="72E3CF85"/>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ZiYzUyODk4YjJkOGJlMDI3YzBjM2NmZTUxMTFjNGQifQ=="/>
  </w:docVars>
  <w:rsids>
    <w:rsidRoot w:val="00887D5D"/>
    <w:rsid w:val="00004834"/>
    <w:rsid w:val="00005E2B"/>
    <w:rsid w:val="000211D4"/>
    <w:rsid w:val="00032C30"/>
    <w:rsid w:val="000349F5"/>
    <w:rsid w:val="000374FE"/>
    <w:rsid w:val="0004537B"/>
    <w:rsid w:val="000459A4"/>
    <w:rsid w:val="0005166A"/>
    <w:rsid w:val="00053C55"/>
    <w:rsid w:val="00056799"/>
    <w:rsid w:val="00060FE2"/>
    <w:rsid w:val="000667E2"/>
    <w:rsid w:val="00074AD0"/>
    <w:rsid w:val="00074E9D"/>
    <w:rsid w:val="0007678F"/>
    <w:rsid w:val="000773CD"/>
    <w:rsid w:val="00083C0A"/>
    <w:rsid w:val="000863DE"/>
    <w:rsid w:val="00096F0E"/>
    <w:rsid w:val="00097AF8"/>
    <w:rsid w:val="000A6F4C"/>
    <w:rsid w:val="000B180B"/>
    <w:rsid w:val="000B46BE"/>
    <w:rsid w:val="000C1099"/>
    <w:rsid w:val="000D5885"/>
    <w:rsid w:val="000F04C8"/>
    <w:rsid w:val="000F3B99"/>
    <w:rsid w:val="000F7E28"/>
    <w:rsid w:val="00101A7B"/>
    <w:rsid w:val="00101F8A"/>
    <w:rsid w:val="001057D8"/>
    <w:rsid w:val="00114B3D"/>
    <w:rsid w:val="00123BAA"/>
    <w:rsid w:val="001346BD"/>
    <w:rsid w:val="00143682"/>
    <w:rsid w:val="0014389C"/>
    <w:rsid w:val="0015091C"/>
    <w:rsid w:val="00151EDA"/>
    <w:rsid w:val="00152026"/>
    <w:rsid w:val="0015245B"/>
    <w:rsid w:val="001665F8"/>
    <w:rsid w:val="00183574"/>
    <w:rsid w:val="00183737"/>
    <w:rsid w:val="0018521A"/>
    <w:rsid w:val="00186C2B"/>
    <w:rsid w:val="0019070C"/>
    <w:rsid w:val="00193B47"/>
    <w:rsid w:val="001A2C60"/>
    <w:rsid w:val="001A5673"/>
    <w:rsid w:val="001A5801"/>
    <w:rsid w:val="001A5AD9"/>
    <w:rsid w:val="001B11C9"/>
    <w:rsid w:val="001B298A"/>
    <w:rsid w:val="001B5E84"/>
    <w:rsid w:val="001B6B63"/>
    <w:rsid w:val="001B6D8B"/>
    <w:rsid w:val="001C5427"/>
    <w:rsid w:val="001C5452"/>
    <w:rsid w:val="001C69F7"/>
    <w:rsid w:val="001E0B96"/>
    <w:rsid w:val="001E78E4"/>
    <w:rsid w:val="001E79B8"/>
    <w:rsid w:val="001F1442"/>
    <w:rsid w:val="002062DB"/>
    <w:rsid w:val="002072C2"/>
    <w:rsid w:val="00211F44"/>
    <w:rsid w:val="0021320D"/>
    <w:rsid w:val="002201FF"/>
    <w:rsid w:val="00221C5C"/>
    <w:rsid w:val="002343FC"/>
    <w:rsid w:val="00234801"/>
    <w:rsid w:val="00234D46"/>
    <w:rsid w:val="00237AC4"/>
    <w:rsid w:val="00245821"/>
    <w:rsid w:val="00245F85"/>
    <w:rsid w:val="00246EFC"/>
    <w:rsid w:val="00257759"/>
    <w:rsid w:val="00263DE8"/>
    <w:rsid w:val="00272751"/>
    <w:rsid w:val="00273C62"/>
    <w:rsid w:val="00274028"/>
    <w:rsid w:val="00282B45"/>
    <w:rsid w:val="0028470A"/>
    <w:rsid w:val="00284E2F"/>
    <w:rsid w:val="00286CFE"/>
    <w:rsid w:val="002877F7"/>
    <w:rsid w:val="00291742"/>
    <w:rsid w:val="002936F5"/>
    <w:rsid w:val="002A14AC"/>
    <w:rsid w:val="002A407F"/>
    <w:rsid w:val="002B0EDC"/>
    <w:rsid w:val="002B3694"/>
    <w:rsid w:val="002C268E"/>
    <w:rsid w:val="002C6DC5"/>
    <w:rsid w:val="002C6EF6"/>
    <w:rsid w:val="002D2A0E"/>
    <w:rsid w:val="002D3549"/>
    <w:rsid w:val="002D36E3"/>
    <w:rsid w:val="002D4530"/>
    <w:rsid w:val="002D651C"/>
    <w:rsid w:val="002E054F"/>
    <w:rsid w:val="002E765B"/>
    <w:rsid w:val="002E7E42"/>
    <w:rsid w:val="002F0EE7"/>
    <w:rsid w:val="002F49B7"/>
    <w:rsid w:val="002F5951"/>
    <w:rsid w:val="003017CB"/>
    <w:rsid w:val="00302DB8"/>
    <w:rsid w:val="0030384C"/>
    <w:rsid w:val="003052DE"/>
    <w:rsid w:val="00307FE6"/>
    <w:rsid w:val="003177CB"/>
    <w:rsid w:val="00320555"/>
    <w:rsid w:val="00322E4A"/>
    <w:rsid w:val="003245DA"/>
    <w:rsid w:val="003315DA"/>
    <w:rsid w:val="00331CE0"/>
    <w:rsid w:val="00337EB0"/>
    <w:rsid w:val="0034252C"/>
    <w:rsid w:val="003459C2"/>
    <w:rsid w:val="00345BD0"/>
    <w:rsid w:val="00346542"/>
    <w:rsid w:val="0035522A"/>
    <w:rsid w:val="0036005C"/>
    <w:rsid w:val="0036466F"/>
    <w:rsid w:val="003670FE"/>
    <w:rsid w:val="00367640"/>
    <w:rsid w:val="003718BB"/>
    <w:rsid w:val="00376B80"/>
    <w:rsid w:val="003856E3"/>
    <w:rsid w:val="00386037"/>
    <w:rsid w:val="0038633C"/>
    <w:rsid w:val="003916AC"/>
    <w:rsid w:val="0039278E"/>
    <w:rsid w:val="003B13E5"/>
    <w:rsid w:val="003B2BEE"/>
    <w:rsid w:val="003B4E29"/>
    <w:rsid w:val="003C28C7"/>
    <w:rsid w:val="003C6F31"/>
    <w:rsid w:val="003D598B"/>
    <w:rsid w:val="003E5830"/>
    <w:rsid w:val="003F25ED"/>
    <w:rsid w:val="003F4E54"/>
    <w:rsid w:val="00404136"/>
    <w:rsid w:val="00405633"/>
    <w:rsid w:val="00407489"/>
    <w:rsid w:val="00416E53"/>
    <w:rsid w:val="00417D9E"/>
    <w:rsid w:val="004214ED"/>
    <w:rsid w:val="004239AA"/>
    <w:rsid w:val="00425C5E"/>
    <w:rsid w:val="004357DA"/>
    <w:rsid w:val="00441F95"/>
    <w:rsid w:val="0044456B"/>
    <w:rsid w:val="0044713A"/>
    <w:rsid w:val="004564FE"/>
    <w:rsid w:val="00461F01"/>
    <w:rsid w:val="0046408B"/>
    <w:rsid w:val="00467C77"/>
    <w:rsid w:val="00473298"/>
    <w:rsid w:val="00474FA6"/>
    <w:rsid w:val="004773EE"/>
    <w:rsid w:val="00477667"/>
    <w:rsid w:val="00481CF8"/>
    <w:rsid w:val="004854FD"/>
    <w:rsid w:val="00490151"/>
    <w:rsid w:val="00493552"/>
    <w:rsid w:val="00496B44"/>
    <w:rsid w:val="004A1302"/>
    <w:rsid w:val="004A2D52"/>
    <w:rsid w:val="004B36B3"/>
    <w:rsid w:val="004B738A"/>
    <w:rsid w:val="004B74AF"/>
    <w:rsid w:val="004C0D56"/>
    <w:rsid w:val="004C12C1"/>
    <w:rsid w:val="004C3F11"/>
    <w:rsid w:val="004D11E0"/>
    <w:rsid w:val="004D37CD"/>
    <w:rsid w:val="004D3EA9"/>
    <w:rsid w:val="004D5885"/>
    <w:rsid w:val="004E44ED"/>
    <w:rsid w:val="004E5A63"/>
    <w:rsid w:val="004E6D3A"/>
    <w:rsid w:val="004F758F"/>
    <w:rsid w:val="004F7D3A"/>
    <w:rsid w:val="005020CE"/>
    <w:rsid w:val="0050283C"/>
    <w:rsid w:val="00505F4E"/>
    <w:rsid w:val="0051063B"/>
    <w:rsid w:val="005171E6"/>
    <w:rsid w:val="005376F9"/>
    <w:rsid w:val="00540B9A"/>
    <w:rsid w:val="0054200F"/>
    <w:rsid w:val="0054249A"/>
    <w:rsid w:val="005425DE"/>
    <w:rsid w:val="005564EF"/>
    <w:rsid w:val="00556DCE"/>
    <w:rsid w:val="00561602"/>
    <w:rsid w:val="00561F68"/>
    <w:rsid w:val="00564C4E"/>
    <w:rsid w:val="005659F1"/>
    <w:rsid w:val="00566B67"/>
    <w:rsid w:val="005748F1"/>
    <w:rsid w:val="00582305"/>
    <w:rsid w:val="00582E1C"/>
    <w:rsid w:val="00583354"/>
    <w:rsid w:val="00583C3D"/>
    <w:rsid w:val="00584001"/>
    <w:rsid w:val="00584952"/>
    <w:rsid w:val="005974D7"/>
    <w:rsid w:val="0059771E"/>
    <w:rsid w:val="005A0306"/>
    <w:rsid w:val="005A1284"/>
    <w:rsid w:val="005A41AF"/>
    <w:rsid w:val="005B18C2"/>
    <w:rsid w:val="005B46E4"/>
    <w:rsid w:val="005B6789"/>
    <w:rsid w:val="005C5E26"/>
    <w:rsid w:val="005C6897"/>
    <w:rsid w:val="005C727C"/>
    <w:rsid w:val="005D477D"/>
    <w:rsid w:val="005D4FA6"/>
    <w:rsid w:val="005E2C44"/>
    <w:rsid w:val="005E3FC9"/>
    <w:rsid w:val="005E495D"/>
    <w:rsid w:val="005E52F0"/>
    <w:rsid w:val="005E5545"/>
    <w:rsid w:val="005F357F"/>
    <w:rsid w:val="005F3E5A"/>
    <w:rsid w:val="0060014A"/>
    <w:rsid w:val="006065C2"/>
    <w:rsid w:val="00610FC4"/>
    <w:rsid w:val="0061699A"/>
    <w:rsid w:val="00617C8D"/>
    <w:rsid w:val="006215C0"/>
    <w:rsid w:val="00622758"/>
    <w:rsid w:val="00626426"/>
    <w:rsid w:val="00630EAB"/>
    <w:rsid w:val="0063454C"/>
    <w:rsid w:val="00634E6A"/>
    <w:rsid w:val="0063585B"/>
    <w:rsid w:val="00637990"/>
    <w:rsid w:val="00640571"/>
    <w:rsid w:val="00642485"/>
    <w:rsid w:val="006425CB"/>
    <w:rsid w:val="0064520B"/>
    <w:rsid w:val="00646A1F"/>
    <w:rsid w:val="00647931"/>
    <w:rsid w:val="0065102F"/>
    <w:rsid w:val="0065198F"/>
    <w:rsid w:val="00652197"/>
    <w:rsid w:val="00653D27"/>
    <w:rsid w:val="00653D92"/>
    <w:rsid w:val="00655657"/>
    <w:rsid w:val="006573D3"/>
    <w:rsid w:val="0065778C"/>
    <w:rsid w:val="00661901"/>
    <w:rsid w:val="006663CE"/>
    <w:rsid w:val="00666B61"/>
    <w:rsid w:val="00666F79"/>
    <w:rsid w:val="006704AE"/>
    <w:rsid w:val="00670C01"/>
    <w:rsid w:val="00677705"/>
    <w:rsid w:val="00681FAE"/>
    <w:rsid w:val="00687679"/>
    <w:rsid w:val="00690A6E"/>
    <w:rsid w:val="00691868"/>
    <w:rsid w:val="00696533"/>
    <w:rsid w:val="006965C7"/>
    <w:rsid w:val="00696B8F"/>
    <w:rsid w:val="006978AC"/>
    <w:rsid w:val="006A2B94"/>
    <w:rsid w:val="006A2FD4"/>
    <w:rsid w:val="006A5A22"/>
    <w:rsid w:val="006A7342"/>
    <w:rsid w:val="006B755B"/>
    <w:rsid w:val="006C0943"/>
    <w:rsid w:val="006C17AE"/>
    <w:rsid w:val="006C1C0A"/>
    <w:rsid w:val="006C2012"/>
    <w:rsid w:val="006C430B"/>
    <w:rsid w:val="006C4CEF"/>
    <w:rsid w:val="006C5DC2"/>
    <w:rsid w:val="006D04ED"/>
    <w:rsid w:val="006D685A"/>
    <w:rsid w:val="006E2A96"/>
    <w:rsid w:val="006E64BB"/>
    <w:rsid w:val="006F0FCA"/>
    <w:rsid w:val="0070112B"/>
    <w:rsid w:val="007015B8"/>
    <w:rsid w:val="00703739"/>
    <w:rsid w:val="00712785"/>
    <w:rsid w:val="0071405F"/>
    <w:rsid w:val="007279C3"/>
    <w:rsid w:val="00734BD8"/>
    <w:rsid w:val="00734D3B"/>
    <w:rsid w:val="00734F8C"/>
    <w:rsid w:val="007415E7"/>
    <w:rsid w:val="00742BA3"/>
    <w:rsid w:val="007471FB"/>
    <w:rsid w:val="00752484"/>
    <w:rsid w:val="00754C86"/>
    <w:rsid w:val="00757DCA"/>
    <w:rsid w:val="00761952"/>
    <w:rsid w:val="00765896"/>
    <w:rsid w:val="0077207E"/>
    <w:rsid w:val="007768B4"/>
    <w:rsid w:val="00781F34"/>
    <w:rsid w:val="0078266F"/>
    <w:rsid w:val="007A651A"/>
    <w:rsid w:val="007B20C3"/>
    <w:rsid w:val="007C015B"/>
    <w:rsid w:val="007C4EF1"/>
    <w:rsid w:val="007C519A"/>
    <w:rsid w:val="007D34EB"/>
    <w:rsid w:val="007D385C"/>
    <w:rsid w:val="007D3FFD"/>
    <w:rsid w:val="007D4AD1"/>
    <w:rsid w:val="007D55FB"/>
    <w:rsid w:val="007D561A"/>
    <w:rsid w:val="007D5AA2"/>
    <w:rsid w:val="007D5AF1"/>
    <w:rsid w:val="007E0EDD"/>
    <w:rsid w:val="007E6819"/>
    <w:rsid w:val="007E7F17"/>
    <w:rsid w:val="007E7FFE"/>
    <w:rsid w:val="007F0486"/>
    <w:rsid w:val="007F221A"/>
    <w:rsid w:val="007F3AB9"/>
    <w:rsid w:val="007F4A26"/>
    <w:rsid w:val="007F51C2"/>
    <w:rsid w:val="0080227A"/>
    <w:rsid w:val="00805655"/>
    <w:rsid w:val="008061AC"/>
    <w:rsid w:val="008132F3"/>
    <w:rsid w:val="00830F79"/>
    <w:rsid w:val="008314C8"/>
    <w:rsid w:val="0083289A"/>
    <w:rsid w:val="00840F5E"/>
    <w:rsid w:val="00843281"/>
    <w:rsid w:val="00846E7F"/>
    <w:rsid w:val="0085026B"/>
    <w:rsid w:val="00854320"/>
    <w:rsid w:val="00863D36"/>
    <w:rsid w:val="00863DB0"/>
    <w:rsid w:val="00863F4D"/>
    <w:rsid w:val="00865F61"/>
    <w:rsid w:val="0087213B"/>
    <w:rsid w:val="00872DFA"/>
    <w:rsid w:val="00880A47"/>
    <w:rsid w:val="00883130"/>
    <w:rsid w:val="00887D5D"/>
    <w:rsid w:val="00890E3F"/>
    <w:rsid w:val="0089211C"/>
    <w:rsid w:val="008925ED"/>
    <w:rsid w:val="00893904"/>
    <w:rsid w:val="00894025"/>
    <w:rsid w:val="0089659F"/>
    <w:rsid w:val="008A0366"/>
    <w:rsid w:val="008A1D36"/>
    <w:rsid w:val="008A6F33"/>
    <w:rsid w:val="008B2BD9"/>
    <w:rsid w:val="008B5954"/>
    <w:rsid w:val="008C2972"/>
    <w:rsid w:val="008C3CA6"/>
    <w:rsid w:val="008C63CD"/>
    <w:rsid w:val="008D02AB"/>
    <w:rsid w:val="008D25BA"/>
    <w:rsid w:val="008D3987"/>
    <w:rsid w:val="008D77DC"/>
    <w:rsid w:val="008E050E"/>
    <w:rsid w:val="008E5481"/>
    <w:rsid w:val="008F0820"/>
    <w:rsid w:val="008F5DAC"/>
    <w:rsid w:val="009025CC"/>
    <w:rsid w:val="0090626B"/>
    <w:rsid w:val="00910117"/>
    <w:rsid w:val="0091779D"/>
    <w:rsid w:val="00921142"/>
    <w:rsid w:val="009215E8"/>
    <w:rsid w:val="00922D8E"/>
    <w:rsid w:val="00923287"/>
    <w:rsid w:val="00924C3B"/>
    <w:rsid w:val="00926A60"/>
    <w:rsid w:val="0093458F"/>
    <w:rsid w:val="00935DE5"/>
    <w:rsid w:val="00940940"/>
    <w:rsid w:val="009426E9"/>
    <w:rsid w:val="00950FA2"/>
    <w:rsid w:val="00957E61"/>
    <w:rsid w:val="0096019C"/>
    <w:rsid w:val="00966C9D"/>
    <w:rsid w:val="00971E23"/>
    <w:rsid w:val="00974C32"/>
    <w:rsid w:val="00974E0F"/>
    <w:rsid w:val="009756BD"/>
    <w:rsid w:val="009814A8"/>
    <w:rsid w:val="00982F0F"/>
    <w:rsid w:val="00983708"/>
    <w:rsid w:val="00984109"/>
    <w:rsid w:val="00984357"/>
    <w:rsid w:val="009923D8"/>
    <w:rsid w:val="00992F14"/>
    <w:rsid w:val="00997CEA"/>
    <w:rsid w:val="00997E75"/>
    <w:rsid w:val="009A05A0"/>
    <w:rsid w:val="009A2440"/>
    <w:rsid w:val="009A2DC3"/>
    <w:rsid w:val="009A3817"/>
    <w:rsid w:val="009A3AD2"/>
    <w:rsid w:val="009A570F"/>
    <w:rsid w:val="009A5D44"/>
    <w:rsid w:val="009A6000"/>
    <w:rsid w:val="009B0821"/>
    <w:rsid w:val="009B5094"/>
    <w:rsid w:val="009B6A68"/>
    <w:rsid w:val="009C0D44"/>
    <w:rsid w:val="009C34EA"/>
    <w:rsid w:val="009C48D4"/>
    <w:rsid w:val="009C763D"/>
    <w:rsid w:val="009D5366"/>
    <w:rsid w:val="009D7013"/>
    <w:rsid w:val="009D76E0"/>
    <w:rsid w:val="009D7EB8"/>
    <w:rsid w:val="009E2A5B"/>
    <w:rsid w:val="009E3338"/>
    <w:rsid w:val="009F5C93"/>
    <w:rsid w:val="009F7555"/>
    <w:rsid w:val="00A003F1"/>
    <w:rsid w:val="00A04C29"/>
    <w:rsid w:val="00A0527B"/>
    <w:rsid w:val="00A057A8"/>
    <w:rsid w:val="00A0653C"/>
    <w:rsid w:val="00A12843"/>
    <w:rsid w:val="00A1351B"/>
    <w:rsid w:val="00A162EC"/>
    <w:rsid w:val="00A203DA"/>
    <w:rsid w:val="00A2380A"/>
    <w:rsid w:val="00A240FD"/>
    <w:rsid w:val="00A300E5"/>
    <w:rsid w:val="00A3126D"/>
    <w:rsid w:val="00A32046"/>
    <w:rsid w:val="00A326D3"/>
    <w:rsid w:val="00A32D3F"/>
    <w:rsid w:val="00A32DD2"/>
    <w:rsid w:val="00A427B5"/>
    <w:rsid w:val="00A4373D"/>
    <w:rsid w:val="00A45F65"/>
    <w:rsid w:val="00A6211E"/>
    <w:rsid w:val="00A62992"/>
    <w:rsid w:val="00A77222"/>
    <w:rsid w:val="00A80593"/>
    <w:rsid w:val="00A84BCA"/>
    <w:rsid w:val="00A85867"/>
    <w:rsid w:val="00A938B0"/>
    <w:rsid w:val="00A96A55"/>
    <w:rsid w:val="00A975CF"/>
    <w:rsid w:val="00AA4B9B"/>
    <w:rsid w:val="00AA70EC"/>
    <w:rsid w:val="00AB3AAE"/>
    <w:rsid w:val="00AB4C63"/>
    <w:rsid w:val="00AB6B78"/>
    <w:rsid w:val="00AB752C"/>
    <w:rsid w:val="00AC304A"/>
    <w:rsid w:val="00AC5863"/>
    <w:rsid w:val="00AE1B4C"/>
    <w:rsid w:val="00AE2DE5"/>
    <w:rsid w:val="00AE6515"/>
    <w:rsid w:val="00AE702F"/>
    <w:rsid w:val="00AE7293"/>
    <w:rsid w:val="00AF33AF"/>
    <w:rsid w:val="00AF420D"/>
    <w:rsid w:val="00AF65E3"/>
    <w:rsid w:val="00B06BBC"/>
    <w:rsid w:val="00B14F23"/>
    <w:rsid w:val="00B32D0B"/>
    <w:rsid w:val="00B35B13"/>
    <w:rsid w:val="00B367CE"/>
    <w:rsid w:val="00B3796D"/>
    <w:rsid w:val="00B40998"/>
    <w:rsid w:val="00B5187B"/>
    <w:rsid w:val="00B52C4D"/>
    <w:rsid w:val="00B5560A"/>
    <w:rsid w:val="00B5647B"/>
    <w:rsid w:val="00B57FF7"/>
    <w:rsid w:val="00B61C4F"/>
    <w:rsid w:val="00B626AE"/>
    <w:rsid w:val="00B657F9"/>
    <w:rsid w:val="00B66CBF"/>
    <w:rsid w:val="00B678D9"/>
    <w:rsid w:val="00B70C28"/>
    <w:rsid w:val="00B74C12"/>
    <w:rsid w:val="00B821C1"/>
    <w:rsid w:val="00B83995"/>
    <w:rsid w:val="00B858A3"/>
    <w:rsid w:val="00B870A5"/>
    <w:rsid w:val="00B912AC"/>
    <w:rsid w:val="00B95898"/>
    <w:rsid w:val="00BA15CF"/>
    <w:rsid w:val="00BA19EE"/>
    <w:rsid w:val="00BA57C9"/>
    <w:rsid w:val="00BA5ABC"/>
    <w:rsid w:val="00BA6F1B"/>
    <w:rsid w:val="00BB1EE5"/>
    <w:rsid w:val="00BD1143"/>
    <w:rsid w:val="00BD1769"/>
    <w:rsid w:val="00BD2C78"/>
    <w:rsid w:val="00BD793F"/>
    <w:rsid w:val="00BD7F97"/>
    <w:rsid w:val="00BE0D5A"/>
    <w:rsid w:val="00BE591D"/>
    <w:rsid w:val="00BF3E92"/>
    <w:rsid w:val="00BF4A38"/>
    <w:rsid w:val="00BF6124"/>
    <w:rsid w:val="00BF7710"/>
    <w:rsid w:val="00BF7860"/>
    <w:rsid w:val="00C014BF"/>
    <w:rsid w:val="00C0305D"/>
    <w:rsid w:val="00C05973"/>
    <w:rsid w:val="00C059D7"/>
    <w:rsid w:val="00C11A14"/>
    <w:rsid w:val="00C133B6"/>
    <w:rsid w:val="00C21B10"/>
    <w:rsid w:val="00C41630"/>
    <w:rsid w:val="00C43124"/>
    <w:rsid w:val="00C4478E"/>
    <w:rsid w:val="00C46297"/>
    <w:rsid w:val="00C46D71"/>
    <w:rsid w:val="00C47337"/>
    <w:rsid w:val="00C53DA9"/>
    <w:rsid w:val="00C563AC"/>
    <w:rsid w:val="00C5726A"/>
    <w:rsid w:val="00C609E1"/>
    <w:rsid w:val="00C65C83"/>
    <w:rsid w:val="00C679AB"/>
    <w:rsid w:val="00C767FF"/>
    <w:rsid w:val="00C77E01"/>
    <w:rsid w:val="00C81B6F"/>
    <w:rsid w:val="00C8655F"/>
    <w:rsid w:val="00C86C4E"/>
    <w:rsid w:val="00CA2233"/>
    <w:rsid w:val="00CA30E3"/>
    <w:rsid w:val="00CA3EE6"/>
    <w:rsid w:val="00CB3098"/>
    <w:rsid w:val="00CB47AF"/>
    <w:rsid w:val="00CB5673"/>
    <w:rsid w:val="00CB69D9"/>
    <w:rsid w:val="00CB7F17"/>
    <w:rsid w:val="00CC4B16"/>
    <w:rsid w:val="00CC4F19"/>
    <w:rsid w:val="00CD0AA8"/>
    <w:rsid w:val="00CD2763"/>
    <w:rsid w:val="00CD2CF3"/>
    <w:rsid w:val="00CD3B9A"/>
    <w:rsid w:val="00CD58AC"/>
    <w:rsid w:val="00CD5C0A"/>
    <w:rsid w:val="00CE040C"/>
    <w:rsid w:val="00CE098E"/>
    <w:rsid w:val="00CE3898"/>
    <w:rsid w:val="00CE6552"/>
    <w:rsid w:val="00CF10FF"/>
    <w:rsid w:val="00CF5C31"/>
    <w:rsid w:val="00D03548"/>
    <w:rsid w:val="00D063F0"/>
    <w:rsid w:val="00D068DD"/>
    <w:rsid w:val="00D1592F"/>
    <w:rsid w:val="00D20EAE"/>
    <w:rsid w:val="00D217C9"/>
    <w:rsid w:val="00D21B43"/>
    <w:rsid w:val="00D2224C"/>
    <w:rsid w:val="00D22F9F"/>
    <w:rsid w:val="00D27E0D"/>
    <w:rsid w:val="00D30D0D"/>
    <w:rsid w:val="00D3171C"/>
    <w:rsid w:val="00D31DE7"/>
    <w:rsid w:val="00D32849"/>
    <w:rsid w:val="00D35798"/>
    <w:rsid w:val="00D42840"/>
    <w:rsid w:val="00D42E5C"/>
    <w:rsid w:val="00D4617A"/>
    <w:rsid w:val="00D511C8"/>
    <w:rsid w:val="00D52BEB"/>
    <w:rsid w:val="00D546E4"/>
    <w:rsid w:val="00D6029F"/>
    <w:rsid w:val="00D6085F"/>
    <w:rsid w:val="00D64447"/>
    <w:rsid w:val="00D73639"/>
    <w:rsid w:val="00D75032"/>
    <w:rsid w:val="00D77AF6"/>
    <w:rsid w:val="00D808D6"/>
    <w:rsid w:val="00D8568C"/>
    <w:rsid w:val="00D8713D"/>
    <w:rsid w:val="00D92BFA"/>
    <w:rsid w:val="00D93CA2"/>
    <w:rsid w:val="00D96546"/>
    <w:rsid w:val="00DA00C5"/>
    <w:rsid w:val="00DA2116"/>
    <w:rsid w:val="00DA31B0"/>
    <w:rsid w:val="00DA3E85"/>
    <w:rsid w:val="00DA411B"/>
    <w:rsid w:val="00DA51CD"/>
    <w:rsid w:val="00DB419C"/>
    <w:rsid w:val="00DC005B"/>
    <w:rsid w:val="00DD16FE"/>
    <w:rsid w:val="00DD3D5A"/>
    <w:rsid w:val="00DD4F48"/>
    <w:rsid w:val="00DE2831"/>
    <w:rsid w:val="00DE338C"/>
    <w:rsid w:val="00DE7447"/>
    <w:rsid w:val="00DF0EF7"/>
    <w:rsid w:val="00E00D0F"/>
    <w:rsid w:val="00E01F7B"/>
    <w:rsid w:val="00E029D6"/>
    <w:rsid w:val="00E052B1"/>
    <w:rsid w:val="00E069F5"/>
    <w:rsid w:val="00E1351E"/>
    <w:rsid w:val="00E1586A"/>
    <w:rsid w:val="00E17698"/>
    <w:rsid w:val="00E2107A"/>
    <w:rsid w:val="00E24060"/>
    <w:rsid w:val="00E272F5"/>
    <w:rsid w:val="00E308E3"/>
    <w:rsid w:val="00E324C7"/>
    <w:rsid w:val="00E3484C"/>
    <w:rsid w:val="00E46C3C"/>
    <w:rsid w:val="00E47A40"/>
    <w:rsid w:val="00E52BF1"/>
    <w:rsid w:val="00E648A1"/>
    <w:rsid w:val="00E66F4B"/>
    <w:rsid w:val="00E74E72"/>
    <w:rsid w:val="00E8275B"/>
    <w:rsid w:val="00E827BF"/>
    <w:rsid w:val="00E84924"/>
    <w:rsid w:val="00E87E7D"/>
    <w:rsid w:val="00E90210"/>
    <w:rsid w:val="00E92F57"/>
    <w:rsid w:val="00E93885"/>
    <w:rsid w:val="00E94B1A"/>
    <w:rsid w:val="00E94FE0"/>
    <w:rsid w:val="00EA2A6B"/>
    <w:rsid w:val="00EA2BD0"/>
    <w:rsid w:val="00EA479A"/>
    <w:rsid w:val="00EA57E1"/>
    <w:rsid w:val="00EB0CE4"/>
    <w:rsid w:val="00EB148C"/>
    <w:rsid w:val="00EB278C"/>
    <w:rsid w:val="00EB2D17"/>
    <w:rsid w:val="00EC192A"/>
    <w:rsid w:val="00EC29A6"/>
    <w:rsid w:val="00EC71AC"/>
    <w:rsid w:val="00ED28A3"/>
    <w:rsid w:val="00ED4694"/>
    <w:rsid w:val="00ED529B"/>
    <w:rsid w:val="00EE002C"/>
    <w:rsid w:val="00EE02A8"/>
    <w:rsid w:val="00EE70B0"/>
    <w:rsid w:val="00EF0A69"/>
    <w:rsid w:val="00EF3D1F"/>
    <w:rsid w:val="00EF42C3"/>
    <w:rsid w:val="00EF7D75"/>
    <w:rsid w:val="00EF7E7F"/>
    <w:rsid w:val="00F01EDB"/>
    <w:rsid w:val="00F067C9"/>
    <w:rsid w:val="00F132C9"/>
    <w:rsid w:val="00F13739"/>
    <w:rsid w:val="00F13996"/>
    <w:rsid w:val="00F14177"/>
    <w:rsid w:val="00F147D8"/>
    <w:rsid w:val="00F203F0"/>
    <w:rsid w:val="00F23568"/>
    <w:rsid w:val="00F2562A"/>
    <w:rsid w:val="00F25EC9"/>
    <w:rsid w:val="00F35556"/>
    <w:rsid w:val="00F418A6"/>
    <w:rsid w:val="00F41F5F"/>
    <w:rsid w:val="00F44FA8"/>
    <w:rsid w:val="00F44FE4"/>
    <w:rsid w:val="00F51BA3"/>
    <w:rsid w:val="00F550CE"/>
    <w:rsid w:val="00F575C0"/>
    <w:rsid w:val="00F650C0"/>
    <w:rsid w:val="00F66B02"/>
    <w:rsid w:val="00F7137C"/>
    <w:rsid w:val="00F71474"/>
    <w:rsid w:val="00F714EF"/>
    <w:rsid w:val="00F75AA2"/>
    <w:rsid w:val="00F801C0"/>
    <w:rsid w:val="00F829B3"/>
    <w:rsid w:val="00F86513"/>
    <w:rsid w:val="00F87B8D"/>
    <w:rsid w:val="00F920F1"/>
    <w:rsid w:val="00F9365C"/>
    <w:rsid w:val="00F9422E"/>
    <w:rsid w:val="00FA05E9"/>
    <w:rsid w:val="00FA0837"/>
    <w:rsid w:val="00FA0B77"/>
    <w:rsid w:val="00FA48C7"/>
    <w:rsid w:val="00FB53D3"/>
    <w:rsid w:val="00FC0249"/>
    <w:rsid w:val="00FC0691"/>
    <w:rsid w:val="00FC0C30"/>
    <w:rsid w:val="00FC3F6F"/>
    <w:rsid w:val="00FC58C6"/>
    <w:rsid w:val="00FC6FA3"/>
    <w:rsid w:val="00FC77EA"/>
    <w:rsid w:val="00FD3C70"/>
    <w:rsid w:val="00FD5494"/>
    <w:rsid w:val="00FE5E1F"/>
    <w:rsid w:val="00FF7A1E"/>
    <w:rsid w:val="030E1A3C"/>
    <w:rsid w:val="0627193B"/>
    <w:rsid w:val="0EB977F0"/>
    <w:rsid w:val="0EF94909"/>
    <w:rsid w:val="140D5DB5"/>
    <w:rsid w:val="18CA70D5"/>
    <w:rsid w:val="194123CC"/>
    <w:rsid w:val="1B0F3D8A"/>
    <w:rsid w:val="1FDA2BB7"/>
    <w:rsid w:val="26AD4DC0"/>
    <w:rsid w:val="26B01846"/>
    <w:rsid w:val="2D66027E"/>
    <w:rsid w:val="338B7891"/>
    <w:rsid w:val="338C07DC"/>
    <w:rsid w:val="33A25965"/>
    <w:rsid w:val="35B02A74"/>
    <w:rsid w:val="3A633EFE"/>
    <w:rsid w:val="40BF6EE6"/>
    <w:rsid w:val="40CD06A0"/>
    <w:rsid w:val="43610097"/>
    <w:rsid w:val="46157479"/>
    <w:rsid w:val="462F55E2"/>
    <w:rsid w:val="466B0DF4"/>
    <w:rsid w:val="49481A5E"/>
    <w:rsid w:val="4DFB24BD"/>
    <w:rsid w:val="4EE35708"/>
    <w:rsid w:val="50DA4426"/>
    <w:rsid w:val="5A7E0A06"/>
    <w:rsid w:val="5B786FB4"/>
    <w:rsid w:val="5BFA7B12"/>
    <w:rsid w:val="5C8A7A55"/>
    <w:rsid w:val="62F629BA"/>
    <w:rsid w:val="635B5BEB"/>
    <w:rsid w:val="654269AA"/>
    <w:rsid w:val="673C6BC9"/>
    <w:rsid w:val="6A386990"/>
    <w:rsid w:val="71767990"/>
    <w:rsid w:val="71905160"/>
    <w:rsid w:val="737A621E"/>
    <w:rsid w:val="75BB3D09"/>
    <w:rsid w:val="7DB31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pPr>
    <w:rPr>
      <w:rFonts w:ascii="Times New Roman" w:hAnsi="Times New Roman" w:eastAsia="宋体" w:cs="Times New Roman"/>
      <w:sz w:val="21"/>
      <w:lang w:val="en-US" w:eastAsia="zh-CN" w:bidi="ar-SA"/>
    </w:rPr>
  </w:style>
  <w:style w:type="paragraph" w:styleId="2">
    <w:name w:val="heading 1"/>
    <w:basedOn w:val="1"/>
    <w:next w:val="1"/>
    <w:link w:val="30"/>
    <w:qFormat/>
    <w:uiPriority w:val="9"/>
    <w:pPr>
      <w:keepNext/>
      <w:keepLines/>
      <w:numPr>
        <w:ilvl w:val="0"/>
        <w:numId w:val="1"/>
      </w:numPr>
      <w:spacing w:before="340" w:after="330" w:line="578" w:lineRule="atLeast"/>
      <w:outlineLvl w:val="0"/>
    </w:pPr>
    <w:rPr>
      <w:b/>
      <w:bCs/>
      <w:kern w:val="44"/>
      <w:sz w:val="32"/>
      <w:szCs w:val="44"/>
    </w:rPr>
  </w:style>
  <w:style w:type="paragraph" w:styleId="3">
    <w:name w:val="heading 2"/>
    <w:basedOn w:val="1"/>
    <w:next w:val="1"/>
    <w:link w:val="37"/>
    <w:unhideWhenUsed/>
    <w:qFormat/>
    <w:uiPriority w:val="9"/>
    <w:pPr>
      <w:keepNext/>
      <w:keepLines/>
      <w:spacing w:before="260" w:after="260" w:line="416" w:lineRule="atLeast"/>
      <w:outlineLvl w:val="1"/>
    </w:pPr>
    <w:rPr>
      <w:rFonts w:asciiTheme="majorHAnsi" w:hAnsiTheme="majorHAnsi" w:eastAsiaTheme="majorEastAsia" w:cstheme="majorBidi"/>
      <w:b/>
      <w:bCs/>
      <w:sz w:val="28"/>
      <w:szCs w:val="32"/>
    </w:rPr>
  </w:style>
  <w:style w:type="paragraph" w:styleId="4">
    <w:name w:val="heading 3"/>
    <w:basedOn w:val="1"/>
    <w:next w:val="1"/>
    <w:link w:val="25"/>
    <w:unhideWhenUsed/>
    <w:qFormat/>
    <w:uiPriority w:val="9"/>
    <w:pPr>
      <w:keepNext/>
      <w:keepLines/>
      <w:adjustRightInd/>
      <w:spacing w:before="260" w:after="260" w:line="415" w:lineRule="auto"/>
      <w:outlineLvl w:val="2"/>
    </w:pPr>
    <w:rPr>
      <w:rFonts w:asciiTheme="minorHAnsi" w:hAnsiTheme="minorHAnsi" w:eastAsiaTheme="minorEastAsia" w:cstheme="minorBidi"/>
      <w:b/>
      <w:bCs/>
      <w:kern w:val="2"/>
      <w:sz w:val="24"/>
      <w:szCs w:val="32"/>
    </w:rPr>
  </w:style>
  <w:style w:type="paragraph" w:styleId="5">
    <w:name w:val="heading 4"/>
    <w:basedOn w:val="1"/>
    <w:next w:val="1"/>
    <w:link w:val="33"/>
    <w:unhideWhenUsed/>
    <w:qFormat/>
    <w:uiPriority w:val="9"/>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6">
    <w:name w:val="heading 5"/>
    <w:basedOn w:val="1"/>
    <w:next w:val="1"/>
    <w:link w:val="34"/>
    <w:unhideWhenUsed/>
    <w:qFormat/>
    <w:uiPriority w:val="9"/>
    <w:pPr>
      <w:keepNext/>
      <w:keepLines/>
      <w:spacing w:before="280" w:after="290" w:line="376" w:lineRule="atLeast"/>
      <w:outlineLvl w:val="4"/>
    </w:pPr>
    <w:rPr>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adjustRightInd/>
      <w:spacing w:line="240" w:lineRule="auto"/>
      <w:ind w:left="2520" w:leftChars="1200"/>
    </w:pPr>
    <w:rPr>
      <w:rFonts w:asciiTheme="minorHAnsi" w:hAnsiTheme="minorHAnsi" w:eastAsiaTheme="minorEastAsia" w:cstheme="minorBidi"/>
      <w:kern w:val="2"/>
      <w:szCs w:val="22"/>
    </w:rPr>
  </w:style>
  <w:style w:type="paragraph" w:styleId="8">
    <w:name w:val="toc 5"/>
    <w:basedOn w:val="1"/>
    <w:next w:val="1"/>
    <w:unhideWhenUsed/>
    <w:qFormat/>
    <w:uiPriority w:val="39"/>
    <w:pPr>
      <w:adjustRightInd/>
      <w:spacing w:line="240" w:lineRule="auto"/>
      <w:ind w:left="1680" w:leftChars="800"/>
    </w:pPr>
    <w:rPr>
      <w:rFonts w:asciiTheme="minorHAnsi" w:hAnsiTheme="minorHAnsi" w:eastAsiaTheme="minorEastAsia" w:cstheme="minorBidi"/>
      <w:kern w:val="2"/>
      <w:szCs w:val="22"/>
    </w:rPr>
  </w:style>
  <w:style w:type="paragraph" w:styleId="9">
    <w:name w:val="toc 3"/>
    <w:basedOn w:val="1"/>
    <w:next w:val="1"/>
    <w:unhideWhenUsed/>
    <w:qFormat/>
    <w:uiPriority w:val="39"/>
    <w:pPr>
      <w:tabs>
        <w:tab w:val="right" w:leader="dot" w:pos="8306"/>
      </w:tabs>
      <w:snapToGrid w:val="0"/>
      <w:spacing w:line="160" w:lineRule="atLeast"/>
      <w:ind w:left="200" w:leftChars="200"/>
    </w:pPr>
    <w:rPr>
      <w:rFonts w:ascii="微软雅黑" w:hAnsi="微软雅黑"/>
      <w:szCs w:val="24"/>
    </w:rPr>
  </w:style>
  <w:style w:type="paragraph" w:styleId="10">
    <w:name w:val="toc 8"/>
    <w:basedOn w:val="1"/>
    <w:next w:val="1"/>
    <w:unhideWhenUsed/>
    <w:qFormat/>
    <w:uiPriority w:val="39"/>
    <w:pPr>
      <w:adjustRightInd/>
      <w:spacing w:line="240" w:lineRule="auto"/>
      <w:ind w:left="2940" w:leftChars="1400"/>
    </w:pPr>
    <w:rPr>
      <w:rFonts w:asciiTheme="minorHAnsi" w:hAnsiTheme="minorHAnsi" w:eastAsiaTheme="minorEastAsia" w:cstheme="minorBidi"/>
      <w:kern w:val="2"/>
      <w:szCs w:val="22"/>
    </w:rPr>
  </w:style>
  <w:style w:type="paragraph" w:styleId="11">
    <w:name w:val="Date"/>
    <w:basedOn w:val="1"/>
    <w:next w:val="1"/>
    <w:link w:val="29"/>
    <w:semiHidden/>
    <w:unhideWhenUsed/>
    <w:qFormat/>
    <w:uiPriority w:val="99"/>
    <w:pPr>
      <w:ind w:left="100" w:leftChars="2500"/>
    </w:pPr>
  </w:style>
  <w:style w:type="paragraph" w:styleId="12">
    <w:name w:val="Balloon Text"/>
    <w:basedOn w:val="1"/>
    <w:link w:val="32"/>
    <w:semiHidden/>
    <w:unhideWhenUsed/>
    <w:qFormat/>
    <w:uiPriority w:val="99"/>
    <w:pPr>
      <w:spacing w:line="240" w:lineRule="auto"/>
    </w:pPr>
    <w:rPr>
      <w:sz w:val="18"/>
      <w:szCs w:val="18"/>
    </w:rPr>
  </w:style>
  <w:style w:type="paragraph" w:styleId="13">
    <w:name w:val="footer"/>
    <w:basedOn w:val="1"/>
    <w:link w:val="36"/>
    <w:unhideWhenUsed/>
    <w:qFormat/>
    <w:uiPriority w:val="99"/>
    <w:pPr>
      <w:tabs>
        <w:tab w:val="center" w:pos="4153"/>
        <w:tab w:val="right" w:pos="8306"/>
      </w:tabs>
      <w:snapToGrid w:val="0"/>
      <w:spacing w:line="240" w:lineRule="atLeast"/>
      <w:jc w:val="left"/>
    </w:pPr>
    <w:rPr>
      <w:sz w:val="18"/>
      <w:szCs w:val="18"/>
    </w:rPr>
  </w:style>
  <w:style w:type="paragraph" w:styleId="14">
    <w:name w:val="header"/>
    <w:basedOn w:val="1"/>
    <w:link w:val="35"/>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unhideWhenUsed/>
    <w:qFormat/>
    <w:uiPriority w:val="39"/>
    <w:pPr>
      <w:tabs>
        <w:tab w:val="left" w:pos="1050"/>
        <w:tab w:val="right" w:leader="dot" w:pos="8295"/>
      </w:tabs>
      <w:snapToGrid w:val="0"/>
      <w:spacing w:line="360" w:lineRule="atLeast"/>
    </w:pPr>
    <w:rPr>
      <w:b/>
      <w:sz w:val="28"/>
    </w:rPr>
  </w:style>
  <w:style w:type="paragraph" w:styleId="16">
    <w:name w:val="toc 4"/>
    <w:basedOn w:val="1"/>
    <w:next w:val="1"/>
    <w:unhideWhenUsed/>
    <w:qFormat/>
    <w:uiPriority w:val="39"/>
    <w:pPr>
      <w:ind w:left="1260" w:leftChars="600"/>
    </w:pPr>
  </w:style>
  <w:style w:type="paragraph" w:styleId="17">
    <w:name w:val="toc 6"/>
    <w:basedOn w:val="1"/>
    <w:next w:val="1"/>
    <w:unhideWhenUsed/>
    <w:qFormat/>
    <w:uiPriority w:val="39"/>
    <w:pPr>
      <w:adjustRightInd/>
      <w:spacing w:line="240" w:lineRule="auto"/>
      <w:ind w:left="2100" w:leftChars="1000"/>
    </w:pPr>
    <w:rPr>
      <w:rFonts w:asciiTheme="minorHAnsi" w:hAnsiTheme="minorHAnsi" w:eastAsiaTheme="minorEastAsia" w:cstheme="minorBidi"/>
      <w:kern w:val="2"/>
      <w:szCs w:val="22"/>
    </w:rPr>
  </w:style>
  <w:style w:type="paragraph" w:styleId="18">
    <w:name w:val="toc 2"/>
    <w:basedOn w:val="1"/>
    <w:next w:val="1"/>
    <w:unhideWhenUsed/>
    <w:qFormat/>
    <w:uiPriority w:val="39"/>
    <w:pPr>
      <w:tabs>
        <w:tab w:val="left" w:pos="1050"/>
        <w:tab w:val="right" w:leader="dot" w:pos="8296"/>
      </w:tabs>
      <w:ind w:left="420" w:leftChars="200"/>
    </w:pPr>
    <w:rPr>
      <w:b/>
      <w:sz w:val="24"/>
    </w:rPr>
  </w:style>
  <w:style w:type="paragraph" w:styleId="19">
    <w:name w:val="toc 9"/>
    <w:basedOn w:val="1"/>
    <w:next w:val="1"/>
    <w:unhideWhenUsed/>
    <w:qFormat/>
    <w:uiPriority w:val="39"/>
    <w:pPr>
      <w:adjustRightInd/>
      <w:spacing w:line="240" w:lineRule="auto"/>
      <w:ind w:left="3360" w:leftChars="1600"/>
    </w:pPr>
    <w:rPr>
      <w:rFonts w:asciiTheme="minorHAnsi" w:hAnsiTheme="minorHAnsi" w:eastAsiaTheme="minorEastAsia" w:cstheme="minorBidi"/>
      <w:kern w:val="2"/>
      <w:szCs w:val="22"/>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unhideWhenUsed/>
    <w:qFormat/>
    <w:uiPriority w:val="99"/>
    <w:rPr>
      <w:color w:val="0563C1" w:themeColor="hyperlink"/>
      <w:u w:val="single"/>
      <w14:textFill>
        <w14:solidFill>
          <w14:schemeClr w14:val="hlink"/>
        </w14:solidFill>
      </w14:textFill>
    </w:rPr>
  </w:style>
  <w:style w:type="paragraph" w:styleId="24">
    <w:name w:val="List Paragraph"/>
    <w:basedOn w:val="1"/>
    <w:link w:val="41"/>
    <w:qFormat/>
    <w:uiPriority w:val="34"/>
    <w:pPr>
      <w:ind w:firstLine="420" w:firstLineChars="200"/>
    </w:pPr>
  </w:style>
  <w:style w:type="character" w:customStyle="1" w:styleId="25">
    <w:name w:val="标题 3 字符"/>
    <w:basedOn w:val="22"/>
    <w:link w:val="4"/>
    <w:qFormat/>
    <w:uiPriority w:val="9"/>
    <w:rPr>
      <w:rFonts w:asciiTheme="minorHAnsi" w:hAnsiTheme="minorHAnsi" w:eastAsiaTheme="minorEastAsia"/>
      <w:b/>
      <w:bCs/>
      <w:sz w:val="24"/>
      <w:szCs w:val="32"/>
    </w:rPr>
  </w:style>
  <w:style w:type="paragraph" w:customStyle="1" w:styleId="26">
    <w:name w:val="msonormal"/>
    <w:basedOn w:val="1"/>
    <w:qFormat/>
    <w:uiPriority w:val="0"/>
    <w:pPr>
      <w:widowControl/>
      <w:adjustRightInd/>
      <w:spacing w:before="100" w:beforeAutospacing="1" w:after="100" w:afterAutospacing="1" w:line="240" w:lineRule="auto"/>
      <w:jc w:val="left"/>
    </w:pPr>
    <w:rPr>
      <w:rFonts w:ascii="宋体" w:hAnsi="宋体" w:cs="宋体"/>
      <w:sz w:val="24"/>
      <w:szCs w:val="24"/>
    </w:rPr>
  </w:style>
  <w:style w:type="character" w:customStyle="1" w:styleId="27">
    <w:name w:val="Text Char"/>
    <w:link w:val="28"/>
    <w:qFormat/>
    <w:locked/>
    <w:uiPriority w:val="0"/>
    <w:rPr>
      <w:rFonts w:ascii="Arial" w:hAnsi="Arial" w:cs="Arial"/>
      <w:szCs w:val="21"/>
    </w:rPr>
  </w:style>
  <w:style w:type="paragraph" w:customStyle="1" w:styleId="28">
    <w:name w:val="Text"/>
    <w:basedOn w:val="1"/>
    <w:link w:val="27"/>
    <w:qFormat/>
    <w:uiPriority w:val="0"/>
    <w:pPr>
      <w:widowControl/>
      <w:adjustRightInd/>
      <w:snapToGrid w:val="0"/>
      <w:spacing w:before="80" w:after="80" w:line="240" w:lineRule="auto"/>
    </w:pPr>
    <w:rPr>
      <w:rFonts w:ascii="Arial" w:hAnsi="Arial" w:cs="Arial" w:eastAsiaTheme="minorEastAsia"/>
      <w:kern w:val="2"/>
      <w:szCs w:val="21"/>
    </w:rPr>
  </w:style>
  <w:style w:type="character" w:customStyle="1" w:styleId="29">
    <w:name w:val="日期 字符"/>
    <w:basedOn w:val="22"/>
    <w:link w:val="11"/>
    <w:semiHidden/>
    <w:qFormat/>
    <w:uiPriority w:val="99"/>
    <w:rPr>
      <w:rFonts w:ascii="Times New Roman" w:hAnsi="Times New Roman" w:eastAsia="宋体" w:cs="Times New Roman"/>
      <w:kern w:val="0"/>
      <w:szCs w:val="20"/>
    </w:rPr>
  </w:style>
  <w:style w:type="character" w:customStyle="1" w:styleId="30">
    <w:name w:val="标题 1 字符"/>
    <w:basedOn w:val="22"/>
    <w:link w:val="2"/>
    <w:qFormat/>
    <w:uiPriority w:val="9"/>
    <w:rPr>
      <w:rFonts w:ascii="Times New Roman" w:hAnsi="Times New Roman" w:eastAsia="宋体" w:cs="Times New Roman"/>
      <w:b/>
      <w:bCs/>
      <w:kern w:val="44"/>
      <w:sz w:val="32"/>
      <w:szCs w:val="44"/>
    </w:rPr>
  </w:style>
  <w:style w:type="paragraph" w:customStyle="1" w:styleId="31">
    <w:name w:val="TOC 标题1"/>
    <w:basedOn w:val="2"/>
    <w:next w:val="1"/>
    <w:unhideWhenUsed/>
    <w:qFormat/>
    <w:uiPriority w:val="39"/>
    <w:pPr>
      <w:widowControl/>
      <w:adjustRightInd/>
      <w:spacing w:before="240" w:after="0" w:line="259" w:lineRule="auto"/>
      <w:jc w:val="left"/>
      <w:outlineLvl w:val="9"/>
    </w:pPr>
    <w:rPr>
      <w:rFonts w:asciiTheme="majorHAnsi" w:hAnsiTheme="majorHAnsi" w:eastAsiaTheme="majorEastAsia" w:cstheme="majorBidi"/>
      <w:b w:val="0"/>
      <w:bCs w:val="0"/>
      <w:color w:val="2E75B6" w:themeColor="accent1" w:themeShade="BF"/>
      <w:kern w:val="0"/>
      <w:szCs w:val="32"/>
    </w:rPr>
  </w:style>
  <w:style w:type="character" w:customStyle="1" w:styleId="32">
    <w:name w:val="批注框文本 字符"/>
    <w:basedOn w:val="22"/>
    <w:link w:val="12"/>
    <w:semiHidden/>
    <w:qFormat/>
    <w:uiPriority w:val="99"/>
    <w:rPr>
      <w:rFonts w:ascii="Times New Roman" w:hAnsi="Times New Roman" w:eastAsia="宋体" w:cs="Times New Roman"/>
      <w:kern w:val="0"/>
      <w:sz w:val="18"/>
      <w:szCs w:val="18"/>
    </w:rPr>
  </w:style>
  <w:style w:type="character" w:customStyle="1" w:styleId="33">
    <w:name w:val="标题 4 字符"/>
    <w:basedOn w:val="22"/>
    <w:link w:val="5"/>
    <w:qFormat/>
    <w:uiPriority w:val="9"/>
    <w:rPr>
      <w:rFonts w:asciiTheme="majorHAnsi" w:hAnsiTheme="majorHAnsi" w:eastAsiaTheme="majorEastAsia" w:cstheme="majorBidi"/>
      <w:b/>
      <w:bCs/>
      <w:kern w:val="0"/>
      <w:sz w:val="28"/>
      <w:szCs w:val="28"/>
    </w:rPr>
  </w:style>
  <w:style w:type="character" w:customStyle="1" w:styleId="34">
    <w:name w:val="标题 5 字符"/>
    <w:basedOn w:val="22"/>
    <w:link w:val="6"/>
    <w:qFormat/>
    <w:uiPriority w:val="9"/>
    <w:rPr>
      <w:rFonts w:ascii="Times New Roman" w:hAnsi="Times New Roman" w:eastAsia="宋体" w:cs="Times New Roman"/>
      <w:b/>
      <w:bCs/>
      <w:kern w:val="0"/>
      <w:sz w:val="28"/>
      <w:szCs w:val="28"/>
    </w:rPr>
  </w:style>
  <w:style w:type="character" w:customStyle="1" w:styleId="35">
    <w:name w:val="页眉 字符"/>
    <w:basedOn w:val="22"/>
    <w:link w:val="14"/>
    <w:qFormat/>
    <w:uiPriority w:val="99"/>
    <w:rPr>
      <w:rFonts w:ascii="Times New Roman" w:hAnsi="Times New Roman" w:eastAsia="宋体" w:cs="Times New Roman"/>
      <w:kern w:val="0"/>
      <w:sz w:val="18"/>
      <w:szCs w:val="18"/>
    </w:rPr>
  </w:style>
  <w:style w:type="character" w:customStyle="1" w:styleId="36">
    <w:name w:val="页脚 字符"/>
    <w:basedOn w:val="22"/>
    <w:link w:val="13"/>
    <w:qFormat/>
    <w:uiPriority w:val="99"/>
    <w:rPr>
      <w:rFonts w:ascii="Times New Roman" w:hAnsi="Times New Roman" w:eastAsia="宋体" w:cs="Times New Roman"/>
      <w:kern w:val="0"/>
      <w:sz w:val="18"/>
      <w:szCs w:val="18"/>
    </w:rPr>
  </w:style>
  <w:style w:type="character" w:customStyle="1" w:styleId="37">
    <w:name w:val="标题 2 字符"/>
    <w:basedOn w:val="22"/>
    <w:link w:val="3"/>
    <w:semiHidden/>
    <w:qFormat/>
    <w:uiPriority w:val="9"/>
    <w:rPr>
      <w:rFonts w:asciiTheme="majorHAnsi" w:hAnsiTheme="majorHAnsi" w:eastAsiaTheme="majorEastAsia" w:cstheme="majorBidi"/>
      <w:b/>
      <w:bCs/>
      <w:kern w:val="0"/>
      <w:sz w:val="28"/>
      <w:szCs w:val="32"/>
    </w:rPr>
  </w:style>
  <w:style w:type="character" w:customStyle="1" w:styleId="38">
    <w:name w:val="未处理的提及1"/>
    <w:basedOn w:val="22"/>
    <w:semiHidden/>
    <w:unhideWhenUsed/>
    <w:qFormat/>
    <w:uiPriority w:val="99"/>
    <w:rPr>
      <w:color w:val="605E5C"/>
      <w:shd w:val="clear" w:color="auto" w:fill="E1DFDD"/>
    </w:rPr>
  </w:style>
  <w:style w:type="paragraph" w:customStyle="1" w:styleId="39">
    <w:name w:val="正文1"/>
    <w:basedOn w:val="1"/>
    <w:link w:val="40"/>
    <w:qFormat/>
    <w:uiPriority w:val="0"/>
    <w:pPr>
      <w:adjustRightInd/>
      <w:spacing w:line="240" w:lineRule="auto"/>
    </w:pPr>
    <w:rPr>
      <w:rFonts w:asciiTheme="minorHAnsi" w:hAnsiTheme="minorHAnsi" w:eastAsiaTheme="minorEastAsia" w:cstheme="minorBidi"/>
      <w:kern w:val="2"/>
      <w:szCs w:val="22"/>
    </w:rPr>
  </w:style>
  <w:style w:type="character" w:customStyle="1" w:styleId="40">
    <w:name w:val="正文1 字符"/>
    <w:basedOn w:val="22"/>
    <w:link w:val="39"/>
    <w:qFormat/>
    <w:uiPriority w:val="0"/>
  </w:style>
  <w:style w:type="character" w:customStyle="1" w:styleId="41">
    <w:name w:val="列表段落 字符"/>
    <w:link w:val="24"/>
    <w:qFormat/>
    <w:locked/>
    <w:uiPriority w:val="34"/>
    <w:rPr>
      <w:rFonts w:ascii="Times New Roman" w:hAnsi="Times New Roman" w:eastAsia="宋体" w:cs="Times New Roman"/>
      <w:kern w:val="0"/>
      <w:szCs w:val="20"/>
    </w:rPr>
  </w:style>
  <w:style w:type="paragraph" w:customStyle="1" w:styleId="42">
    <w:name w:val="WPSOffice手动目录 1"/>
    <w:qFormat/>
    <w:uiPriority w:val="0"/>
    <w:rPr>
      <w:rFonts w:asciiTheme="minorHAnsi" w:hAnsiTheme="minorHAnsi" w:eastAsiaTheme="minorEastAsia" w:cstheme="minorBidi"/>
      <w:lang w:val="en-US" w:eastAsia="zh-CN" w:bidi="ar-SA"/>
    </w:rPr>
  </w:style>
  <w:style w:type="paragraph" w:customStyle="1" w:styleId="43">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44">
    <w:name w:val="WPSOffice手动目录 3"/>
    <w:qFormat/>
    <w:uiPriority w:val="0"/>
    <w:pPr>
      <w:ind w:left="400" w:leftChars="400"/>
    </w:pPr>
    <w:rPr>
      <w:rFonts w:asciiTheme="minorHAnsi" w:hAnsiTheme="minorHAnsi" w:eastAsiaTheme="minorEastAsia" w:cstheme="minorBidi"/>
      <w:lang w:val="en-US" w:eastAsia="zh-CN" w:bidi="ar-SA"/>
    </w:rPr>
  </w:style>
  <w:style w:type="paragraph" w:customStyle="1" w:styleId="45">
    <w:name w:val="表格样式"/>
    <w:basedOn w:val="1"/>
    <w:qFormat/>
    <w:uiPriority w:val="0"/>
    <w:pPr>
      <w:spacing w:line="300" w:lineRule="auto"/>
      <w:jc w:val="center"/>
      <w:textAlignment w:val="baseline"/>
    </w:pPr>
  </w:style>
  <w:style w:type="paragraph" w:customStyle="1" w:styleId="46">
    <w:name w:val="TOC 标题2"/>
    <w:basedOn w:val="2"/>
    <w:next w:val="1"/>
    <w:unhideWhenUsed/>
    <w:qFormat/>
    <w:uiPriority w:val="39"/>
    <w:pPr>
      <w:widowControl/>
      <w:numPr>
        <w:numId w:val="0"/>
      </w:numPr>
      <w:adjustRightInd/>
      <w:spacing w:before="240" w:after="0" w:line="259" w:lineRule="auto"/>
      <w:jc w:val="left"/>
      <w:outlineLvl w:val="9"/>
    </w:pPr>
    <w:rPr>
      <w:rFonts w:asciiTheme="majorHAnsi" w:hAnsiTheme="majorHAnsi" w:eastAsiaTheme="majorEastAsia" w:cstheme="majorBidi"/>
      <w:b w:val="0"/>
      <w:bCs w:val="0"/>
      <w:color w:val="2E75B6" w:themeColor="accent1" w:themeShade="BF"/>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BDD8A6-63AC-4E5A-BD58-38925E499973}">
  <ds:schemaRefs/>
</ds:datastoreItem>
</file>

<file path=docProps/app.xml><?xml version="1.0" encoding="utf-8"?>
<Properties xmlns="http://schemas.openxmlformats.org/officeDocument/2006/extended-properties" xmlns:vt="http://schemas.openxmlformats.org/officeDocument/2006/docPropsVTypes">
  <Template>Normal</Template>
  <Pages>34</Pages>
  <Words>6299</Words>
  <Characters>6934</Characters>
  <Lines>1273</Lines>
  <Paragraphs>1400</Paragraphs>
  <TotalTime>0</TotalTime>
  <ScaleCrop>false</ScaleCrop>
  <LinksUpToDate>false</LinksUpToDate>
  <CharactersWithSpaces>7636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2023-04-13T09:40:00Z</dcterms:created>
  <dc:creator>Agnes Gong</dc:creator>
  <cp:lastModifiedBy>应兴力</cp:lastModifiedBy>
  <dcterms:modified xsi:type="dcterms:W3CDTF">2026-07-14T01:07:42Z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4D467491E47B41169B943A2652010145_13</vt:lpwstr>
  </property>
  <property fmtid="{D5CDD505-2E9C-101B-9397-08002B2CF9AE}" pid="4" name="KSOTemplateDocerSaveRecord">
    <vt:lpwstr>eyJoZGlkIjoiMzEwNTM5NzYwMDRjMzkwZTVkZjY2ODkwMGIxNGU0OTUiLCJ1c2VySWQiOiIxMjIzMzUwMzEyIn0=</vt:lpwstr>
  </property>
</Properties>
</file>