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Z7003226000095</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2026年03月18日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857,055,235.00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100.16%</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中粮信托有限责任公司,江苏省国际信托有限责任公司,光大永明资产管理股份有限公司,紫金信托有限责任公司,国投泰康信托有限公司,五矿国际信托有限公司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2026年03月18日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NYXY000038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479,123,106.47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1.0073</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NYXY000039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203,073,149.62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NYXY000040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119,054,659.61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NYXY000045</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23,372,837.92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NYXY000049</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15,501,750.93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NYXY000050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1,161,903.77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NYXY000118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12,173,165.71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NYXY000120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10,079,467.35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000038份额净值为1.0073元，NYXY000039份额净值为1.0076元，NYXY000040份额净值为1.0079元，NYXY000045份额净值为1.0080元，NYXY000049份额净值为1.0079元，NYXY000050份额净值为1.0077元，NYXY000118份额净值为1.0078元，NYXY000120份额净值为1.0079</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91.72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8.28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XTDKX202603270006</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中粮信托·栗泽19号集合资金信托计划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261,787,570.20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30.32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201,493,962.40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23.33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88,709,273.50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10.27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87,093,392.77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光大永明-景华6号资产支持计划第2期优先A级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60,067,454.35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55,061,750.87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6.38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39,156,216.52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4.53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ZCZQT202603260023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光大永明-景华6号资产支持计划第2期优先C级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35,038,983.41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24,604,918.43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ZCZQT202603260001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光大永明-景华6号资产支持计划第1期优先A级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10,011,242.39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光大永明-景华6号资产支持计划第1期优先A级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光大永明-景华6号资产支持计划第2期优先A级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光大永明-景华6号资产支持计划第2期优先B级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光大永明-景华6号资产支持计划第2期优先C级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274</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云瀚信息科技有限公司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中粮信托·栗泽19号集合资金信托计划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273</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利随本清</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0101020000004355</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282317867.33</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300000000.00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20894.27</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2071.03</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1342.61</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