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南银理财珠联璧合鑫逸稳一年242期封闭式公募人民币理财产品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南银理财珠联璧合鑫逸稳一年242期封闭式公募人民币理财产品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Z7003225000334</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2025年10月10日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378,969,398.00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100.10%</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国投泰康信托有限公司,五矿国际信托有限公司,紫金信托有限责任公司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Y30242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151,563,243.17</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1.0180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1.0180</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7,180.00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Y31242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98,449,807.96</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1.0186</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1.0186</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Y32242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112,661,179.19</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1.0194</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1.0194</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Y35242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15,623,421.41</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1.0182</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1.0182</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Y36242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1,828,229.41</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1.0185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1.0185</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YB30242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5,910,452.94</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1.0196</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1.0196</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Y30242份额净值为1.0180元，Y31242份额净值为1.0186元，Y32242份额净值为1.0194元，Y35242份额净值为1.0182元，Y36242份额净值为1.0185元，YB30242份额净值为1.0196</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97.23</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89.12</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10.88</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2.77</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ZJQTT202312130001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紫金信托合盛1号集合资金信托计划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276,050,224.48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71.51</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ZJQTT202401040001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五矿信托-苏鑫1号集合资金信托计划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59,510,469.99</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15.42</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38,301,840.44</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9.92</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10,687,988.89</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2.77</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ZCZQT202510220001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建信保险资管-浦江惠盈3号资产支持计划第4期优先A级</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0.00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0.00</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0101040000001780</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南银理财珠联璧合鑫逸稳一年242期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紫金信托有限责任公司</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紫金信托合盛1号集合资金信托计划</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ZJQTT202312130001</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256161107.60</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273000000.00</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49491.08</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2323.58</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日照银行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10423.53</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