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tabs>
          <w:tab w:val="left" w:pos="1470"/>
        </w:tabs>
        <w:spacing w:line="540" w:lineRule="atLeast"/>
        <w:jc w:val="center"/>
        <w:rPr>
          <w:rFonts w:ascii="宋体" w:hAnsi="宋体"/>
          <w:b/>
          <w:sz w:val="30"/>
          <w:szCs w:val="30"/>
        </w:rPr>
      </w:pPr>
      <w:bookmarkStart w:id="0" w:name="_Hlk204693869"/>
      <w:r>
        <w:rPr>
          <w:rFonts w:hint="eastAsia" w:ascii="宋体" w:hAnsi="宋体"/>
          <w:b/>
          <w:sz w:val="30"/>
          <w:szCs w:val="30"/>
        </w:rPr>
        <w:t>关于</w:t>
      </w:r>
      <w:bookmarkStart w:id="1" w:name="Text2"/>
      <w:r>
        <w:rPr>
          <w:rFonts w:hint="eastAsia" w:ascii="宋体" w:hAnsi="宋体"/>
          <w:b/>
          <w:sz w:val="30"/>
          <w:szCs w:val="30"/>
          <w:lang w:val="en-US" w:eastAsia="zh-CN"/>
        </w:rPr>
        <w:t>调整</w:t>
      </w:r>
      <w:r>
        <w:rPr>
          <w:rFonts w:hint="eastAsia" w:ascii="宋体" w:hAnsi="宋体" w:eastAsia="宋体" w:cs="宋体"/>
          <w:b/>
          <w:kern w:val="0"/>
          <w:sz w:val="30"/>
          <w:szCs w:val="30"/>
          <w:lang w:val="en-US" w:eastAsia="zh-CN" w:bidi="ar-SA"/>
        </w:rPr>
        <w:fldChar w:fldCharType="begin">
          <w:ffData>
            <w:name w:val="Text2"/>
            <w:enabled/>
            <w:calcOnExit w:val="0"/>
            <w:textInput>
              <w:default w:val="民生理财存续开放式理财产品"/>
            </w:textInput>
          </w:ffData>
        </w:fldChar>
      </w:r>
      <w:r>
        <w:rPr>
          <w:rFonts w:hint="eastAsia" w:ascii="宋体" w:hAnsi="宋体" w:eastAsia="宋体" w:cs="宋体"/>
          <w:b/>
          <w:kern w:val="0"/>
          <w:sz w:val="30"/>
          <w:szCs w:val="30"/>
          <w:lang w:val="en-US" w:eastAsia="zh-CN" w:bidi="ar-SA"/>
        </w:rPr>
        <w:instrText xml:space="preserve">FORMTEXT</w:instrText>
      </w:r>
      <w:r>
        <w:rPr>
          <w:rFonts w:hint="eastAsia" w:ascii="宋体" w:hAnsi="宋体" w:eastAsia="宋体" w:cs="宋体"/>
          <w:b/>
          <w:kern w:val="0"/>
          <w:sz w:val="30"/>
          <w:szCs w:val="30"/>
          <w:lang w:val="en-US" w:eastAsia="zh-CN" w:bidi="ar-SA"/>
        </w:rPr>
        <w:fldChar w:fldCharType="separate"/>
      </w:r>
      <w:r>
        <w:rPr>
          <w:rFonts w:hint="eastAsia" w:ascii="宋体" w:hAnsi="宋体" w:eastAsia="宋体" w:cs="宋体"/>
          <w:b/>
          <w:kern w:val="0"/>
          <w:sz w:val="30"/>
          <w:szCs w:val="30"/>
          <w:lang w:val="en-US" w:eastAsia="zh-CN" w:bidi="ar-SA"/>
        </w:rPr>
        <w:t>民生理财存续开放式理财产品</w:t>
      </w:r>
      <w:r>
        <w:rPr>
          <w:rFonts w:hint="eastAsia" w:ascii="宋体" w:hAnsi="宋体" w:eastAsia="宋体" w:cs="宋体"/>
          <w:b/>
          <w:kern w:val="0"/>
          <w:sz w:val="30"/>
          <w:szCs w:val="30"/>
          <w:lang w:val="en-US" w:eastAsia="zh-CN" w:bidi="ar-SA"/>
        </w:rPr>
        <w:fldChar w:fldCharType="end"/>
      </w:r>
      <w:bookmarkEnd w:id="1"/>
      <w:bookmarkStart w:id="11" w:name="_GoBack"/>
      <w:bookmarkEnd w:id="11"/>
    </w:p>
    <w:p>
      <w:pPr>
        <w:pStyle w:val="10"/>
        <w:tabs>
          <w:tab w:val="left" w:pos="1470"/>
        </w:tabs>
        <w:spacing w:line="540" w:lineRule="atLeast"/>
        <w:jc w:val="center"/>
        <w:rPr>
          <w:rFonts w:ascii="宋体" w:hAnsi="宋体"/>
          <w:b/>
          <w:sz w:val="30"/>
          <w:szCs w:val="30"/>
        </w:rPr>
      </w:pPr>
      <w:r>
        <w:rPr>
          <w:rFonts w:hint="eastAsia" w:ascii="宋体" w:hAnsi="宋体"/>
          <w:b/>
          <w:sz w:val="30"/>
          <w:szCs w:val="30"/>
        </w:rPr>
        <w:t>合同</w:t>
      </w:r>
      <w:r>
        <w:rPr>
          <w:rFonts w:hint="eastAsia" w:ascii="宋体" w:hAnsi="宋体"/>
          <w:b/>
          <w:sz w:val="30"/>
          <w:szCs w:val="30"/>
          <w:lang w:val="en-US" w:eastAsia="zh-CN"/>
        </w:rPr>
        <w:t>条款</w:t>
      </w:r>
      <w:r>
        <w:rPr>
          <w:rFonts w:hint="eastAsia" w:ascii="宋体" w:hAnsi="宋体"/>
          <w:b/>
          <w:sz w:val="30"/>
          <w:szCs w:val="30"/>
        </w:rPr>
        <w:t>的公告</w:t>
      </w:r>
    </w:p>
    <w:bookmarkEnd w:id="0"/>
    <w:p>
      <w:pPr>
        <w:pStyle w:val="10"/>
        <w:spacing w:line="360" w:lineRule="auto"/>
        <w:rPr>
          <w:rFonts w:asciiTheme="minorEastAsia" w:hAnsiTheme="minorEastAsia" w:eastAsiaTheme="minorEastAsia"/>
        </w:rPr>
      </w:pPr>
    </w:p>
    <w:p>
      <w:pPr>
        <w:pStyle w:val="10"/>
        <w:spacing w:line="360" w:lineRule="auto"/>
        <w:rPr>
          <w:rFonts w:cs="仿宋" w:asciiTheme="minorEastAsia" w:hAnsiTheme="minorEastAsia" w:eastAsiaTheme="minorEastAsia"/>
        </w:rPr>
      </w:pPr>
      <w:r>
        <w:rPr>
          <w:rFonts w:hint="eastAsia" w:cs="仿宋" w:asciiTheme="minorEastAsia" w:hAnsiTheme="minorEastAsia" w:eastAsiaTheme="minorEastAsia"/>
        </w:rPr>
        <w:t>尊敬的投资者：</w:t>
      </w:r>
    </w:p>
    <w:p>
      <w:pPr>
        <w:spacing w:line="360" w:lineRule="auto"/>
        <w:ind w:firstLine="420" w:firstLineChars="200"/>
        <w:jc w:val="left"/>
        <w:rPr>
          <w:rFonts w:asciiTheme="minorEastAsia" w:hAnsiTheme="minorEastAsia" w:eastAsiaTheme="minorEastAsia"/>
          <w:bCs/>
          <w:szCs w:val="21"/>
        </w:rPr>
      </w:pPr>
      <w:r>
        <w:rPr>
          <w:rFonts w:hint="eastAsia" w:ascii="宋体" w:hAnsi="宋体" w:cs="宋体"/>
          <w:b w:val="0"/>
          <w:bCs/>
          <w:kern w:val="2"/>
          <w:sz w:val="21"/>
          <w:szCs w:val="21"/>
          <w:lang w:val="en-US" w:eastAsia="zh-CN" w:bidi="ar-SA"/>
        </w:rPr>
        <w:t>因《银行保险机构资产管理产品信息披露管理办法》将于2026年9月1日起实施，为满足监管要求，</w:t>
      </w:r>
      <w:r>
        <w:rPr>
          <w:rFonts w:hint="eastAsia" w:cs="仿宋" w:asciiTheme="minorEastAsia" w:hAnsiTheme="minorEastAsia" w:eastAsiaTheme="minorEastAsia"/>
          <w:szCs w:val="21"/>
        </w:rPr>
        <w:t>我司计划</w:t>
      </w:r>
      <w:bookmarkStart w:id="2" w:name="XX机构"/>
      <w:r>
        <w:rPr>
          <w:rFonts w:hint="eastAsia" w:cs="仿宋" w:asciiTheme="minorEastAsia" w:hAnsiTheme="minorEastAsia" w:eastAsiaTheme="minorEastAsia"/>
          <w:szCs w:val="21"/>
        </w:rPr>
        <w:t>自</w:t>
      </w:r>
      <w:bookmarkEnd w:id="2"/>
      <w:bookmarkStart w:id="3" w:name="Text1"/>
      <w:r>
        <w:rPr>
          <w:rFonts w:hint="eastAsia" w:cs="仿宋" w:asciiTheme="minorEastAsia" w:hAnsiTheme="minorEastAsia" w:eastAsiaTheme="minorEastAsia"/>
          <w:bCs/>
          <w:kern w:val="2"/>
          <w:sz w:val="21"/>
          <w:szCs w:val="21"/>
          <w:lang w:val="en-US" w:eastAsia="zh-CN" w:bidi="ar-SA"/>
        </w:rPr>
        <w:fldChar w:fldCharType="begin">
          <w:ffData>
            <w:name w:val="Text1"/>
            <w:enabled/>
            <w:calcOnExit w:val="0"/>
            <w:textInput>
              <w:default w:val="2026年8月24日"/>
            </w:textInput>
          </w:ffData>
        </w:fldChar>
      </w:r>
      <w:r>
        <w:rPr>
          <w:rFonts w:hint="eastAsia" w:cs="仿宋" w:asciiTheme="minorEastAsia" w:hAnsiTheme="minorEastAsia" w:eastAsiaTheme="minorEastAsia"/>
          <w:bCs/>
          <w:kern w:val="2"/>
          <w:sz w:val="21"/>
          <w:szCs w:val="21"/>
          <w:lang w:val="en-US" w:eastAsia="zh-CN" w:bidi="ar-SA"/>
        </w:rPr>
        <w:instrText xml:space="preserve">FORMTEXT</w:instrText>
      </w:r>
      <w:r>
        <w:rPr>
          <w:rFonts w:hint="eastAsia" w:cs="仿宋" w:asciiTheme="minorEastAsia" w:hAnsiTheme="minorEastAsia" w:eastAsiaTheme="minorEastAsia"/>
          <w:bCs/>
          <w:kern w:val="2"/>
          <w:sz w:val="21"/>
          <w:szCs w:val="21"/>
          <w:lang w:val="en-US" w:eastAsia="zh-CN" w:bidi="ar-SA"/>
        </w:rPr>
        <w:fldChar w:fldCharType="separate"/>
      </w:r>
      <w:r>
        <w:rPr>
          <w:rFonts w:hint="eastAsia" w:cs="仿宋" w:asciiTheme="minorEastAsia" w:hAnsiTheme="minorEastAsia" w:eastAsiaTheme="minorEastAsia"/>
          <w:bCs/>
          <w:kern w:val="2"/>
          <w:sz w:val="21"/>
          <w:szCs w:val="21"/>
          <w:lang w:val="en-US" w:eastAsia="zh-CN" w:bidi="ar-SA"/>
        </w:rPr>
        <w:t>2026年8月24日</w:t>
      </w:r>
      <w:r>
        <w:rPr>
          <w:rFonts w:hint="eastAsia" w:cs="仿宋" w:asciiTheme="minorEastAsia" w:hAnsiTheme="minorEastAsia" w:eastAsiaTheme="minorEastAsia"/>
          <w:bCs/>
          <w:kern w:val="2"/>
          <w:sz w:val="21"/>
          <w:szCs w:val="21"/>
          <w:lang w:val="en-US" w:eastAsia="zh-CN" w:bidi="ar-SA"/>
        </w:rPr>
        <w:fldChar w:fldCharType="end"/>
      </w:r>
      <w:bookmarkEnd w:id="3"/>
      <w:r>
        <w:rPr>
          <w:rFonts w:hint="eastAsia" w:cs="仿宋" w:asciiTheme="minorEastAsia" w:hAnsiTheme="minorEastAsia" w:eastAsiaTheme="minorEastAsia"/>
          <w:bCs/>
          <w:szCs w:val="21"/>
        </w:rPr>
        <w:t>起对</w:t>
      </w:r>
      <w:bookmarkStart w:id="4" w:name="Text3"/>
      <w:r>
        <w:rPr>
          <w:rFonts w:hint="eastAsia" w:cs="仿宋" w:asciiTheme="minorEastAsia" w:hAnsiTheme="minorEastAsia" w:eastAsiaTheme="minorEastAsia"/>
          <w:bCs/>
          <w:kern w:val="2"/>
          <w:sz w:val="21"/>
          <w:szCs w:val="21"/>
          <w:lang w:val="en-US" w:eastAsia="zh-CN" w:bidi="ar-SA"/>
        </w:rPr>
        <w:fldChar w:fldCharType="begin">
          <w:ffData>
            <w:name w:val="Text3"/>
            <w:enabled/>
            <w:calcOnExit w:val="0"/>
            <w:textInput>
              <w:default w:val="存续开放式理财产品"/>
            </w:textInput>
          </w:ffData>
        </w:fldChar>
      </w:r>
      <w:r>
        <w:rPr>
          <w:rFonts w:hint="eastAsia" w:cs="仿宋" w:asciiTheme="minorEastAsia" w:hAnsiTheme="minorEastAsia" w:eastAsiaTheme="minorEastAsia"/>
          <w:bCs/>
          <w:kern w:val="2"/>
          <w:sz w:val="21"/>
          <w:szCs w:val="21"/>
          <w:lang w:val="en-US" w:eastAsia="zh-CN" w:bidi="ar-SA"/>
        </w:rPr>
        <w:instrText xml:space="preserve">FORMTEXT</w:instrText>
      </w:r>
      <w:r>
        <w:rPr>
          <w:rFonts w:hint="eastAsia" w:cs="仿宋" w:asciiTheme="minorEastAsia" w:hAnsiTheme="minorEastAsia" w:eastAsiaTheme="minorEastAsia"/>
          <w:bCs/>
          <w:kern w:val="2"/>
          <w:sz w:val="21"/>
          <w:szCs w:val="21"/>
          <w:lang w:val="en-US" w:eastAsia="zh-CN" w:bidi="ar-SA"/>
        </w:rPr>
        <w:fldChar w:fldCharType="separate"/>
      </w:r>
      <w:r>
        <w:rPr>
          <w:rFonts w:hint="eastAsia" w:cs="仿宋" w:asciiTheme="minorEastAsia" w:hAnsiTheme="minorEastAsia" w:eastAsiaTheme="minorEastAsia"/>
          <w:bCs/>
          <w:kern w:val="2"/>
          <w:sz w:val="21"/>
          <w:szCs w:val="21"/>
          <w:lang w:val="en-US" w:eastAsia="zh-CN" w:bidi="ar-SA"/>
        </w:rPr>
        <w:t>存续开放式理财产品</w:t>
      </w:r>
      <w:r>
        <w:rPr>
          <w:rFonts w:hint="eastAsia" w:cs="仿宋" w:asciiTheme="minorEastAsia" w:hAnsiTheme="minorEastAsia" w:eastAsiaTheme="minorEastAsia"/>
          <w:bCs/>
          <w:kern w:val="2"/>
          <w:sz w:val="21"/>
          <w:szCs w:val="21"/>
          <w:lang w:val="en-US" w:eastAsia="zh-CN" w:bidi="ar-SA"/>
        </w:rPr>
        <w:fldChar w:fldCharType="end"/>
      </w:r>
      <w:bookmarkEnd w:id="4"/>
      <w:r>
        <w:rPr>
          <w:rFonts w:hint="eastAsia" w:cs="仿宋" w:asciiTheme="minorEastAsia" w:hAnsiTheme="minorEastAsia" w:eastAsiaTheme="minorEastAsia"/>
          <w:bCs/>
          <w:szCs w:val="21"/>
          <w:lang w:val="en-US" w:eastAsia="zh-CN"/>
        </w:rPr>
        <w:t>的合同条款</w:t>
      </w:r>
      <w:r>
        <w:rPr>
          <w:rFonts w:hint="eastAsia" w:cs="宋体" w:asciiTheme="minorEastAsia" w:hAnsiTheme="minorEastAsia" w:eastAsiaTheme="minorEastAsia"/>
          <w:bCs/>
          <w:szCs w:val="21"/>
        </w:rPr>
        <w:t>进行</w:t>
      </w:r>
      <w:r>
        <w:rPr>
          <w:rFonts w:hint="eastAsia" w:cs="宋体" w:asciiTheme="minorEastAsia" w:hAnsiTheme="minorEastAsia" w:eastAsiaTheme="minorEastAsia"/>
          <w:bCs/>
          <w:szCs w:val="21"/>
          <w:lang w:val="en-US" w:eastAsia="zh-CN"/>
        </w:rPr>
        <w:t>统一</w:t>
      </w:r>
      <w:r>
        <w:rPr>
          <w:rFonts w:hint="eastAsia" w:cs="宋体" w:asciiTheme="minorEastAsia" w:hAnsiTheme="minorEastAsia" w:eastAsiaTheme="minorEastAsia"/>
          <w:bCs/>
          <w:szCs w:val="21"/>
        </w:rPr>
        <w:t>优化</w:t>
      </w:r>
      <w:r>
        <w:rPr>
          <w:rFonts w:hint="eastAsia" w:asciiTheme="minorEastAsia" w:hAnsiTheme="minorEastAsia" w:eastAsiaTheme="minorEastAsia"/>
          <w:bCs/>
          <w:szCs w:val="21"/>
        </w:rPr>
        <w:t>，</w:t>
      </w:r>
      <w:r>
        <w:rPr>
          <w:rFonts w:hint="eastAsia" w:asciiTheme="minorEastAsia" w:hAnsiTheme="minorEastAsia" w:eastAsiaTheme="minorEastAsia"/>
          <w:bCs/>
          <w:szCs w:val="21"/>
          <w:lang w:val="en-US" w:eastAsia="zh-CN"/>
        </w:rPr>
        <w:t>主要调整事项</w:t>
      </w:r>
      <w:r>
        <w:rPr>
          <w:rFonts w:hint="eastAsia" w:asciiTheme="minorEastAsia" w:hAnsiTheme="minorEastAsia" w:eastAsiaTheme="minorEastAsia"/>
          <w:bCs/>
          <w:szCs w:val="21"/>
        </w:rPr>
        <w:t>如下：</w:t>
      </w:r>
    </w:p>
    <w:p>
      <w:pPr>
        <w:pStyle w:val="2"/>
      </w:pPr>
    </w:p>
    <w:p>
      <w:pPr>
        <w:spacing w:line="360" w:lineRule="auto"/>
        <w:ind w:firstLine="422" w:firstLineChars="200"/>
        <w:jc w:val="left"/>
        <w:rPr>
          <w:rFonts w:hint="eastAsia" w:asciiTheme="minorEastAsia" w:hAnsiTheme="minorEastAsia" w:eastAsiaTheme="minorEastAsia"/>
          <w:b/>
          <w:bCs/>
          <w:szCs w:val="21"/>
          <w:lang w:val="en-US" w:eastAsia="zh-CN"/>
        </w:rPr>
      </w:pPr>
      <w:r>
        <w:rPr>
          <w:rFonts w:hint="eastAsia" w:asciiTheme="minorEastAsia" w:hAnsiTheme="minorEastAsia" w:eastAsiaTheme="minorEastAsia"/>
          <w:b/>
          <w:bCs/>
          <w:szCs w:val="21"/>
        </w:rPr>
        <w:t>一、</w:t>
      </w:r>
      <w:r>
        <w:rPr>
          <w:rFonts w:hint="eastAsia" w:asciiTheme="minorEastAsia" w:hAnsiTheme="minorEastAsia" w:eastAsiaTheme="minorEastAsia"/>
          <w:b/>
          <w:bCs/>
          <w:szCs w:val="21"/>
          <w:lang w:val="en-US" w:eastAsia="zh-CN"/>
        </w:rPr>
        <w:t>完善理财产品的风险揭示及说明</w:t>
      </w:r>
    </w:p>
    <w:p>
      <w:pPr>
        <w:spacing w:line="360" w:lineRule="auto"/>
        <w:ind w:firstLine="420" w:firstLineChars="200"/>
        <w:jc w:val="left"/>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在</w:t>
      </w:r>
      <w:r>
        <w:rPr>
          <w:rFonts w:hint="eastAsia" w:asciiTheme="minorEastAsia" w:hAnsiTheme="minorEastAsia" w:eastAsiaTheme="minorEastAsia"/>
          <w:szCs w:val="21"/>
        </w:rPr>
        <w:t>《理财产品</w:t>
      </w:r>
      <w:r>
        <w:rPr>
          <w:rFonts w:hint="eastAsia" w:asciiTheme="minorEastAsia" w:hAnsiTheme="minorEastAsia" w:eastAsiaTheme="minorEastAsia"/>
          <w:szCs w:val="21"/>
          <w:lang w:val="en-US" w:eastAsia="zh-CN"/>
        </w:rPr>
        <w:t>说明书</w:t>
      </w:r>
      <w:r>
        <w:rPr>
          <w:rFonts w:hint="eastAsia" w:asciiTheme="minorEastAsia" w:hAnsiTheme="minorEastAsia" w:eastAsiaTheme="minorEastAsia"/>
          <w:szCs w:val="21"/>
        </w:rPr>
        <w:t>》</w:t>
      </w:r>
      <w:r>
        <w:rPr>
          <w:rFonts w:hint="eastAsia" w:asciiTheme="minorEastAsia" w:hAnsiTheme="minorEastAsia" w:eastAsiaTheme="minorEastAsia"/>
          <w:szCs w:val="21"/>
          <w:lang w:val="en-US" w:eastAsia="zh-CN"/>
        </w:rPr>
        <w:t>中，新增对于理财产品面临的各类主要风险、风险管理措施的相关表述。其中，产品面临的各类主要风险同《</w:t>
      </w:r>
      <w:r>
        <w:rPr>
          <w:rFonts w:hint="eastAsia" w:asciiTheme="minorEastAsia" w:hAnsiTheme="minorEastAsia" w:eastAsiaTheme="minorEastAsia"/>
          <w:szCs w:val="21"/>
        </w:rPr>
        <w:t>理财产品</w:t>
      </w:r>
      <w:r>
        <w:rPr>
          <w:rFonts w:hint="eastAsia" w:asciiTheme="minorEastAsia" w:hAnsiTheme="minorEastAsia" w:eastAsiaTheme="minorEastAsia"/>
          <w:szCs w:val="21"/>
          <w:lang w:val="en-US" w:eastAsia="zh-CN"/>
        </w:rPr>
        <w:t>风险揭示书》“二、风险揭示”中的内容，新增风险管理措施相关描述如下：</w:t>
      </w:r>
    </w:p>
    <w:p>
      <w:pPr>
        <w:spacing w:line="360" w:lineRule="auto"/>
        <w:ind w:firstLine="420" w:firstLineChars="200"/>
        <w:jc w:val="left"/>
        <w:rPr>
          <w:rFonts w:hint="eastAsia" w:asciiTheme="minorEastAsia" w:hAnsiTheme="minorEastAsia" w:eastAsiaTheme="minorEastAsia"/>
          <w:b w:val="0"/>
          <w:bCs w:val="0"/>
          <w:szCs w:val="21"/>
          <w:lang w:val="en-US" w:eastAsia="zh-CN"/>
        </w:rPr>
      </w:pPr>
      <w:r>
        <w:rPr>
          <w:rFonts w:hint="eastAsia" w:asciiTheme="minorEastAsia" w:hAnsiTheme="minorEastAsia" w:eastAsiaTheme="minorEastAsia"/>
          <w:b w:val="0"/>
          <w:bCs w:val="0"/>
          <w:szCs w:val="21"/>
          <w:lang w:eastAsia="zh-CN"/>
        </w:rPr>
        <w:t>“</w:t>
      </w:r>
      <w:r>
        <w:rPr>
          <w:rFonts w:hint="eastAsia" w:asciiTheme="minorEastAsia" w:hAnsiTheme="minorEastAsia" w:eastAsiaTheme="minorEastAsia"/>
          <w:b w:val="0"/>
          <w:bCs w:val="0"/>
          <w:szCs w:val="21"/>
        </w:rPr>
        <w:t>产品管理人将根据法律法规，监管要求和本理财产品合同约定，本着</w:t>
      </w:r>
      <w:r>
        <w:rPr>
          <w:rFonts w:hint="eastAsia" w:asciiTheme="minorEastAsia" w:hAnsiTheme="minorEastAsia" w:eastAsiaTheme="minorEastAsia"/>
          <w:b w:val="0"/>
          <w:bCs w:val="0"/>
          <w:szCs w:val="21"/>
          <w:lang w:eastAsia="zh"/>
        </w:rPr>
        <w:t>“</w:t>
      </w:r>
      <w:r>
        <w:rPr>
          <w:rFonts w:hint="eastAsia" w:asciiTheme="minorEastAsia" w:hAnsiTheme="minorEastAsia" w:eastAsiaTheme="minorEastAsia"/>
          <w:b w:val="0"/>
          <w:bCs w:val="0"/>
          <w:szCs w:val="21"/>
        </w:rPr>
        <w:t>诚实信用、勤勉尽责</w:t>
      </w:r>
      <w:r>
        <w:rPr>
          <w:rFonts w:hint="eastAsia" w:asciiTheme="minorEastAsia" w:hAnsiTheme="minorEastAsia" w:eastAsiaTheme="minorEastAsia"/>
          <w:b w:val="0"/>
          <w:bCs w:val="0"/>
          <w:szCs w:val="21"/>
          <w:lang w:eastAsia="zh"/>
        </w:rPr>
        <w:t>”</w:t>
      </w:r>
      <w:r>
        <w:rPr>
          <w:rFonts w:hint="eastAsia" w:asciiTheme="minorEastAsia" w:hAnsiTheme="minorEastAsia" w:eastAsiaTheme="minorEastAsia"/>
          <w:b w:val="0"/>
          <w:bCs w:val="0"/>
          <w:szCs w:val="21"/>
        </w:rPr>
        <w:t>的原则管理和运用理财产品财产，完善相应风险管控机制，强化投资运作管控，健全内部制度，在产品运作过程中全面识别、评估并持续监控各类风险，采取切实有效的风险管理措施以应对各类潜在风险，保障投资者权益</w:t>
      </w:r>
      <w:r>
        <w:rPr>
          <w:rFonts w:hint="eastAsia" w:asciiTheme="minorEastAsia" w:hAnsiTheme="minorEastAsia" w:eastAsiaTheme="minorEastAsia"/>
          <w:b w:val="0"/>
          <w:bCs w:val="0"/>
          <w:szCs w:val="21"/>
          <w:lang w:eastAsia="zh-CN"/>
        </w:rPr>
        <w:t>。</w:t>
      </w:r>
      <w:r>
        <w:rPr>
          <w:rFonts w:hint="eastAsia" w:asciiTheme="minorEastAsia" w:hAnsiTheme="minorEastAsia" w:eastAsiaTheme="minorEastAsia"/>
          <w:b w:val="0"/>
          <w:bCs w:val="0"/>
          <w:szCs w:val="21"/>
        </w:rPr>
        <w:t>但任何风险管理措施均无法确保投资本理财产品可能面临的潜在风险不会实际发生，本产品净值可能发生波动，投资者存在本金及收益遭受损失的风险，在最不利情况下，投资者甚至可能损失全部本金。</w:t>
      </w:r>
      <w:r>
        <w:rPr>
          <w:rFonts w:hint="eastAsia" w:asciiTheme="minorEastAsia" w:hAnsiTheme="minorEastAsia" w:eastAsiaTheme="minorEastAsia"/>
          <w:b w:val="0"/>
          <w:bCs w:val="0"/>
          <w:szCs w:val="21"/>
          <w:lang w:eastAsia="zh-CN"/>
        </w:rPr>
        <w:t>”</w:t>
      </w:r>
    </w:p>
    <w:p>
      <w:pPr>
        <w:spacing w:line="360" w:lineRule="auto"/>
        <w:ind w:firstLine="420" w:firstLineChars="200"/>
        <w:jc w:val="left"/>
        <w:rPr>
          <w:rFonts w:hint="eastAsia" w:asciiTheme="minorEastAsia" w:hAnsiTheme="minorEastAsia" w:eastAsiaTheme="minorEastAsia"/>
          <w:b w:val="0"/>
          <w:bCs w:val="0"/>
          <w:szCs w:val="21"/>
          <w:lang w:val="en-US" w:eastAsia="zh-CN"/>
        </w:rPr>
      </w:pPr>
    </w:p>
    <w:p>
      <w:pPr>
        <w:spacing w:line="360" w:lineRule="auto"/>
        <w:ind w:firstLine="422" w:firstLineChars="200"/>
        <w:jc w:val="left"/>
        <w:rPr>
          <w:rFonts w:hint="eastAsia" w:asciiTheme="minorEastAsia" w:hAnsiTheme="minorEastAsia" w:eastAsiaTheme="minorEastAsia"/>
          <w:b/>
          <w:bCs/>
          <w:szCs w:val="21"/>
          <w:lang w:val="en-US" w:eastAsia="zh-CN"/>
        </w:rPr>
      </w:pPr>
      <w:r>
        <w:rPr>
          <w:rFonts w:hint="eastAsia" w:asciiTheme="minorEastAsia" w:hAnsiTheme="minorEastAsia" w:eastAsiaTheme="minorEastAsia"/>
          <w:b/>
          <w:bCs/>
          <w:szCs w:val="21"/>
          <w:lang w:val="en-US" w:eastAsia="zh-CN"/>
        </w:rPr>
        <w:t>二、更新理财产品的信息披露相关内容</w:t>
      </w:r>
    </w:p>
    <w:p>
      <w:pPr>
        <w:spacing w:line="360" w:lineRule="auto"/>
        <w:ind w:firstLine="420" w:firstLineChars="200"/>
        <w:jc w:val="left"/>
        <w:rPr>
          <w:rFonts w:hint="eastAsia" w:asciiTheme="minorEastAsia" w:hAnsiTheme="minorEastAsia" w:eastAsiaTheme="minorEastAsia"/>
          <w:b w:val="0"/>
          <w:bCs w:val="0"/>
          <w:szCs w:val="21"/>
          <w:lang w:val="en-US" w:eastAsia="zh-CN"/>
        </w:rPr>
      </w:pPr>
      <w:r>
        <w:rPr>
          <w:rFonts w:hint="eastAsia" w:asciiTheme="minorEastAsia" w:hAnsiTheme="minorEastAsia" w:eastAsiaTheme="minorEastAsia"/>
          <w:b w:val="0"/>
          <w:bCs w:val="0"/>
          <w:szCs w:val="21"/>
          <w:lang w:val="en-US" w:eastAsia="zh-CN"/>
        </w:rPr>
        <w:t>按照监管最新要求对理财产品信息披露的渠道、频率、内容等进行更新，并在</w:t>
      </w:r>
      <w:r>
        <w:rPr>
          <w:rFonts w:hint="eastAsia" w:asciiTheme="minorEastAsia" w:hAnsiTheme="minorEastAsia" w:eastAsiaTheme="minorEastAsia"/>
          <w:b w:val="0"/>
          <w:bCs w:val="0"/>
          <w:szCs w:val="21"/>
        </w:rPr>
        <w:t>《理财产品</w:t>
      </w:r>
      <w:r>
        <w:rPr>
          <w:rFonts w:hint="eastAsia" w:asciiTheme="minorEastAsia" w:hAnsiTheme="minorEastAsia" w:eastAsiaTheme="minorEastAsia"/>
          <w:b w:val="0"/>
          <w:bCs w:val="0"/>
          <w:szCs w:val="21"/>
          <w:lang w:val="en-US" w:eastAsia="zh-CN"/>
        </w:rPr>
        <w:t>说明书</w:t>
      </w:r>
      <w:r>
        <w:rPr>
          <w:rFonts w:hint="eastAsia" w:asciiTheme="minorEastAsia" w:hAnsiTheme="minorEastAsia" w:eastAsiaTheme="minorEastAsia"/>
          <w:b w:val="0"/>
          <w:bCs w:val="0"/>
          <w:szCs w:val="21"/>
        </w:rPr>
        <w:t>》</w:t>
      </w:r>
      <w:r>
        <w:rPr>
          <w:rFonts w:hint="eastAsia" w:asciiTheme="minorEastAsia" w:hAnsiTheme="minorEastAsia" w:eastAsiaTheme="minorEastAsia"/>
          <w:b w:val="0"/>
          <w:bCs w:val="0"/>
          <w:szCs w:val="21"/>
          <w:lang w:val="en-US" w:eastAsia="zh-CN"/>
        </w:rPr>
        <w:t>中，新增对于理财产品信息披露方式、渠道和频率等的相关表述。调整后主要内容如下：</w:t>
      </w:r>
    </w:p>
    <w:p>
      <w:pPr>
        <w:autoSpaceDE w:val="0"/>
        <w:autoSpaceDN w:val="0"/>
        <w:adjustRightInd w:val="0"/>
        <w:spacing w:line="360" w:lineRule="auto"/>
        <w:ind w:firstLine="420" w:firstLineChars="200"/>
        <w:rPr>
          <w:b w:val="0"/>
          <w:bCs w:val="0"/>
          <w:color w:val="000000"/>
          <w:kern w:val="44"/>
          <w:szCs w:val="21"/>
        </w:rPr>
      </w:pPr>
      <w:r>
        <w:rPr>
          <w:rFonts w:hint="eastAsia"/>
          <w:b w:val="0"/>
          <w:bCs w:val="0"/>
          <w:color w:val="000000"/>
          <w:kern w:val="44"/>
          <w:szCs w:val="21"/>
          <w:lang w:eastAsia="zh-CN"/>
        </w:rPr>
        <w:t>“</w:t>
      </w:r>
      <w:r>
        <w:rPr>
          <w:b w:val="0"/>
          <w:bCs w:val="0"/>
          <w:color w:val="000000"/>
          <w:kern w:val="44"/>
          <w:szCs w:val="21"/>
        </w:rPr>
        <w:t>（一）信息披露</w:t>
      </w:r>
      <w:r>
        <w:rPr>
          <w:rFonts w:hint="eastAsia"/>
          <w:b w:val="0"/>
          <w:bCs w:val="0"/>
          <w:color w:val="000000"/>
          <w:kern w:val="44"/>
          <w:szCs w:val="21"/>
        </w:rPr>
        <w:t>原则</w:t>
      </w:r>
    </w:p>
    <w:p>
      <w:pPr>
        <w:autoSpaceDE w:val="0"/>
        <w:autoSpaceDN w:val="0"/>
        <w:adjustRightInd w:val="0"/>
        <w:spacing w:line="360" w:lineRule="auto"/>
        <w:ind w:firstLine="420" w:firstLineChars="200"/>
        <w:rPr>
          <w:b w:val="0"/>
          <w:bCs w:val="0"/>
          <w:color w:val="000000"/>
          <w:kern w:val="44"/>
          <w:szCs w:val="21"/>
        </w:rPr>
      </w:pPr>
      <w:r>
        <w:rPr>
          <w:b w:val="0"/>
          <w:bCs w:val="0"/>
          <w:color w:val="000000"/>
          <w:kern w:val="44"/>
          <w:szCs w:val="21"/>
        </w:rPr>
        <w:t>管理人</w:t>
      </w:r>
      <w:r>
        <w:rPr>
          <w:rFonts w:hint="eastAsia"/>
          <w:b w:val="0"/>
          <w:bCs w:val="0"/>
          <w:color w:val="000000"/>
          <w:kern w:val="44"/>
          <w:szCs w:val="21"/>
        </w:rPr>
        <w:t>及代理销售机构将按照法律法规、监管规定及本理财产品合同约定履行信息披露义务。</w:t>
      </w:r>
    </w:p>
    <w:p>
      <w:pPr>
        <w:autoSpaceDE w:val="0"/>
        <w:autoSpaceDN w:val="0"/>
        <w:adjustRightInd w:val="0"/>
        <w:spacing w:line="360" w:lineRule="auto"/>
        <w:ind w:firstLine="420" w:firstLineChars="200"/>
        <w:rPr>
          <w:b w:val="0"/>
          <w:bCs w:val="0"/>
          <w:color w:val="000000"/>
          <w:kern w:val="44"/>
          <w:szCs w:val="21"/>
        </w:rPr>
      </w:pPr>
      <w:r>
        <w:rPr>
          <w:b w:val="0"/>
          <w:bCs w:val="0"/>
          <w:color w:val="000000"/>
          <w:kern w:val="44"/>
          <w:szCs w:val="21"/>
        </w:rPr>
        <w:t>本理财产品</w:t>
      </w:r>
      <w:r>
        <w:rPr>
          <w:rFonts w:hint="eastAsia"/>
          <w:b w:val="0"/>
          <w:bCs w:val="0"/>
          <w:color w:val="000000"/>
          <w:kern w:val="44"/>
          <w:szCs w:val="21"/>
        </w:rPr>
        <w:t>管理人或代理销售机构变更或调整合同约定的业务规则、投资范围、投资比例、收费标准、认（申）购和赎回安排等事项</w:t>
      </w:r>
      <w:r>
        <w:rPr>
          <w:b w:val="0"/>
          <w:bCs w:val="0"/>
          <w:color w:val="000000"/>
          <w:kern w:val="44"/>
          <w:szCs w:val="21"/>
        </w:rPr>
        <w:t>时，</w:t>
      </w:r>
      <w:r>
        <w:rPr>
          <w:rFonts w:hint="eastAsia"/>
          <w:b w:val="0"/>
          <w:bCs w:val="0"/>
          <w:color w:val="000000"/>
          <w:kern w:val="44"/>
          <w:szCs w:val="21"/>
          <w:lang w:val="en-US" w:eastAsia="zh-CN"/>
        </w:rPr>
        <w:t>对于公募理财产品，</w:t>
      </w:r>
      <w:r>
        <w:rPr>
          <w:b w:val="0"/>
          <w:bCs w:val="0"/>
          <w:color w:val="000000"/>
          <w:kern w:val="44"/>
          <w:szCs w:val="21"/>
        </w:rPr>
        <w:t>将通过</w:t>
      </w:r>
      <w:r>
        <w:rPr>
          <w:rFonts w:hint="eastAsia"/>
          <w:b w:val="0"/>
          <w:bCs w:val="0"/>
          <w:color w:val="000000"/>
          <w:kern w:val="44"/>
          <w:szCs w:val="21"/>
        </w:rPr>
        <w:t>中国理财网（</w:t>
      </w:r>
      <w:r>
        <w:rPr>
          <w:rFonts w:hint="default"/>
          <w:b w:val="0"/>
          <w:bCs w:val="0"/>
          <w:color w:val="000000"/>
          <w:kern w:val="44"/>
          <w:szCs w:val="21"/>
        </w:rPr>
        <w:t>www.chinawealth.com.cn</w:t>
      </w:r>
      <w:r>
        <w:rPr>
          <w:rFonts w:hint="eastAsia"/>
          <w:b w:val="0"/>
          <w:bCs w:val="0"/>
          <w:color w:val="000000"/>
          <w:kern w:val="44"/>
          <w:szCs w:val="21"/>
        </w:rPr>
        <w:t>）、管理人或代理销售机构电子渠道</w:t>
      </w:r>
      <w:r>
        <w:rPr>
          <w:b w:val="0"/>
          <w:bCs w:val="0"/>
          <w:color w:val="000000"/>
          <w:kern w:val="44"/>
          <w:szCs w:val="21"/>
        </w:rPr>
        <w:t>及营业网点等渠道向投资者进行披露</w:t>
      </w:r>
      <w:r>
        <w:rPr>
          <w:rFonts w:hint="eastAsia"/>
          <w:b w:val="0"/>
          <w:bCs w:val="0"/>
          <w:color w:val="000000"/>
          <w:kern w:val="44"/>
          <w:szCs w:val="21"/>
          <w:lang w:eastAsia="zh-CN"/>
        </w:rPr>
        <w:t>；</w:t>
      </w:r>
      <w:r>
        <w:rPr>
          <w:rFonts w:hint="eastAsia"/>
          <w:b w:val="0"/>
          <w:bCs w:val="0"/>
          <w:color w:val="000000"/>
          <w:kern w:val="44"/>
          <w:szCs w:val="21"/>
          <w:lang w:val="en-US" w:eastAsia="zh-CN"/>
        </w:rPr>
        <w:t>对于私募理财产品，</w:t>
      </w:r>
      <w:r>
        <w:rPr>
          <w:b w:val="0"/>
          <w:bCs w:val="0"/>
          <w:color w:val="000000"/>
          <w:kern w:val="44"/>
          <w:szCs w:val="21"/>
        </w:rPr>
        <w:t>将通过</w:t>
      </w:r>
      <w:r>
        <w:rPr>
          <w:rFonts w:hint="eastAsia"/>
          <w:b w:val="0"/>
          <w:bCs w:val="0"/>
          <w:color w:val="000000"/>
          <w:kern w:val="44"/>
          <w:szCs w:val="21"/>
        </w:rPr>
        <w:t>管理人或代理销售机构电子渠道</w:t>
      </w:r>
      <w:r>
        <w:rPr>
          <w:b w:val="0"/>
          <w:bCs w:val="0"/>
          <w:color w:val="000000"/>
          <w:kern w:val="44"/>
          <w:szCs w:val="21"/>
        </w:rPr>
        <w:t>及营业网点等渠道</w:t>
      </w:r>
      <w:r>
        <w:rPr>
          <w:rFonts w:hint="eastAsia"/>
          <w:b w:val="0"/>
          <w:bCs w:val="0"/>
          <w:color w:val="000000"/>
          <w:kern w:val="44"/>
          <w:szCs w:val="21"/>
          <w:lang w:val="en-US" w:eastAsia="zh-CN"/>
        </w:rPr>
        <w:t>仅</w:t>
      </w:r>
      <w:r>
        <w:rPr>
          <w:b w:val="0"/>
          <w:bCs w:val="0"/>
          <w:color w:val="000000"/>
          <w:kern w:val="44"/>
          <w:szCs w:val="21"/>
        </w:rPr>
        <w:t>向</w:t>
      </w:r>
      <w:r>
        <w:rPr>
          <w:rFonts w:hint="eastAsia"/>
          <w:b w:val="0"/>
          <w:bCs w:val="0"/>
          <w:color w:val="000000"/>
          <w:kern w:val="44"/>
          <w:szCs w:val="21"/>
          <w:lang w:val="en-US" w:eastAsia="zh-CN"/>
        </w:rPr>
        <w:t>购买本理财产品的合格</w:t>
      </w:r>
      <w:r>
        <w:rPr>
          <w:b w:val="0"/>
          <w:bCs w:val="0"/>
          <w:color w:val="000000"/>
          <w:kern w:val="44"/>
          <w:szCs w:val="21"/>
        </w:rPr>
        <w:t>投资者进行披露</w:t>
      </w:r>
      <w:r>
        <w:rPr>
          <w:rFonts w:hint="eastAsia"/>
          <w:b w:val="0"/>
          <w:bCs w:val="0"/>
          <w:color w:val="000000"/>
          <w:kern w:val="44"/>
          <w:szCs w:val="21"/>
        </w:rPr>
        <w:t>，</w:t>
      </w:r>
      <w:r>
        <w:rPr>
          <w:b w:val="0"/>
          <w:bCs w:val="0"/>
          <w:color w:val="000000"/>
          <w:kern w:val="44"/>
          <w:szCs w:val="21"/>
        </w:rPr>
        <w:t>请投资者及时关注、及时认真阅读相关通知、公告、修订版理财产品合同。以上相关信息自披露之日即视为已送达投资者，也视为管理人已适当披露理财产品相关信息。</w:t>
      </w:r>
      <w:r>
        <w:rPr>
          <w:rFonts w:hint="eastAsia"/>
          <w:b w:val="0"/>
          <w:bCs w:val="0"/>
          <w:color w:val="000000"/>
          <w:kern w:val="44"/>
          <w:szCs w:val="21"/>
        </w:rPr>
        <w:t>涉及</w:t>
      </w:r>
      <w:r>
        <w:rPr>
          <w:b w:val="0"/>
          <w:bCs w:val="0"/>
          <w:color w:val="000000"/>
          <w:kern w:val="44"/>
          <w:szCs w:val="21"/>
        </w:rPr>
        <w:t>理财产品</w:t>
      </w:r>
      <w:r>
        <w:rPr>
          <w:rFonts w:hint="eastAsia"/>
          <w:b w:val="0"/>
          <w:bCs w:val="0"/>
          <w:color w:val="000000"/>
          <w:kern w:val="44"/>
          <w:szCs w:val="21"/>
        </w:rPr>
        <w:t>投资范围、投资品种、投资比例调整导致其超出约定比例、</w:t>
      </w:r>
      <w:r>
        <w:rPr>
          <w:b w:val="0"/>
          <w:bCs w:val="0"/>
          <w:color w:val="000000"/>
          <w:kern w:val="44"/>
          <w:szCs w:val="21"/>
        </w:rPr>
        <w:t>提高服务费率或新增服务收费项目</w:t>
      </w:r>
      <w:r>
        <w:rPr>
          <w:rFonts w:hint="eastAsia"/>
          <w:b w:val="0"/>
          <w:bCs w:val="0"/>
          <w:color w:val="000000"/>
          <w:kern w:val="44"/>
          <w:szCs w:val="21"/>
        </w:rPr>
        <w:t>等情形时，应当先征得投资者同意；</w:t>
      </w:r>
      <w:r>
        <w:rPr>
          <w:b w:val="0"/>
          <w:bCs w:val="0"/>
        </w:rPr>
        <w:t>投资者不接受的，</w:t>
      </w:r>
      <w:r>
        <w:rPr>
          <w:rFonts w:hint="eastAsia"/>
          <w:b w:val="0"/>
          <w:bCs w:val="0"/>
        </w:rPr>
        <w:t>可在最近一个可赎回的开放日</w:t>
      </w:r>
      <w:r>
        <w:rPr>
          <w:b w:val="0"/>
          <w:bCs w:val="0"/>
        </w:rPr>
        <w:t>赎回本理财产品</w:t>
      </w:r>
      <w:r>
        <w:rPr>
          <w:rFonts w:hint="eastAsia"/>
          <w:b w:val="0"/>
          <w:bCs w:val="0"/>
          <w:color w:val="000000"/>
          <w:kern w:val="44"/>
          <w:szCs w:val="21"/>
        </w:rPr>
        <w:t>，具体方式等以届时公告为准</w:t>
      </w:r>
      <w:r>
        <w:rPr>
          <w:rFonts w:hint="eastAsia"/>
          <w:b w:val="0"/>
          <w:bCs w:val="0"/>
        </w:rPr>
        <w:t>。</w:t>
      </w:r>
      <w:r>
        <w:rPr>
          <w:b w:val="0"/>
          <w:bCs w:val="0"/>
          <w:color w:val="000000"/>
          <w:kern w:val="44"/>
          <w:szCs w:val="21"/>
        </w:rPr>
        <w:t>投资者在</w:t>
      </w:r>
      <w:r>
        <w:rPr>
          <w:rFonts w:hint="eastAsia"/>
          <w:b w:val="0"/>
          <w:bCs w:val="0"/>
          <w:color w:val="000000"/>
          <w:kern w:val="44"/>
          <w:szCs w:val="21"/>
        </w:rPr>
        <w:t>所披露的修订、变更信息</w:t>
      </w:r>
      <w:r>
        <w:rPr>
          <w:b w:val="0"/>
          <w:bCs w:val="0"/>
          <w:color w:val="000000"/>
          <w:kern w:val="44"/>
          <w:szCs w:val="21"/>
        </w:rPr>
        <w:t>执行后</w:t>
      </w:r>
      <w:r>
        <w:rPr>
          <w:rFonts w:hint="eastAsia"/>
          <w:b w:val="0"/>
          <w:bCs w:val="0"/>
          <w:color w:val="000000"/>
          <w:kern w:val="44"/>
          <w:szCs w:val="21"/>
        </w:rPr>
        <w:t>，继续</w:t>
      </w:r>
      <w:r>
        <w:rPr>
          <w:b w:val="0"/>
          <w:bCs w:val="0"/>
          <w:color w:val="000000"/>
          <w:kern w:val="44"/>
          <w:szCs w:val="21"/>
        </w:rPr>
        <w:t>办理本理财产品合同项下相关业务的，视同接受</w:t>
      </w:r>
      <w:r>
        <w:rPr>
          <w:rFonts w:hint="eastAsia"/>
          <w:b w:val="0"/>
          <w:bCs w:val="0"/>
          <w:color w:val="000000"/>
          <w:kern w:val="44"/>
          <w:szCs w:val="21"/>
        </w:rPr>
        <w:t>变更</w:t>
      </w:r>
      <w:r>
        <w:rPr>
          <w:b w:val="0"/>
          <w:bCs w:val="0"/>
          <w:color w:val="000000"/>
          <w:kern w:val="44"/>
          <w:szCs w:val="21"/>
        </w:rPr>
        <w:t>内容。</w:t>
      </w:r>
    </w:p>
    <w:p>
      <w:pPr>
        <w:autoSpaceDE w:val="0"/>
        <w:autoSpaceDN w:val="0"/>
        <w:adjustRightInd w:val="0"/>
        <w:spacing w:line="360" w:lineRule="auto"/>
        <w:ind w:firstLine="420" w:firstLineChars="200"/>
        <w:rPr>
          <w:b w:val="0"/>
          <w:bCs w:val="0"/>
          <w:color w:val="000000"/>
          <w:kern w:val="44"/>
          <w:szCs w:val="21"/>
        </w:rPr>
      </w:pPr>
      <w:r>
        <w:rPr>
          <w:b w:val="0"/>
          <w:bCs w:val="0"/>
          <w:color w:val="000000"/>
          <w:kern w:val="44"/>
          <w:szCs w:val="21"/>
        </w:rPr>
        <w:t>因</w:t>
      </w:r>
      <w:r>
        <w:rPr>
          <w:rFonts w:hint="eastAsia"/>
          <w:b w:val="0"/>
          <w:bCs w:val="0"/>
          <w:color w:val="000000"/>
          <w:kern w:val="44"/>
          <w:szCs w:val="21"/>
        </w:rPr>
        <w:t>维持本理财产品的正常运营，或国家</w:t>
      </w:r>
      <w:r>
        <w:rPr>
          <w:b w:val="0"/>
          <w:bCs w:val="0"/>
          <w:color w:val="000000"/>
          <w:kern w:val="44"/>
          <w:szCs w:val="21"/>
        </w:rPr>
        <w:t>法律法规变化、监管要求需要修订本理财产品合同的，</w:t>
      </w:r>
      <w:r>
        <w:rPr>
          <w:rFonts w:hint="eastAsia"/>
          <w:b w:val="0"/>
          <w:bCs w:val="0"/>
          <w:color w:val="000000"/>
          <w:kern w:val="44"/>
          <w:szCs w:val="21"/>
        </w:rPr>
        <w:t>在不损害投资者利益的前提下，</w:t>
      </w:r>
      <w:r>
        <w:rPr>
          <w:b w:val="0"/>
          <w:bCs w:val="0"/>
          <w:color w:val="000000"/>
          <w:kern w:val="44"/>
          <w:szCs w:val="21"/>
        </w:rPr>
        <w:t>管理人有权根据法律法规变化及监管要求对合同进行变更</w:t>
      </w:r>
      <w:r>
        <w:rPr>
          <w:rFonts w:hint="eastAsia"/>
          <w:b w:val="0"/>
          <w:bCs w:val="0"/>
          <w:color w:val="000000"/>
          <w:kern w:val="44"/>
          <w:szCs w:val="21"/>
        </w:rPr>
        <w:t>，并提前进行临时信息披露。投资者同意修订后理财产品合同对其具有法律约束力。</w:t>
      </w:r>
      <w:r>
        <w:rPr>
          <w:b w:val="0"/>
          <w:bCs w:val="0"/>
          <w:color w:val="000000"/>
          <w:kern w:val="44"/>
          <w:szCs w:val="21"/>
        </w:rPr>
        <w:t>投资者应及时认真阅读相关通知、公告、修订版理财产品合同，并可通过管理人</w:t>
      </w:r>
      <w:r>
        <w:rPr>
          <w:rFonts w:hint="eastAsia"/>
          <w:b w:val="0"/>
          <w:bCs w:val="0"/>
          <w:color w:val="000000"/>
          <w:kern w:val="44"/>
          <w:szCs w:val="21"/>
        </w:rPr>
        <w:t>或代理销售机构的</w:t>
      </w:r>
      <w:r>
        <w:rPr>
          <w:b w:val="0"/>
          <w:bCs w:val="0"/>
          <w:kern w:val="0"/>
        </w:rPr>
        <w:t>客户服务热线</w:t>
      </w:r>
      <w:r>
        <w:rPr>
          <w:rFonts w:hint="eastAsia"/>
          <w:b w:val="0"/>
          <w:bCs w:val="0"/>
          <w:kern w:val="0"/>
        </w:rPr>
        <w:t>或营业网点</w:t>
      </w:r>
      <w:r>
        <w:rPr>
          <w:b w:val="0"/>
          <w:bCs w:val="0"/>
          <w:color w:val="000000"/>
          <w:kern w:val="44"/>
          <w:szCs w:val="21"/>
        </w:rPr>
        <w:t>咨询，管理人</w:t>
      </w:r>
      <w:r>
        <w:rPr>
          <w:rFonts w:hint="eastAsia"/>
          <w:b w:val="0"/>
          <w:bCs w:val="0"/>
          <w:color w:val="000000"/>
          <w:kern w:val="44"/>
          <w:szCs w:val="21"/>
        </w:rPr>
        <w:t>或代理销售机构应</w:t>
      </w:r>
      <w:r>
        <w:rPr>
          <w:b w:val="0"/>
          <w:bCs w:val="0"/>
          <w:color w:val="000000"/>
          <w:kern w:val="44"/>
          <w:szCs w:val="21"/>
        </w:rPr>
        <w:t>就前述内容为投资者进行解释和说明。</w:t>
      </w:r>
    </w:p>
    <w:p>
      <w:pPr>
        <w:autoSpaceDE w:val="0"/>
        <w:autoSpaceDN w:val="0"/>
        <w:adjustRightInd w:val="0"/>
        <w:spacing w:line="360" w:lineRule="auto"/>
        <w:ind w:firstLine="420" w:firstLineChars="200"/>
        <w:rPr>
          <w:rFonts w:hint="eastAsia"/>
          <w:b w:val="0"/>
          <w:bCs w:val="0"/>
          <w:color w:val="000000"/>
          <w:kern w:val="44"/>
          <w:szCs w:val="21"/>
        </w:rPr>
      </w:pPr>
      <w:r>
        <w:rPr>
          <w:rFonts w:hint="eastAsia"/>
          <w:b w:val="0"/>
          <w:bCs w:val="0"/>
          <w:color w:val="000000"/>
          <w:kern w:val="44"/>
          <w:szCs w:val="21"/>
        </w:rPr>
        <w:t>（二）信息披露渠道</w:t>
      </w:r>
    </w:p>
    <w:p>
      <w:pPr>
        <w:autoSpaceDE w:val="0"/>
        <w:autoSpaceDN w:val="0"/>
        <w:adjustRightInd w:val="0"/>
        <w:spacing w:line="360" w:lineRule="auto"/>
        <w:ind w:firstLine="420" w:firstLineChars="200"/>
        <w:rPr>
          <w:rFonts w:hint="eastAsia"/>
          <w:b w:val="0"/>
          <w:bCs w:val="0"/>
          <w:color w:val="000000"/>
          <w:kern w:val="44"/>
          <w:szCs w:val="21"/>
        </w:rPr>
      </w:pPr>
      <w:r>
        <w:rPr>
          <w:rFonts w:hint="eastAsia"/>
          <w:b w:val="0"/>
          <w:bCs w:val="0"/>
          <w:color w:val="000000"/>
          <w:kern w:val="44"/>
          <w:szCs w:val="21"/>
        </w:rPr>
        <w:t>本理财产品的信息披露渠道包括中国理财网（</w:t>
      </w:r>
      <w:r>
        <w:rPr>
          <w:rFonts w:hint="default"/>
          <w:b w:val="0"/>
          <w:bCs w:val="0"/>
          <w:color w:val="000000"/>
          <w:kern w:val="44"/>
          <w:szCs w:val="21"/>
        </w:rPr>
        <w:t>www.chinawealth.com.cn</w:t>
      </w:r>
      <w:r>
        <w:rPr>
          <w:rFonts w:hint="eastAsia"/>
          <w:b w:val="0"/>
          <w:bCs w:val="0"/>
          <w:color w:val="000000"/>
          <w:kern w:val="44"/>
          <w:szCs w:val="21"/>
        </w:rPr>
        <w:t>）</w:t>
      </w:r>
      <w:r>
        <w:rPr>
          <w:rFonts w:hint="eastAsia"/>
          <w:b w:val="0"/>
          <w:bCs w:val="0"/>
          <w:color w:val="000000"/>
          <w:kern w:val="44"/>
          <w:szCs w:val="21"/>
          <w:lang w:eastAsia="zh-CN"/>
        </w:rPr>
        <w:t>（</w:t>
      </w:r>
      <w:r>
        <w:rPr>
          <w:rFonts w:hint="eastAsia"/>
          <w:b w:val="0"/>
          <w:bCs w:val="0"/>
          <w:color w:val="000000"/>
          <w:kern w:val="44"/>
          <w:szCs w:val="21"/>
          <w:lang w:val="en-US" w:eastAsia="zh-CN"/>
        </w:rPr>
        <w:t>适用于公募理财产品</w:t>
      </w:r>
      <w:r>
        <w:rPr>
          <w:rFonts w:hint="eastAsia"/>
          <w:b w:val="0"/>
          <w:bCs w:val="0"/>
          <w:color w:val="000000"/>
          <w:kern w:val="44"/>
          <w:szCs w:val="21"/>
          <w:lang w:eastAsia="zh-CN"/>
        </w:rPr>
        <w:t>）</w:t>
      </w:r>
      <w:r>
        <w:rPr>
          <w:rFonts w:hint="eastAsia"/>
          <w:b w:val="0"/>
          <w:bCs w:val="0"/>
          <w:color w:val="000000"/>
          <w:kern w:val="44"/>
          <w:szCs w:val="21"/>
        </w:rPr>
        <w:t>、管理人官方网站（www.cmbcwm.com.cn）、销售服务机构电子渠道</w:t>
      </w:r>
      <w:r>
        <w:rPr>
          <w:b w:val="0"/>
          <w:bCs w:val="0"/>
          <w:color w:val="000000"/>
          <w:kern w:val="44"/>
          <w:szCs w:val="21"/>
        </w:rPr>
        <w:t>及营业网点</w:t>
      </w:r>
      <w:r>
        <w:rPr>
          <w:rFonts w:hint="eastAsia"/>
          <w:b w:val="0"/>
          <w:bCs w:val="0"/>
          <w:color w:val="000000"/>
          <w:kern w:val="44"/>
          <w:szCs w:val="21"/>
        </w:rPr>
        <w:t>，电子渠道包括销售服务机构的官方网站，手机APP、手机银行或其他应用程序，营业网点以销售服务机构官方披露的地址为准。</w:t>
      </w:r>
    </w:p>
    <w:p>
      <w:pPr>
        <w:autoSpaceDE w:val="0"/>
        <w:autoSpaceDN w:val="0"/>
        <w:adjustRightInd w:val="0"/>
        <w:spacing w:line="360" w:lineRule="auto"/>
        <w:ind w:firstLine="420" w:firstLineChars="200"/>
        <w:rPr>
          <w:b w:val="0"/>
          <w:bCs w:val="0"/>
          <w:color w:val="000000"/>
          <w:kern w:val="44"/>
          <w:szCs w:val="21"/>
        </w:rPr>
      </w:pPr>
      <w:r>
        <w:rPr>
          <w:b w:val="0"/>
          <w:bCs w:val="0"/>
          <w:color w:val="000000"/>
          <w:kern w:val="44"/>
          <w:szCs w:val="21"/>
        </w:rPr>
        <w:t>（</w:t>
      </w:r>
      <w:r>
        <w:rPr>
          <w:rFonts w:hint="eastAsia"/>
          <w:b w:val="0"/>
          <w:bCs w:val="0"/>
          <w:color w:val="000000"/>
          <w:kern w:val="44"/>
          <w:szCs w:val="21"/>
        </w:rPr>
        <w:t>三</w:t>
      </w:r>
      <w:r>
        <w:rPr>
          <w:b w:val="0"/>
          <w:bCs w:val="0"/>
          <w:color w:val="000000"/>
          <w:kern w:val="44"/>
          <w:szCs w:val="21"/>
        </w:rPr>
        <w:t>）信息披露内容</w:t>
      </w:r>
    </w:p>
    <w:p>
      <w:pPr>
        <w:autoSpaceDE w:val="0"/>
        <w:autoSpaceDN w:val="0"/>
        <w:adjustRightInd w:val="0"/>
        <w:spacing w:line="360" w:lineRule="auto"/>
        <w:ind w:firstLine="420" w:firstLineChars="200"/>
        <w:rPr>
          <w:b w:val="0"/>
          <w:bCs w:val="0"/>
          <w:color w:val="000000"/>
          <w:kern w:val="44"/>
          <w:szCs w:val="21"/>
        </w:rPr>
      </w:pPr>
      <w:r>
        <w:rPr>
          <w:b w:val="0"/>
          <w:bCs w:val="0"/>
          <w:color w:val="000000"/>
          <w:kern w:val="44"/>
          <w:szCs w:val="21"/>
        </w:rPr>
        <w:t>投资者可以从理财产品合同和产品信息公告中获取产品相关信息。产品信息</w:t>
      </w:r>
      <w:r>
        <w:rPr>
          <w:rFonts w:hint="eastAsia"/>
          <w:b w:val="0"/>
          <w:bCs w:val="0"/>
          <w:color w:val="000000"/>
          <w:kern w:val="44"/>
          <w:szCs w:val="21"/>
        </w:rPr>
        <w:t>披露内容</w:t>
      </w:r>
      <w:r>
        <w:rPr>
          <w:b w:val="0"/>
          <w:bCs w:val="0"/>
          <w:color w:val="000000"/>
          <w:kern w:val="44"/>
          <w:szCs w:val="21"/>
        </w:rPr>
        <w:t>包括发行公告、定期</w:t>
      </w:r>
      <w:r>
        <w:rPr>
          <w:rFonts w:hint="eastAsia"/>
          <w:b w:val="0"/>
          <w:bCs w:val="0"/>
          <w:color w:val="000000"/>
          <w:kern w:val="44"/>
          <w:szCs w:val="21"/>
        </w:rPr>
        <w:t>报告</w:t>
      </w:r>
      <w:r>
        <w:rPr>
          <w:b w:val="0"/>
          <w:bCs w:val="0"/>
          <w:color w:val="000000"/>
          <w:kern w:val="44"/>
          <w:szCs w:val="21"/>
        </w:rPr>
        <w:t>、到期公告、重大事项公告、产品净值</w:t>
      </w:r>
      <w:r>
        <w:rPr>
          <w:rFonts w:hint="eastAsia"/>
          <w:b w:val="0"/>
          <w:bCs w:val="0"/>
          <w:color w:val="000000"/>
          <w:kern w:val="44"/>
          <w:szCs w:val="21"/>
        </w:rPr>
        <w:t>信息</w:t>
      </w:r>
      <w:r>
        <w:rPr>
          <w:b w:val="0"/>
          <w:bCs w:val="0"/>
          <w:color w:val="000000"/>
          <w:kern w:val="44"/>
          <w:szCs w:val="21"/>
        </w:rPr>
        <w:t>和临时</w:t>
      </w:r>
      <w:r>
        <w:rPr>
          <w:rFonts w:hint="eastAsia"/>
          <w:b w:val="0"/>
          <w:bCs w:val="0"/>
          <w:color w:val="000000"/>
          <w:kern w:val="44"/>
          <w:szCs w:val="21"/>
        </w:rPr>
        <w:t>信息披露</w:t>
      </w:r>
      <w:r>
        <w:rPr>
          <w:b w:val="0"/>
          <w:bCs w:val="0"/>
          <w:color w:val="000000"/>
          <w:kern w:val="44"/>
          <w:szCs w:val="21"/>
        </w:rPr>
        <w:t>公告等</w:t>
      </w:r>
      <w:r>
        <w:rPr>
          <w:rFonts w:hint="eastAsia"/>
          <w:b w:val="0"/>
          <w:bCs w:val="0"/>
          <w:color w:val="000000"/>
          <w:kern w:val="44"/>
          <w:szCs w:val="21"/>
          <w:lang w:eastAsia="zh-CN"/>
        </w:rPr>
        <w:t>，</w:t>
      </w:r>
      <w:r>
        <w:rPr>
          <w:rFonts w:hint="eastAsia"/>
          <w:b w:val="0"/>
          <w:bCs w:val="0"/>
          <w:color w:val="000000"/>
          <w:kern w:val="44"/>
          <w:szCs w:val="21"/>
          <w:lang w:val="en-US" w:eastAsia="zh-CN"/>
        </w:rPr>
        <w:t>具体内容以相关法律法规、监管规定和自律规范要求为准</w:t>
      </w:r>
      <w:r>
        <w:rPr>
          <w:b w:val="0"/>
          <w:bCs w:val="0"/>
          <w:color w:val="000000"/>
          <w:kern w:val="44"/>
          <w:szCs w:val="21"/>
        </w:rPr>
        <w:t>。</w:t>
      </w:r>
    </w:p>
    <w:p>
      <w:pPr>
        <w:autoSpaceDE w:val="0"/>
        <w:autoSpaceDN w:val="0"/>
        <w:adjustRightInd w:val="0"/>
        <w:spacing w:line="360" w:lineRule="auto"/>
        <w:ind w:firstLine="420" w:firstLineChars="200"/>
        <w:rPr>
          <w:b w:val="0"/>
          <w:bCs w:val="0"/>
          <w:color w:val="000000"/>
          <w:kern w:val="44"/>
          <w:szCs w:val="21"/>
        </w:rPr>
      </w:pPr>
      <w:r>
        <w:rPr>
          <w:b w:val="0"/>
          <w:bCs w:val="0"/>
          <w:color w:val="000000"/>
          <w:kern w:val="44"/>
          <w:szCs w:val="21"/>
        </w:rPr>
        <w:t>（</w:t>
      </w:r>
      <w:r>
        <w:rPr>
          <w:rFonts w:hint="eastAsia"/>
          <w:b w:val="0"/>
          <w:bCs w:val="0"/>
          <w:color w:val="000000"/>
          <w:kern w:val="44"/>
          <w:szCs w:val="21"/>
        </w:rPr>
        <w:t>四</w:t>
      </w:r>
      <w:r>
        <w:rPr>
          <w:b w:val="0"/>
          <w:bCs w:val="0"/>
          <w:color w:val="000000"/>
          <w:kern w:val="44"/>
          <w:szCs w:val="21"/>
        </w:rPr>
        <w:t>）信息披露频率和时间</w:t>
      </w:r>
    </w:p>
    <w:p>
      <w:pPr>
        <w:autoSpaceDE w:val="0"/>
        <w:autoSpaceDN w:val="0"/>
        <w:adjustRightInd w:val="0"/>
        <w:spacing w:line="360" w:lineRule="auto"/>
        <w:ind w:firstLine="420" w:firstLineChars="200"/>
        <w:rPr>
          <w:b w:val="0"/>
          <w:bCs w:val="0"/>
          <w:color w:val="000000"/>
          <w:kern w:val="44"/>
          <w:szCs w:val="21"/>
        </w:rPr>
      </w:pPr>
      <w:r>
        <w:rPr>
          <w:b w:val="0"/>
          <w:bCs w:val="0"/>
          <w:color w:val="000000"/>
          <w:kern w:val="44"/>
          <w:szCs w:val="21"/>
        </w:rPr>
        <w:t>1.发行公告</w:t>
      </w:r>
    </w:p>
    <w:p>
      <w:pPr>
        <w:autoSpaceDE w:val="0"/>
        <w:autoSpaceDN w:val="0"/>
        <w:adjustRightInd w:val="0"/>
        <w:spacing w:line="360" w:lineRule="auto"/>
        <w:ind w:firstLine="420" w:firstLineChars="200"/>
        <w:rPr>
          <w:b w:val="0"/>
          <w:bCs w:val="0"/>
          <w:color w:val="000000"/>
          <w:kern w:val="44"/>
          <w:szCs w:val="21"/>
        </w:rPr>
      </w:pPr>
      <w:r>
        <w:rPr>
          <w:b w:val="0"/>
          <w:bCs w:val="0"/>
          <w:color w:val="000000"/>
          <w:kern w:val="44"/>
          <w:szCs w:val="21"/>
        </w:rPr>
        <w:t>本理财产品成立后</w:t>
      </w:r>
      <w:r>
        <w:rPr>
          <w:rFonts w:hint="eastAsia"/>
          <w:b w:val="0"/>
          <w:bCs w:val="0"/>
          <w:color w:val="000000"/>
          <w:kern w:val="44"/>
          <w:szCs w:val="21"/>
          <w:lang w:val="en-US" w:eastAsia="zh-CN"/>
        </w:rPr>
        <w:t>5</w:t>
      </w:r>
      <w:r>
        <w:rPr>
          <w:b w:val="0"/>
          <w:bCs w:val="0"/>
          <w:color w:val="000000"/>
          <w:kern w:val="44"/>
          <w:szCs w:val="21"/>
        </w:rPr>
        <w:t>个工作日内披露发行公告，包括理财产品成立日期和募集规模等信息</w:t>
      </w:r>
      <w:r>
        <w:rPr>
          <w:rFonts w:hint="eastAsia"/>
          <w:b w:val="0"/>
          <w:bCs w:val="0"/>
          <w:color w:val="000000"/>
          <w:kern w:val="44"/>
          <w:szCs w:val="21"/>
        </w:rPr>
        <w:t>。</w:t>
      </w:r>
    </w:p>
    <w:p>
      <w:pPr>
        <w:autoSpaceDE w:val="0"/>
        <w:autoSpaceDN w:val="0"/>
        <w:adjustRightInd w:val="0"/>
        <w:spacing w:line="360" w:lineRule="auto"/>
        <w:ind w:firstLine="420" w:firstLineChars="200"/>
        <w:rPr>
          <w:b w:val="0"/>
          <w:bCs w:val="0"/>
          <w:color w:val="000000"/>
          <w:kern w:val="44"/>
          <w:szCs w:val="21"/>
        </w:rPr>
      </w:pPr>
      <w:r>
        <w:rPr>
          <w:b w:val="0"/>
          <w:bCs w:val="0"/>
          <w:color w:val="000000"/>
          <w:kern w:val="44"/>
          <w:szCs w:val="21"/>
        </w:rPr>
        <w:t>2.定期</w:t>
      </w:r>
      <w:r>
        <w:rPr>
          <w:rFonts w:hint="eastAsia"/>
          <w:b w:val="0"/>
          <w:bCs w:val="0"/>
          <w:color w:val="000000"/>
          <w:kern w:val="44"/>
          <w:szCs w:val="21"/>
        </w:rPr>
        <w:t>报</w:t>
      </w:r>
      <w:r>
        <w:rPr>
          <w:b w:val="0"/>
          <w:bCs w:val="0"/>
          <w:color w:val="000000"/>
          <w:kern w:val="44"/>
          <w:szCs w:val="21"/>
        </w:rPr>
        <w:t>告</w:t>
      </w:r>
    </w:p>
    <w:p>
      <w:pPr>
        <w:autoSpaceDE w:val="0"/>
        <w:autoSpaceDN w:val="0"/>
        <w:adjustRightInd w:val="0"/>
        <w:spacing w:line="360" w:lineRule="auto"/>
        <w:ind w:firstLine="420" w:firstLineChars="200"/>
        <w:rPr>
          <w:b w:val="0"/>
          <w:bCs w:val="0"/>
          <w:color w:val="000000"/>
          <w:kern w:val="44"/>
          <w:szCs w:val="21"/>
        </w:rPr>
      </w:pPr>
      <w:r>
        <w:rPr>
          <w:b w:val="0"/>
          <w:bCs w:val="0"/>
          <w:color w:val="000000"/>
          <w:kern w:val="44"/>
          <w:szCs w:val="21"/>
        </w:rPr>
        <w:t>本理财产品在每个季度结束之日起</w:t>
      </w:r>
      <w:r>
        <w:rPr>
          <w:rFonts w:hint="eastAsia"/>
          <w:b w:val="0"/>
          <w:bCs w:val="0"/>
          <w:color w:val="000000"/>
          <w:kern w:val="44"/>
          <w:szCs w:val="21"/>
          <w:lang w:val="en-US" w:eastAsia="zh-CN"/>
        </w:rPr>
        <w:t>15</w:t>
      </w:r>
      <w:r>
        <w:rPr>
          <w:b w:val="0"/>
          <w:bCs w:val="0"/>
          <w:color w:val="000000"/>
          <w:kern w:val="44"/>
          <w:szCs w:val="21"/>
        </w:rPr>
        <w:t>个工作日内</w:t>
      </w:r>
      <w:r>
        <w:rPr>
          <w:rFonts w:hint="eastAsia"/>
          <w:b w:val="0"/>
          <w:bCs w:val="0"/>
          <w:color w:val="000000"/>
          <w:kern w:val="44"/>
          <w:szCs w:val="21"/>
        </w:rPr>
        <w:t>披露本理财产品的季度报告，每年8月31日前披露本理财产品的半年度报告，每年4月30日前披露本理财产品上一年度的年度报告</w:t>
      </w:r>
      <w:r>
        <w:rPr>
          <w:b w:val="0"/>
          <w:bCs w:val="0"/>
          <w:color w:val="000000"/>
          <w:kern w:val="44"/>
          <w:szCs w:val="21"/>
        </w:rPr>
        <w:t>。理财产品成立不足</w:t>
      </w:r>
      <w:r>
        <w:rPr>
          <w:rFonts w:hint="eastAsia"/>
          <w:b w:val="0"/>
          <w:bCs w:val="0"/>
          <w:color w:val="000000"/>
          <w:kern w:val="44"/>
          <w:szCs w:val="21"/>
          <w:lang w:val="en-US" w:eastAsia="zh-CN"/>
        </w:rPr>
        <w:t>90</w:t>
      </w:r>
      <w:r>
        <w:rPr>
          <w:b w:val="0"/>
          <w:bCs w:val="0"/>
          <w:color w:val="000000"/>
          <w:kern w:val="44"/>
          <w:szCs w:val="21"/>
        </w:rPr>
        <w:t>个</w:t>
      </w:r>
      <w:r>
        <w:rPr>
          <w:rFonts w:hint="eastAsia"/>
          <w:b w:val="0"/>
          <w:bCs w:val="0"/>
          <w:color w:val="000000"/>
          <w:kern w:val="44"/>
          <w:szCs w:val="21"/>
        </w:rPr>
        <w:t>自然</w:t>
      </w:r>
      <w:r>
        <w:rPr>
          <w:b w:val="0"/>
          <w:bCs w:val="0"/>
          <w:color w:val="000000"/>
          <w:kern w:val="44"/>
          <w:szCs w:val="21"/>
        </w:rPr>
        <w:t>日</w:t>
      </w:r>
      <w:r>
        <w:rPr>
          <w:rFonts w:hint="eastAsia"/>
          <w:b w:val="0"/>
          <w:bCs w:val="0"/>
          <w:color w:val="000000"/>
          <w:kern w:val="44"/>
          <w:szCs w:val="21"/>
        </w:rPr>
        <w:t>的，可以</w:t>
      </w:r>
      <w:r>
        <w:rPr>
          <w:b w:val="0"/>
          <w:bCs w:val="0"/>
          <w:color w:val="000000"/>
          <w:kern w:val="44"/>
          <w:szCs w:val="21"/>
        </w:rPr>
        <w:t>不编制当期的季度、半年和年度报告</w:t>
      </w:r>
      <w:r>
        <w:rPr>
          <w:rFonts w:hint="eastAsia"/>
          <w:b w:val="0"/>
          <w:bCs w:val="0"/>
          <w:color w:val="000000"/>
          <w:kern w:val="44"/>
          <w:szCs w:val="21"/>
        </w:rPr>
        <w:t>，理财产品剩余存续期不足完整报告期，且到期公告或清算报告包括对应定期报告内容的，可以</w:t>
      </w:r>
      <w:r>
        <w:rPr>
          <w:b w:val="0"/>
          <w:bCs w:val="0"/>
          <w:color w:val="000000"/>
          <w:kern w:val="44"/>
          <w:szCs w:val="21"/>
        </w:rPr>
        <w:t>不编制</w:t>
      </w:r>
      <w:r>
        <w:rPr>
          <w:rFonts w:hint="eastAsia"/>
          <w:b w:val="0"/>
          <w:bCs w:val="0"/>
          <w:color w:val="000000"/>
          <w:kern w:val="44"/>
          <w:szCs w:val="21"/>
        </w:rPr>
        <w:t>剩余存续期所对应</w:t>
      </w:r>
      <w:r>
        <w:rPr>
          <w:b w:val="0"/>
          <w:bCs w:val="0"/>
          <w:color w:val="000000"/>
          <w:kern w:val="44"/>
          <w:szCs w:val="21"/>
        </w:rPr>
        <w:t>的季度、半年和年度报告</w:t>
      </w:r>
      <w:r>
        <w:rPr>
          <w:rFonts w:hint="eastAsia"/>
          <w:b w:val="0"/>
          <w:bCs w:val="0"/>
          <w:color w:val="000000"/>
          <w:kern w:val="44"/>
          <w:szCs w:val="21"/>
        </w:rPr>
        <w:t>。</w:t>
      </w:r>
    </w:p>
    <w:p>
      <w:pPr>
        <w:autoSpaceDE w:val="0"/>
        <w:autoSpaceDN w:val="0"/>
        <w:adjustRightInd w:val="0"/>
        <w:spacing w:line="360" w:lineRule="auto"/>
        <w:ind w:firstLine="420" w:firstLineChars="200"/>
        <w:rPr>
          <w:b w:val="0"/>
          <w:bCs w:val="0"/>
          <w:color w:val="000000"/>
          <w:kern w:val="44"/>
          <w:szCs w:val="21"/>
        </w:rPr>
      </w:pPr>
      <w:r>
        <w:rPr>
          <w:b w:val="0"/>
          <w:bCs w:val="0"/>
          <w:color w:val="000000"/>
          <w:kern w:val="44"/>
          <w:szCs w:val="21"/>
        </w:rPr>
        <w:t>3.到期公告</w:t>
      </w:r>
    </w:p>
    <w:p>
      <w:pPr>
        <w:autoSpaceDE w:val="0"/>
        <w:autoSpaceDN w:val="0"/>
        <w:adjustRightInd w:val="0"/>
        <w:spacing w:line="360" w:lineRule="auto"/>
        <w:ind w:firstLine="420" w:firstLineChars="200"/>
        <w:rPr>
          <w:b w:val="0"/>
          <w:bCs w:val="0"/>
          <w:color w:val="000000"/>
          <w:kern w:val="44"/>
          <w:szCs w:val="21"/>
        </w:rPr>
      </w:pPr>
      <w:r>
        <w:rPr>
          <w:b w:val="0"/>
          <w:bCs w:val="0"/>
          <w:color w:val="000000"/>
          <w:kern w:val="44"/>
          <w:szCs w:val="21"/>
        </w:rPr>
        <w:t>本理财产品在终止后</w:t>
      </w:r>
      <w:r>
        <w:rPr>
          <w:rFonts w:hint="eastAsia"/>
          <w:b w:val="0"/>
          <w:bCs w:val="0"/>
          <w:color w:val="000000"/>
          <w:kern w:val="44"/>
          <w:szCs w:val="21"/>
          <w:lang w:val="en-US" w:eastAsia="zh-CN"/>
        </w:rPr>
        <w:t>5</w:t>
      </w:r>
      <w:r>
        <w:rPr>
          <w:b w:val="0"/>
          <w:bCs w:val="0"/>
          <w:color w:val="000000"/>
          <w:kern w:val="44"/>
          <w:szCs w:val="21"/>
        </w:rPr>
        <w:t>个工作日内，披露</w:t>
      </w:r>
      <w:r>
        <w:rPr>
          <w:rFonts w:hint="eastAsia"/>
          <w:b w:val="0"/>
          <w:bCs w:val="0"/>
          <w:color w:val="000000"/>
          <w:kern w:val="44"/>
          <w:szCs w:val="21"/>
        </w:rPr>
        <w:t>本理财产品</w:t>
      </w:r>
      <w:r>
        <w:rPr>
          <w:b w:val="0"/>
          <w:bCs w:val="0"/>
          <w:color w:val="000000"/>
          <w:kern w:val="44"/>
          <w:szCs w:val="21"/>
        </w:rPr>
        <w:t>到期公告</w:t>
      </w:r>
      <w:r>
        <w:rPr>
          <w:rFonts w:hint="eastAsia"/>
          <w:b w:val="0"/>
          <w:bCs w:val="0"/>
          <w:color w:val="000000"/>
          <w:kern w:val="44"/>
          <w:szCs w:val="21"/>
        </w:rPr>
        <w:t>，内容至少</w:t>
      </w:r>
      <w:r>
        <w:rPr>
          <w:b w:val="0"/>
          <w:bCs w:val="0"/>
          <w:color w:val="000000"/>
          <w:kern w:val="44"/>
          <w:szCs w:val="21"/>
        </w:rPr>
        <w:t>包括理财产品的存续期限、终止日期、收费情况和收益分配情况等信息</w:t>
      </w:r>
      <w:r>
        <w:rPr>
          <w:rFonts w:hint="eastAsia"/>
          <w:b w:val="0"/>
          <w:bCs w:val="0"/>
          <w:color w:val="000000"/>
          <w:kern w:val="44"/>
          <w:szCs w:val="21"/>
        </w:rPr>
        <w:t>。</w:t>
      </w:r>
    </w:p>
    <w:p>
      <w:pPr>
        <w:autoSpaceDE w:val="0"/>
        <w:autoSpaceDN w:val="0"/>
        <w:adjustRightInd w:val="0"/>
        <w:spacing w:line="360" w:lineRule="auto"/>
        <w:ind w:firstLine="420" w:firstLineChars="200"/>
        <w:rPr>
          <w:b w:val="0"/>
          <w:bCs w:val="0"/>
          <w:color w:val="000000"/>
          <w:kern w:val="44"/>
          <w:szCs w:val="21"/>
        </w:rPr>
      </w:pPr>
      <w:r>
        <w:rPr>
          <w:b w:val="0"/>
          <w:bCs w:val="0"/>
          <w:color w:val="000000"/>
          <w:kern w:val="44"/>
          <w:szCs w:val="21"/>
        </w:rPr>
        <w:t>4.重大事项公告</w:t>
      </w:r>
    </w:p>
    <w:p>
      <w:pPr>
        <w:autoSpaceDE w:val="0"/>
        <w:autoSpaceDN w:val="0"/>
        <w:adjustRightInd w:val="0"/>
        <w:spacing w:line="360" w:lineRule="auto"/>
        <w:ind w:firstLine="420" w:firstLineChars="200"/>
        <w:rPr>
          <w:b w:val="0"/>
          <w:bCs w:val="0"/>
          <w:color w:val="000000"/>
          <w:kern w:val="44"/>
          <w:szCs w:val="21"/>
        </w:rPr>
      </w:pPr>
      <w:r>
        <w:rPr>
          <w:b w:val="0"/>
          <w:bCs w:val="0"/>
          <w:color w:val="000000"/>
          <w:kern w:val="44"/>
          <w:szCs w:val="21"/>
        </w:rPr>
        <w:t>理财产品</w:t>
      </w:r>
      <w:r>
        <w:rPr>
          <w:rFonts w:hint="eastAsia"/>
          <w:b w:val="0"/>
          <w:bCs w:val="0"/>
          <w:color w:val="000000"/>
          <w:kern w:val="44"/>
          <w:szCs w:val="21"/>
        </w:rPr>
        <w:t>存续期间</w:t>
      </w:r>
      <w:r>
        <w:rPr>
          <w:b w:val="0"/>
          <w:bCs w:val="0"/>
          <w:color w:val="000000"/>
          <w:kern w:val="44"/>
          <w:szCs w:val="21"/>
        </w:rPr>
        <w:t>，</w:t>
      </w:r>
      <w:r>
        <w:rPr>
          <w:rFonts w:hint="eastAsia"/>
          <w:b w:val="0"/>
          <w:bCs w:val="0"/>
          <w:color w:val="000000"/>
          <w:kern w:val="44"/>
          <w:szCs w:val="21"/>
        </w:rPr>
        <w:t>如果发生管理人认为可能影响产品运作的重大不利事项</w:t>
      </w:r>
      <w:r>
        <w:rPr>
          <w:rFonts w:hint="eastAsia"/>
          <w:b w:val="0"/>
          <w:bCs w:val="0"/>
          <w:lang w:val="en-US" w:eastAsia="zh-CN"/>
        </w:rPr>
        <w:t>或其他法律法规、监管规定的</w:t>
      </w:r>
      <w:r>
        <w:rPr>
          <w:b w:val="0"/>
          <w:bCs w:val="0"/>
          <w:color w:val="000000"/>
          <w:kern w:val="44"/>
          <w:szCs w:val="21"/>
        </w:rPr>
        <w:t>可能对理财产品投资者</w:t>
      </w:r>
      <w:r>
        <w:rPr>
          <w:rFonts w:hint="eastAsia"/>
          <w:b w:val="0"/>
          <w:bCs w:val="0"/>
          <w:color w:val="000000"/>
          <w:kern w:val="44"/>
          <w:szCs w:val="21"/>
        </w:rPr>
        <w:t>/</w:t>
      </w:r>
      <w:r>
        <w:rPr>
          <w:b w:val="0"/>
          <w:bCs w:val="0"/>
          <w:color w:val="000000"/>
          <w:kern w:val="44"/>
          <w:szCs w:val="21"/>
        </w:rPr>
        <w:t>理财产品收益产生重大</w:t>
      </w:r>
      <w:r>
        <w:rPr>
          <w:rFonts w:hint="eastAsia"/>
          <w:b w:val="0"/>
          <w:bCs w:val="0"/>
          <w:color w:val="000000"/>
          <w:kern w:val="44"/>
          <w:szCs w:val="21"/>
        </w:rPr>
        <w:t>影响</w:t>
      </w:r>
      <w:r>
        <w:rPr>
          <w:b w:val="0"/>
          <w:bCs w:val="0"/>
          <w:color w:val="000000"/>
          <w:kern w:val="44"/>
          <w:szCs w:val="21"/>
        </w:rPr>
        <w:t>的事件</w:t>
      </w:r>
      <w:r>
        <w:rPr>
          <w:rFonts w:hint="eastAsia"/>
          <w:b w:val="0"/>
          <w:bCs w:val="0"/>
          <w:color w:val="000000"/>
          <w:kern w:val="44"/>
          <w:szCs w:val="21"/>
        </w:rPr>
        <w:t>，管理人将在</w:t>
      </w:r>
      <w:r>
        <w:rPr>
          <w:rFonts w:hint="default"/>
          <w:b w:val="0"/>
          <w:bCs w:val="0"/>
          <w:color w:val="000000"/>
          <w:kern w:val="44"/>
          <w:szCs w:val="21"/>
        </w:rPr>
        <w:t>2个工作日内</w:t>
      </w:r>
      <w:r>
        <w:rPr>
          <w:rFonts w:hint="eastAsia"/>
          <w:b w:val="0"/>
          <w:bCs w:val="0"/>
          <w:color w:val="000000"/>
          <w:kern w:val="44"/>
          <w:szCs w:val="21"/>
        </w:rPr>
        <w:t>通过约定的信息披露渠道</w:t>
      </w:r>
      <w:r>
        <w:rPr>
          <w:b w:val="0"/>
          <w:bCs w:val="0"/>
          <w:color w:val="000000"/>
          <w:kern w:val="44"/>
          <w:szCs w:val="21"/>
        </w:rPr>
        <w:t>发布重大事项公告</w:t>
      </w:r>
      <w:r>
        <w:rPr>
          <w:rFonts w:hint="eastAsia"/>
          <w:b w:val="0"/>
          <w:bCs w:val="0"/>
          <w:color w:val="000000"/>
          <w:kern w:val="44"/>
          <w:szCs w:val="21"/>
        </w:rPr>
        <w:t>。</w:t>
      </w:r>
    </w:p>
    <w:p>
      <w:pPr>
        <w:autoSpaceDE w:val="0"/>
        <w:autoSpaceDN w:val="0"/>
        <w:adjustRightInd w:val="0"/>
        <w:spacing w:line="360" w:lineRule="auto"/>
        <w:ind w:firstLine="420" w:firstLineChars="200"/>
        <w:rPr>
          <w:rFonts w:hint="eastAsia"/>
          <w:b w:val="0"/>
          <w:bCs w:val="0"/>
          <w:color w:val="000000"/>
          <w:kern w:val="44"/>
          <w:szCs w:val="21"/>
        </w:rPr>
      </w:pPr>
      <w:r>
        <w:rPr>
          <w:b w:val="0"/>
          <w:bCs w:val="0"/>
          <w:color w:val="000000"/>
          <w:kern w:val="44"/>
          <w:szCs w:val="21"/>
        </w:rPr>
        <w:t>5.产品净值</w:t>
      </w:r>
      <w:r>
        <w:rPr>
          <w:rFonts w:hint="eastAsia"/>
          <w:b w:val="0"/>
          <w:bCs w:val="0"/>
          <w:color w:val="000000"/>
          <w:kern w:val="44"/>
          <w:szCs w:val="21"/>
        </w:rPr>
        <w:t>信息</w:t>
      </w:r>
    </w:p>
    <w:p>
      <w:pPr>
        <w:autoSpaceDE w:val="0"/>
        <w:autoSpaceDN w:val="0"/>
        <w:adjustRightInd w:val="0"/>
        <w:spacing w:line="360" w:lineRule="auto"/>
        <w:ind w:firstLine="420" w:firstLineChars="200"/>
        <w:rPr>
          <w:color w:val="000000"/>
          <w:kern w:val="44"/>
          <w:szCs w:val="21"/>
        </w:rPr>
      </w:pPr>
      <w:r>
        <w:rPr>
          <w:rFonts w:hint="eastAsia"/>
          <w:color w:val="000000"/>
          <w:kern w:val="44"/>
          <w:szCs w:val="21"/>
        </w:rPr>
        <w:t>对于非现金管理类开放式公募产品，在每个开放日结束后</w:t>
      </w:r>
      <w:r>
        <w:rPr>
          <w:rFonts w:hint="eastAsia"/>
          <w:color w:val="000000"/>
          <w:kern w:val="44"/>
          <w:szCs w:val="21"/>
          <w:lang w:val="en-US" w:eastAsia="zh-CN"/>
        </w:rPr>
        <w:t>2</w:t>
      </w:r>
      <w:r>
        <w:rPr>
          <w:rFonts w:hint="eastAsia"/>
          <w:color w:val="000000"/>
          <w:kern w:val="44"/>
          <w:szCs w:val="21"/>
        </w:rPr>
        <w:t>个工作日内，披露理财产品在开放日的份额净值、份额累计净值、认（申）购价格和赎回价格；对于处于封闭期的定期开放式公募产品，存续期内至少每周披露一次理财产品的份额净值、份额累计净值和资产净值。对于私募产品，按照与投资者约定的方式，至少每季度披露产品的份额净值、份额累计净值、资产净值，其中，分级产品应当披露各类别份额净值。</w:t>
      </w:r>
    </w:p>
    <w:p>
      <w:pPr>
        <w:autoSpaceDE w:val="0"/>
        <w:autoSpaceDN w:val="0"/>
        <w:adjustRightInd w:val="0"/>
        <w:spacing w:line="360" w:lineRule="auto"/>
        <w:ind w:firstLine="420" w:firstLineChars="200"/>
        <w:rPr>
          <w:color w:val="000000"/>
          <w:kern w:val="44"/>
          <w:szCs w:val="21"/>
        </w:rPr>
      </w:pPr>
      <w:r>
        <w:rPr>
          <w:color w:val="000000"/>
          <w:kern w:val="44"/>
          <w:szCs w:val="21"/>
        </w:rPr>
        <w:t>对于现金管理类理财产品，管理人将在每个开放日结束后</w:t>
      </w:r>
      <w:r>
        <w:rPr>
          <w:rFonts w:hint="eastAsia"/>
          <w:color w:val="000000"/>
          <w:kern w:val="44"/>
          <w:szCs w:val="21"/>
          <w:lang w:val="en-US" w:eastAsia="zh-CN"/>
        </w:rPr>
        <w:t>2</w:t>
      </w:r>
      <w:r>
        <w:rPr>
          <w:color w:val="000000"/>
          <w:kern w:val="44"/>
          <w:szCs w:val="21"/>
        </w:rPr>
        <w:t>个工作日内，披露理财产品的每万份收益和七日年化收益率。成立未满七日的现金管理类产品及份额，不得展示该产品及份额的七日年化收益率。</w:t>
      </w:r>
    </w:p>
    <w:p>
      <w:pPr>
        <w:autoSpaceDE w:val="0"/>
        <w:autoSpaceDN w:val="0"/>
        <w:adjustRightInd w:val="0"/>
        <w:spacing w:line="360" w:lineRule="auto"/>
        <w:ind w:firstLine="420" w:firstLineChars="200"/>
        <w:rPr>
          <w:b w:val="0"/>
          <w:bCs w:val="0"/>
          <w:color w:val="000000"/>
          <w:kern w:val="44"/>
          <w:szCs w:val="21"/>
        </w:rPr>
      </w:pPr>
      <w:r>
        <w:rPr>
          <w:b w:val="0"/>
          <w:bCs w:val="0"/>
          <w:color w:val="000000"/>
          <w:kern w:val="44"/>
          <w:szCs w:val="21"/>
        </w:rPr>
        <w:t>6.临时</w:t>
      </w:r>
      <w:r>
        <w:rPr>
          <w:rFonts w:hint="eastAsia"/>
          <w:b w:val="0"/>
          <w:bCs w:val="0"/>
          <w:color w:val="000000"/>
          <w:kern w:val="44"/>
          <w:szCs w:val="21"/>
        </w:rPr>
        <w:t>信息披露</w:t>
      </w:r>
      <w:r>
        <w:rPr>
          <w:b w:val="0"/>
          <w:bCs w:val="0"/>
          <w:color w:val="000000"/>
          <w:kern w:val="44"/>
          <w:szCs w:val="21"/>
        </w:rPr>
        <w:t>公告</w:t>
      </w:r>
    </w:p>
    <w:p>
      <w:pPr>
        <w:autoSpaceDE w:val="0"/>
        <w:autoSpaceDN w:val="0"/>
        <w:adjustRightInd w:val="0"/>
        <w:spacing w:line="360" w:lineRule="auto"/>
        <w:ind w:firstLine="420" w:firstLineChars="200"/>
        <w:rPr>
          <w:b w:val="0"/>
          <w:bCs w:val="0"/>
          <w:color w:val="000000"/>
          <w:kern w:val="44"/>
          <w:szCs w:val="21"/>
        </w:rPr>
      </w:pPr>
      <w:bookmarkStart w:id="5" w:name="_Hlk236147250"/>
      <w:r>
        <w:rPr>
          <w:rFonts w:hint="eastAsia"/>
          <w:b w:val="0"/>
          <w:bCs w:val="0"/>
          <w:color w:val="000000"/>
          <w:kern w:val="44"/>
          <w:szCs w:val="21"/>
        </w:rPr>
        <w:t>根据适用的法律法规、监管规定本理财产品如发生需要进行临时信息披露的事项，管理人将在知晓或应当知晓相关事项后</w:t>
      </w:r>
      <w:r>
        <w:rPr>
          <w:rFonts w:hint="eastAsia"/>
          <w:b w:val="0"/>
          <w:bCs w:val="0"/>
          <w:color w:val="000000"/>
          <w:kern w:val="44"/>
          <w:szCs w:val="21"/>
          <w:lang w:val="en-US" w:eastAsia="zh-CN"/>
        </w:rPr>
        <w:t>5</w:t>
      </w:r>
      <w:r>
        <w:rPr>
          <w:rFonts w:hint="eastAsia"/>
          <w:b w:val="0"/>
          <w:bCs w:val="0"/>
          <w:color w:val="000000"/>
          <w:kern w:val="44"/>
          <w:szCs w:val="21"/>
        </w:rPr>
        <w:t>个工作日内通过约定的信息披露渠道向投资者披露，披露内容包括但不限于相关事项的基本情况、对产品运行和投资者可能产生的影响、管理人采取的应对措施及后续方案等。</w:t>
      </w:r>
    </w:p>
    <w:bookmarkEnd w:id="5"/>
    <w:p>
      <w:pPr>
        <w:autoSpaceDE w:val="0"/>
        <w:autoSpaceDN w:val="0"/>
        <w:adjustRightInd w:val="0"/>
        <w:spacing w:line="360" w:lineRule="auto"/>
        <w:ind w:firstLine="420" w:firstLineChars="200"/>
        <w:rPr>
          <w:rFonts w:hint="eastAsia"/>
          <w:b w:val="0"/>
          <w:bCs w:val="0"/>
          <w:color w:val="000000"/>
          <w:kern w:val="44"/>
          <w:szCs w:val="21"/>
        </w:rPr>
      </w:pPr>
      <w:r>
        <w:rPr>
          <w:b w:val="0"/>
          <w:bCs w:val="0"/>
          <w:color w:val="000000"/>
          <w:kern w:val="44"/>
          <w:szCs w:val="21"/>
        </w:rPr>
        <w:t>理财产品</w:t>
      </w:r>
      <w:r>
        <w:rPr>
          <w:rFonts w:hint="eastAsia"/>
          <w:b w:val="0"/>
          <w:bCs w:val="0"/>
          <w:color w:val="000000"/>
          <w:kern w:val="44"/>
          <w:szCs w:val="21"/>
        </w:rPr>
        <w:t>存续期间</w:t>
      </w:r>
      <w:r>
        <w:rPr>
          <w:b w:val="0"/>
          <w:bCs w:val="0"/>
          <w:color w:val="000000"/>
          <w:kern w:val="44"/>
          <w:szCs w:val="21"/>
        </w:rPr>
        <w:t>，</w:t>
      </w:r>
      <w:r>
        <w:rPr>
          <w:rFonts w:hint="eastAsia"/>
          <w:b w:val="0"/>
          <w:bCs w:val="0"/>
          <w:color w:val="000000"/>
          <w:kern w:val="44"/>
          <w:szCs w:val="21"/>
        </w:rPr>
        <w:t>对</w:t>
      </w:r>
      <w:r>
        <w:rPr>
          <w:rFonts w:hint="eastAsia"/>
          <w:b w:val="0"/>
          <w:bCs w:val="0"/>
          <w:color w:val="000000"/>
          <w:kern w:val="44"/>
          <w:szCs w:val="21"/>
          <w:lang w:val="en-US" w:eastAsia="zh-CN"/>
        </w:rPr>
        <w:t>于</w:t>
      </w:r>
      <w:r>
        <w:rPr>
          <w:rFonts w:hint="eastAsia"/>
          <w:b w:val="0"/>
          <w:bCs w:val="0"/>
          <w:color w:val="000000"/>
          <w:kern w:val="44"/>
          <w:szCs w:val="21"/>
        </w:rPr>
        <w:t>理财产品业务规则、投资范围、投资比例、收费标准、认（申）购和赎回安排或管理人认为</w:t>
      </w:r>
      <w:r>
        <w:rPr>
          <w:b w:val="0"/>
          <w:bCs w:val="0"/>
          <w:color w:val="000000"/>
          <w:kern w:val="44"/>
          <w:szCs w:val="21"/>
        </w:rPr>
        <w:t>发生可能对投资者权益产生影响</w:t>
      </w:r>
      <w:r>
        <w:rPr>
          <w:rFonts w:hint="eastAsia"/>
          <w:b w:val="0"/>
          <w:bCs w:val="0"/>
          <w:color w:val="000000"/>
          <w:kern w:val="44"/>
          <w:szCs w:val="21"/>
        </w:rPr>
        <w:t>的条款进行补充、说明和修改</w:t>
      </w:r>
      <w:r>
        <w:rPr>
          <w:rFonts w:hint="eastAsia"/>
          <w:b w:val="0"/>
          <w:bCs w:val="0"/>
          <w:color w:val="000000"/>
          <w:kern w:val="44"/>
          <w:szCs w:val="21"/>
          <w:lang w:val="en-US" w:eastAsia="zh-CN"/>
        </w:rPr>
        <w:t>的</w:t>
      </w:r>
      <w:r>
        <w:rPr>
          <w:rFonts w:hint="eastAsia"/>
          <w:b w:val="0"/>
          <w:bCs w:val="0"/>
          <w:color w:val="000000"/>
          <w:kern w:val="44"/>
          <w:szCs w:val="21"/>
          <w:lang w:eastAsia="zh-CN"/>
        </w:rPr>
        <w:t>，</w:t>
      </w:r>
      <w:r>
        <w:rPr>
          <w:rFonts w:hint="eastAsia"/>
          <w:b w:val="0"/>
          <w:bCs w:val="0"/>
          <w:color w:val="000000"/>
          <w:kern w:val="44"/>
          <w:szCs w:val="21"/>
        </w:rPr>
        <w:t>管理人</w:t>
      </w:r>
      <w:r>
        <w:rPr>
          <w:rFonts w:hint="eastAsia"/>
          <w:b w:val="0"/>
          <w:bCs w:val="0"/>
          <w:color w:val="000000"/>
          <w:kern w:val="44"/>
          <w:szCs w:val="21"/>
          <w:lang w:val="en-US" w:eastAsia="zh-CN"/>
        </w:rPr>
        <w:t>将</w:t>
      </w:r>
      <w:r>
        <w:rPr>
          <w:rFonts w:hint="eastAsia"/>
          <w:b w:val="0"/>
          <w:bCs w:val="0"/>
          <w:color w:val="000000"/>
          <w:kern w:val="44"/>
          <w:szCs w:val="21"/>
        </w:rPr>
        <w:t>提前</w:t>
      </w:r>
      <w:r>
        <w:rPr>
          <w:rFonts w:hint="eastAsia"/>
          <w:b w:val="0"/>
          <w:bCs w:val="0"/>
          <w:color w:val="000000"/>
          <w:kern w:val="44"/>
          <w:szCs w:val="21"/>
          <w:lang w:val="en-US" w:eastAsia="zh-CN"/>
        </w:rPr>
        <w:t>3个工作日</w:t>
      </w:r>
      <w:r>
        <w:rPr>
          <w:rFonts w:hint="eastAsia"/>
          <w:b w:val="0"/>
          <w:bCs w:val="0"/>
          <w:color w:val="000000"/>
          <w:kern w:val="44"/>
          <w:szCs w:val="21"/>
        </w:rPr>
        <w:t>通过约定的信息披露渠道进行信息披露，</w:t>
      </w:r>
      <w:r>
        <w:rPr>
          <w:rFonts w:hint="eastAsia"/>
          <w:b w:val="0"/>
          <w:bCs w:val="0"/>
          <w:color w:val="000000"/>
          <w:kern w:val="44"/>
          <w:szCs w:val="21"/>
          <w:lang w:val="en-US" w:eastAsia="zh-CN"/>
        </w:rPr>
        <w:t>并</w:t>
      </w:r>
      <w:r>
        <w:rPr>
          <w:rFonts w:hint="eastAsia"/>
          <w:b w:val="0"/>
          <w:bCs w:val="0"/>
          <w:color w:val="000000"/>
          <w:kern w:val="44"/>
          <w:szCs w:val="21"/>
        </w:rPr>
        <w:t>及时发布临时信息披露公告。</w:t>
      </w:r>
    </w:p>
    <w:p>
      <w:pPr>
        <w:autoSpaceDE w:val="0"/>
        <w:autoSpaceDN w:val="0"/>
        <w:adjustRightInd w:val="0"/>
        <w:spacing w:line="360" w:lineRule="auto"/>
        <w:ind w:firstLine="420" w:firstLineChars="200"/>
        <w:rPr>
          <w:rFonts w:hint="eastAsia" w:eastAsia="宋体"/>
          <w:b w:val="0"/>
          <w:bCs w:val="0"/>
          <w:color w:val="000000"/>
          <w:kern w:val="44"/>
          <w:szCs w:val="21"/>
          <w:lang w:eastAsia="zh-CN"/>
        </w:rPr>
      </w:pPr>
      <w:r>
        <w:rPr>
          <w:rFonts w:hint="eastAsia"/>
          <w:color w:val="000000"/>
          <w:kern w:val="44"/>
          <w:szCs w:val="21"/>
        </w:rPr>
        <w:t>管理人在运用暂停认购、暂停申购、延期办理巨额赎回申请、暂停接受赎回申请、延缓支付赎回款项、暂停理财产品估值、摆动定价等措施后，3个交易日内告知该理财产品的投资者，并说明运用相关措施的原因、拟采取的应对安排等</w:t>
      </w:r>
      <w:r>
        <w:rPr>
          <w:rFonts w:hint="eastAsia"/>
          <w:b w:val="0"/>
          <w:bCs w:val="0"/>
          <w:color w:val="000000"/>
          <w:kern w:val="44"/>
          <w:szCs w:val="21"/>
        </w:rPr>
        <w:t>。</w:t>
      </w:r>
      <w:r>
        <w:rPr>
          <w:rFonts w:hint="eastAsia"/>
          <w:b w:val="0"/>
          <w:bCs w:val="0"/>
          <w:color w:val="000000"/>
          <w:kern w:val="44"/>
          <w:szCs w:val="21"/>
          <w:lang w:eastAsia="zh-CN"/>
        </w:rPr>
        <w:t>”</w:t>
      </w:r>
    </w:p>
    <w:p>
      <w:pPr>
        <w:pStyle w:val="2"/>
        <w:rPr>
          <w:rFonts w:hint="default"/>
          <w:b w:val="0"/>
          <w:bCs w:val="0"/>
          <w:lang w:val="en-US" w:eastAsia="zh-CN"/>
        </w:rPr>
      </w:pPr>
    </w:p>
    <w:p>
      <w:pPr>
        <w:spacing w:line="360" w:lineRule="auto"/>
        <w:ind w:firstLine="422" w:firstLineChars="200"/>
        <w:jc w:val="left"/>
        <w:rPr>
          <w:rFonts w:hint="default" w:asciiTheme="minorEastAsia" w:hAnsiTheme="minorEastAsia" w:eastAsiaTheme="minorEastAsia"/>
          <w:b/>
          <w:bCs/>
          <w:szCs w:val="21"/>
          <w:lang w:val="en-US" w:eastAsia="zh-CN"/>
        </w:rPr>
      </w:pPr>
      <w:r>
        <w:rPr>
          <w:rFonts w:hint="eastAsia" w:asciiTheme="minorEastAsia" w:hAnsiTheme="minorEastAsia" w:eastAsiaTheme="minorEastAsia"/>
          <w:b/>
          <w:bCs/>
          <w:szCs w:val="21"/>
          <w:lang w:val="en-US" w:eastAsia="zh-CN"/>
        </w:rPr>
        <w:t>三、完善理财产品管理人基本信息及主要职责</w:t>
      </w:r>
    </w:p>
    <w:p>
      <w:pPr>
        <w:spacing w:line="360" w:lineRule="auto"/>
        <w:ind w:firstLine="420" w:firstLineChars="200"/>
        <w:jc w:val="left"/>
        <w:rPr>
          <w:rFonts w:hint="eastAsia" w:asciiTheme="minorEastAsia" w:hAnsiTheme="minorEastAsia" w:eastAsiaTheme="minorEastAsia"/>
          <w:b w:val="0"/>
          <w:bCs w:val="0"/>
          <w:szCs w:val="21"/>
          <w:lang w:val="en-US" w:eastAsia="zh-CN"/>
        </w:rPr>
      </w:pPr>
      <w:r>
        <w:rPr>
          <w:rFonts w:hint="eastAsia" w:asciiTheme="minorEastAsia" w:hAnsiTheme="minorEastAsia" w:eastAsiaTheme="minorEastAsia"/>
          <w:b w:val="0"/>
          <w:bCs w:val="0"/>
          <w:szCs w:val="21"/>
          <w:lang w:val="en-US" w:eastAsia="zh-CN"/>
        </w:rPr>
        <w:t>新增理财产品管理人的联系方式以及主要职责，调整后主要内容如下：</w:t>
      </w:r>
    </w:p>
    <w:p>
      <w:pPr>
        <w:spacing w:line="360" w:lineRule="auto"/>
        <w:ind w:firstLine="420" w:firstLineChars="200"/>
        <w:rPr>
          <w:lang w:bidi="ar"/>
        </w:rPr>
      </w:pPr>
      <w:bookmarkStart w:id="6" w:name="_Hlk236128620"/>
      <w:r>
        <w:rPr>
          <w:rFonts w:hint="eastAsia"/>
          <w:lang w:eastAsia="zh-CN" w:bidi="ar"/>
        </w:rPr>
        <w:t>“</w:t>
      </w:r>
      <w:r>
        <w:rPr>
          <w:rFonts w:hint="eastAsia"/>
          <w:lang w:bidi="ar"/>
        </w:rPr>
        <w:t>民生理财有限责任公司是中国民生银行股份有限公司的全资子公司，注册资本50亿元人民币，注册地址：</w:t>
      </w:r>
      <w:bookmarkStart w:id="7" w:name="Text56"/>
      <w:r>
        <w:rPr>
          <w:rFonts w:hint="eastAsia"/>
          <w:lang w:bidi="ar"/>
        </w:rPr>
        <w:t>北京市顺义区后沙峪镇安平街3号</w:t>
      </w:r>
      <w:bookmarkEnd w:id="7"/>
      <w:r>
        <w:rPr>
          <w:rFonts w:hint="eastAsia"/>
          <w:lang w:bidi="ar"/>
        </w:rPr>
        <w:t>，</w:t>
      </w:r>
      <w:bookmarkStart w:id="8" w:name="Text50"/>
      <w:r>
        <w:rPr>
          <w:rFonts w:hint="eastAsia"/>
          <w:lang w:bidi="ar"/>
        </w:rPr>
        <w:t>客户服务热线：010-84110955</w:t>
      </w:r>
      <w:bookmarkEnd w:id="8"/>
      <w:r>
        <w:rPr>
          <w:rFonts w:hint="eastAsia"/>
          <w:lang w:bidi="ar"/>
        </w:rPr>
        <w:t>。公司成立于 2022年6月，前身是中国民生银行总行资产管理部，负责理财业务的发行、投资、运作和统筹管理。民生理财有限责任公司的经营范围包括非银行金融业务。公司拥有专业化的投资团队和丰富的产品管理经验。</w:t>
      </w:r>
    </w:p>
    <w:p>
      <w:pPr>
        <w:spacing w:line="360" w:lineRule="auto"/>
        <w:ind w:firstLine="420" w:firstLineChars="200"/>
        <w:rPr>
          <w:rFonts w:hint="eastAsia" w:eastAsia="宋体"/>
          <w:lang w:eastAsia="zh-CN" w:bidi="ar"/>
        </w:rPr>
      </w:pPr>
      <w:r>
        <w:rPr>
          <w:rFonts w:hint="eastAsia"/>
          <w:lang w:bidi="ar"/>
        </w:rPr>
        <w:t>产品管理人主要职责：负责理财产品的设计、发行、投资和管理等事宜。</w:t>
      </w:r>
      <w:r>
        <w:rPr>
          <w:rFonts w:hint="eastAsia"/>
          <w:lang w:eastAsia="zh-CN" w:bidi="ar"/>
        </w:rPr>
        <w:t>”</w:t>
      </w:r>
    </w:p>
    <w:bookmarkEnd w:id="6"/>
    <w:p>
      <w:pPr>
        <w:spacing w:line="360" w:lineRule="auto"/>
        <w:ind w:firstLine="420" w:firstLineChars="200"/>
        <w:jc w:val="left"/>
        <w:rPr>
          <w:rFonts w:hint="eastAsia" w:asciiTheme="minorEastAsia" w:hAnsiTheme="minorEastAsia" w:eastAsiaTheme="minorEastAsia"/>
          <w:b w:val="0"/>
          <w:bCs w:val="0"/>
          <w:szCs w:val="21"/>
          <w:lang w:val="en-US" w:eastAsia="zh-CN"/>
        </w:rPr>
      </w:pPr>
    </w:p>
    <w:p>
      <w:pPr>
        <w:spacing w:line="360" w:lineRule="auto"/>
        <w:ind w:firstLine="422" w:firstLineChars="200"/>
        <w:jc w:val="left"/>
        <w:rPr>
          <w:rFonts w:hint="eastAsia" w:asciiTheme="minorEastAsia" w:hAnsiTheme="minorEastAsia" w:eastAsiaTheme="minorEastAsia"/>
          <w:b/>
          <w:bCs/>
          <w:szCs w:val="21"/>
          <w:lang w:val="en-US" w:eastAsia="zh-CN"/>
        </w:rPr>
      </w:pPr>
      <w:r>
        <w:rPr>
          <w:rFonts w:hint="eastAsia" w:asciiTheme="minorEastAsia" w:hAnsiTheme="minorEastAsia" w:eastAsiaTheme="minorEastAsia"/>
          <w:b/>
          <w:bCs/>
          <w:szCs w:val="21"/>
          <w:lang w:val="en-US" w:eastAsia="zh-CN"/>
        </w:rPr>
        <w:t>四、明确理财产品相关收费项目、条件、标准和方式</w:t>
      </w:r>
    </w:p>
    <w:p>
      <w:pPr>
        <w:spacing w:line="360" w:lineRule="auto"/>
        <w:ind w:firstLine="420" w:firstLineChars="200"/>
        <w:jc w:val="left"/>
        <w:rPr>
          <w:rFonts w:hint="eastAsia" w:asciiTheme="minorEastAsia" w:hAnsiTheme="minorEastAsia" w:eastAsiaTheme="minorEastAsia"/>
          <w:b w:val="0"/>
          <w:bCs w:val="0"/>
          <w:szCs w:val="21"/>
          <w:lang w:val="en-US" w:eastAsia="zh-CN"/>
        </w:rPr>
      </w:pPr>
      <w:r>
        <w:rPr>
          <w:rFonts w:hint="eastAsia" w:asciiTheme="minorEastAsia" w:hAnsiTheme="minorEastAsia" w:eastAsiaTheme="minorEastAsia"/>
          <w:b w:val="0"/>
          <w:bCs w:val="0"/>
          <w:szCs w:val="21"/>
          <w:lang w:val="en-US" w:eastAsia="zh-CN"/>
        </w:rPr>
        <w:t>对于合同条款中未包含认（申）购及赎回费的产品，新增理财产品认（申）购及赎回费等相关描述，调整后主要内容如下：</w:t>
      </w:r>
    </w:p>
    <w:p>
      <w:pPr>
        <w:spacing w:line="360" w:lineRule="auto"/>
        <w:ind w:firstLine="420" w:firstLineChars="200"/>
        <w:jc w:val="left"/>
        <w:rPr>
          <w:rFonts w:hint="eastAsia"/>
          <w:color w:val="000000"/>
          <w:kern w:val="0"/>
          <w:szCs w:val="21"/>
        </w:rPr>
      </w:pPr>
      <w:r>
        <w:rPr>
          <w:rFonts w:hint="eastAsia"/>
          <w:lang w:eastAsia="zh-CN" w:bidi="ar"/>
        </w:rPr>
        <w:t>（</w:t>
      </w:r>
      <w:r>
        <w:rPr>
          <w:rFonts w:hint="eastAsia"/>
          <w:lang w:val="en-US" w:eastAsia="zh-CN" w:bidi="ar"/>
        </w:rPr>
        <w:t>一</w:t>
      </w:r>
      <w:r>
        <w:rPr>
          <w:rFonts w:hint="eastAsia"/>
          <w:lang w:eastAsia="zh-CN" w:bidi="ar"/>
        </w:rPr>
        <w:t>）</w:t>
      </w:r>
      <w:r>
        <w:rPr>
          <w:rFonts w:hint="eastAsia"/>
          <w:color w:val="000000"/>
          <w:kern w:val="0"/>
          <w:szCs w:val="21"/>
        </w:rPr>
        <w:t>本理财产品的</w:t>
      </w:r>
      <w:r>
        <w:rPr>
          <w:rFonts w:hint="eastAsia"/>
          <w:color w:val="000000"/>
          <w:kern w:val="0"/>
          <w:szCs w:val="21"/>
          <w:lang w:val="en-US" w:eastAsia="zh-CN"/>
        </w:rPr>
        <w:t>认</w:t>
      </w:r>
      <w:r>
        <w:rPr>
          <w:rFonts w:hint="eastAsia"/>
          <w:color w:val="000000"/>
          <w:kern w:val="0"/>
          <w:szCs w:val="21"/>
        </w:rPr>
        <w:t>购费率为【0.00】%，</w:t>
      </w:r>
      <w:r>
        <w:rPr>
          <w:rFonts w:hint="eastAsia"/>
          <w:color w:val="000000"/>
          <w:kern w:val="0"/>
          <w:szCs w:val="21"/>
          <w:lang w:val="en-US" w:eastAsia="zh-CN"/>
        </w:rPr>
        <w:t>认</w:t>
      </w:r>
      <w:r>
        <w:rPr>
          <w:rFonts w:hint="eastAsia"/>
          <w:color w:val="000000"/>
          <w:kern w:val="0"/>
          <w:szCs w:val="21"/>
        </w:rPr>
        <w:t>购费用由投资者在</w:t>
      </w:r>
      <w:r>
        <w:rPr>
          <w:rFonts w:hint="eastAsia"/>
          <w:color w:val="000000"/>
          <w:kern w:val="0"/>
          <w:szCs w:val="21"/>
          <w:lang w:val="en-US" w:eastAsia="zh-CN"/>
        </w:rPr>
        <w:t>认</w:t>
      </w:r>
      <w:r>
        <w:rPr>
          <w:rFonts w:hint="eastAsia"/>
          <w:color w:val="000000"/>
          <w:kern w:val="0"/>
          <w:szCs w:val="21"/>
        </w:rPr>
        <w:t>购时承担。</w:t>
      </w:r>
    </w:p>
    <w:p>
      <w:pPr>
        <w:spacing w:line="360" w:lineRule="auto"/>
        <w:ind w:firstLine="420" w:firstLineChars="200"/>
        <w:jc w:val="left"/>
        <w:rPr>
          <w:rFonts w:hint="eastAsia"/>
          <w:color w:val="000000"/>
          <w:kern w:val="0"/>
          <w:szCs w:val="21"/>
        </w:rPr>
      </w:pPr>
      <w:r>
        <w:rPr>
          <w:rFonts w:hint="eastAsia"/>
          <w:lang w:eastAsia="zh-CN" w:bidi="ar"/>
        </w:rPr>
        <w:t>（</w:t>
      </w:r>
      <w:r>
        <w:rPr>
          <w:rFonts w:hint="eastAsia"/>
          <w:lang w:val="en-US" w:eastAsia="zh-CN" w:bidi="ar"/>
        </w:rPr>
        <w:t>二</w:t>
      </w:r>
      <w:r>
        <w:rPr>
          <w:rFonts w:hint="eastAsia"/>
          <w:lang w:eastAsia="zh-CN" w:bidi="ar"/>
        </w:rPr>
        <w:t>）</w:t>
      </w:r>
      <w:r>
        <w:rPr>
          <w:rFonts w:hint="eastAsia"/>
          <w:color w:val="000000"/>
          <w:kern w:val="0"/>
          <w:szCs w:val="21"/>
          <w:lang w:val="en-US" w:eastAsia="zh-CN"/>
        </w:rPr>
        <w:t>本理财产品的申购费率为【0.00】%，申购费用由投资者在申购时承担</w:t>
      </w:r>
      <w:r>
        <w:rPr>
          <w:rFonts w:hint="eastAsia"/>
          <w:color w:val="000000"/>
          <w:kern w:val="0"/>
          <w:szCs w:val="21"/>
        </w:rPr>
        <w:t>。</w:t>
      </w:r>
    </w:p>
    <w:p>
      <w:pPr>
        <w:spacing w:line="360" w:lineRule="auto"/>
        <w:ind w:firstLine="420" w:firstLineChars="200"/>
        <w:jc w:val="left"/>
        <w:rPr>
          <w:rFonts w:hint="eastAsia"/>
          <w:color w:val="000000"/>
          <w:kern w:val="0"/>
          <w:szCs w:val="21"/>
        </w:rPr>
      </w:pPr>
      <w:r>
        <w:rPr>
          <w:rFonts w:hint="eastAsia"/>
          <w:lang w:eastAsia="zh-CN" w:bidi="ar"/>
        </w:rPr>
        <w:t>（</w:t>
      </w:r>
      <w:r>
        <w:rPr>
          <w:rFonts w:hint="eastAsia"/>
          <w:lang w:val="en-US" w:eastAsia="zh-CN" w:bidi="ar"/>
        </w:rPr>
        <w:t>三</w:t>
      </w:r>
      <w:r>
        <w:rPr>
          <w:rFonts w:hint="eastAsia"/>
          <w:lang w:eastAsia="zh-CN" w:bidi="ar"/>
        </w:rPr>
        <w:t>）</w:t>
      </w:r>
      <w:r>
        <w:rPr>
          <w:rFonts w:hint="eastAsia"/>
          <w:color w:val="000000"/>
          <w:kern w:val="0"/>
          <w:szCs w:val="21"/>
          <w:lang w:val="en-US" w:eastAsia="zh-CN"/>
        </w:rPr>
        <w:t>本理财产品的赎回</w:t>
      </w:r>
      <w:r>
        <w:rPr>
          <w:rFonts w:hint="eastAsia"/>
          <w:color w:val="000000"/>
          <w:kern w:val="0"/>
          <w:szCs w:val="21"/>
        </w:rPr>
        <w:t>费率：【0.00】%。赎回费用由投资者承担并于赎回份额时支付。对份额持有人所收取的赎回费用按【100】%计入理财产品资产。</w:t>
      </w:r>
    </w:p>
    <w:p>
      <w:pPr>
        <w:pStyle w:val="2"/>
        <w:rPr>
          <w:rFonts w:hint="eastAsia"/>
          <w:lang w:val="en-US" w:eastAsia="zh-CN"/>
        </w:rPr>
      </w:pPr>
    </w:p>
    <w:p>
      <w:pPr>
        <w:spacing w:line="360" w:lineRule="auto"/>
        <w:ind w:firstLine="422" w:firstLineChars="200"/>
        <w:jc w:val="left"/>
        <w:rPr>
          <w:rFonts w:hint="eastAsia" w:asciiTheme="minorEastAsia" w:hAnsiTheme="minorEastAsia" w:eastAsiaTheme="minorEastAsia"/>
          <w:b/>
          <w:bCs/>
          <w:szCs w:val="21"/>
          <w:lang w:val="en-US" w:eastAsia="zh-CN"/>
        </w:rPr>
      </w:pPr>
      <w:r>
        <w:rPr>
          <w:rFonts w:hint="eastAsia" w:asciiTheme="minorEastAsia" w:hAnsiTheme="minorEastAsia" w:eastAsiaTheme="minorEastAsia"/>
          <w:b/>
          <w:bCs/>
          <w:szCs w:val="21"/>
          <w:lang w:val="en-US" w:eastAsia="zh-CN"/>
        </w:rPr>
        <w:t>五、延长部分存续开放式产品的申赎业务受理时间</w:t>
      </w:r>
    </w:p>
    <w:p>
      <w:pPr>
        <w:spacing w:line="360" w:lineRule="auto"/>
        <w:ind w:firstLine="420" w:firstLineChars="200"/>
        <w:jc w:val="left"/>
        <w:rPr>
          <w:rFonts w:hint="eastAsia" w:eastAsia="宋体" w:asciiTheme="minorEastAsia" w:hAnsiTheme="minorEastAsia"/>
          <w:szCs w:val="21"/>
          <w:lang w:val="en-US" w:eastAsia="zh-CN"/>
        </w:rPr>
      </w:pPr>
      <w:r>
        <w:rPr>
          <w:rFonts w:hint="eastAsia" w:asciiTheme="minorEastAsia" w:hAnsiTheme="minorEastAsia" w:eastAsiaTheme="minorEastAsia"/>
          <w:szCs w:val="21"/>
          <w:lang w:val="en-US" w:eastAsia="zh-CN"/>
        </w:rPr>
        <w:t>为满足投资者对于理财产品交易服务的更高要求，优化投资者服务体验，将部分存续开放式产品的</w:t>
      </w:r>
      <w:r>
        <w:rPr>
          <w:rFonts w:hint="eastAsia"/>
          <w:color w:val="000000"/>
          <w:kern w:val="0"/>
          <w:szCs w:val="21"/>
        </w:rPr>
        <w:t>申购/赎回业务受理时间</w:t>
      </w:r>
      <w:r>
        <w:rPr>
          <w:rFonts w:hint="eastAsia"/>
          <w:color w:val="000000"/>
          <w:kern w:val="0"/>
          <w:szCs w:val="21"/>
          <w:lang w:val="en-US" w:eastAsia="zh-CN"/>
        </w:rPr>
        <w:t>延长至</w:t>
      </w:r>
      <w:r>
        <w:rPr>
          <w:rFonts w:hint="eastAsia"/>
          <w:color w:val="000000"/>
          <w:kern w:val="0"/>
          <w:szCs w:val="21"/>
        </w:rPr>
        <w:t>【9:00-17:00】</w:t>
      </w:r>
      <w:r>
        <w:rPr>
          <w:rFonts w:hint="eastAsia"/>
          <w:color w:val="000000"/>
          <w:kern w:val="0"/>
          <w:szCs w:val="21"/>
          <w:lang w:eastAsia="zh-CN"/>
        </w:rPr>
        <w:t>，</w:t>
      </w:r>
      <w:r>
        <w:rPr>
          <w:rFonts w:hint="eastAsia"/>
          <w:b/>
          <w:bCs/>
          <w:color w:val="000000"/>
          <w:kern w:val="0"/>
          <w:szCs w:val="21"/>
        </w:rPr>
        <w:t>销售服务机构的实际业务受理时间可能与</w:t>
      </w:r>
      <w:r>
        <w:rPr>
          <w:rFonts w:hint="eastAsia" w:cs="Times New Roman" w:asciiTheme="minorEastAsia" w:hAnsiTheme="minorEastAsia" w:eastAsiaTheme="minorEastAsia"/>
          <w:b/>
          <w:bCs/>
          <w:kern w:val="2"/>
          <w:sz w:val="21"/>
          <w:szCs w:val="21"/>
          <w:lang w:val="en-US" w:eastAsia="zh-CN" w:bidi="ar-SA"/>
        </w:rPr>
        <w:t>《理财产品说明书》</w:t>
      </w:r>
      <w:r>
        <w:rPr>
          <w:rFonts w:hint="eastAsia"/>
          <w:b/>
          <w:bCs/>
          <w:color w:val="000000"/>
          <w:kern w:val="0"/>
          <w:szCs w:val="21"/>
        </w:rPr>
        <w:t>不一致，具体以销售服务机构披露为准</w:t>
      </w:r>
      <w:r>
        <w:rPr>
          <w:rFonts w:hint="eastAsia"/>
          <w:b/>
          <w:bCs/>
          <w:color w:val="000000"/>
          <w:kern w:val="0"/>
          <w:szCs w:val="21"/>
          <w:lang w:eastAsia="zh-CN"/>
        </w:rPr>
        <w:t>。</w:t>
      </w:r>
    </w:p>
    <w:p>
      <w:pPr>
        <w:spacing w:line="360" w:lineRule="auto"/>
        <w:ind w:firstLine="420" w:firstLineChars="200"/>
        <w:rPr>
          <w:rFonts w:hint="eastAsia" w:cs="Times New Roman" w:asciiTheme="minorEastAsia" w:hAnsiTheme="minorEastAsia" w:eastAsiaTheme="minorEastAsia"/>
          <w:kern w:val="2"/>
          <w:sz w:val="21"/>
          <w:szCs w:val="21"/>
          <w:lang w:val="en-US" w:eastAsia="zh-CN" w:bidi="ar-SA"/>
        </w:rPr>
      </w:pPr>
      <w:bookmarkStart w:id="9" w:name="Text5"/>
    </w:p>
    <w:p>
      <w:pPr>
        <w:spacing w:line="360" w:lineRule="auto"/>
        <w:ind w:firstLine="420" w:firstLineChars="200"/>
        <w:rPr>
          <w:rFonts w:hint="eastAsia" w:cs="Times New Roman" w:asciiTheme="minorEastAsia" w:hAnsiTheme="minorEastAsia" w:eastAsiaTheme="minorEastAsia"/>
          <w:kern w:val="2"/>
          <w:sz w:val="21"/>
          <w:szCs w:val="21"/>
          <w:lang w:val="en-US" w:eastAsia="zh-CN" w:bidi="ar-SA"/>
        </w:rPr>
      </w:pPr>
      <w:r>
        <w:rPr>
          <w:rFonts w:hint="eastAsia" w:cs="Times New Roman" w:asciiTheme="minorEastAsia" w:hAnsiTheme="minorEastAsia" w:eastAsiaTheme="minorEastAsia"/>
          <w:kern w:val="2"/>
          <w:sz w:val="21"/>
          <w:szCs w:val="21"/>
          <w:lang w:val="en-US" w:eastAsia="zh-CN" w:bidi="ar-SA"/>
        </w:rPr>
        <w:t>对于前述第一项至第三项的调整事项，涉及理财产品清单见附件1；对于前述第四项的调整事项，涉及理财产品清单见附件2；对于前述第五项的调整事项，涉及理财产品清单见附件3。</w:t>
      </w:r>
      <w:bookmarkEnd w:id="9"/>
    </w:p>
    <w:p>
      <w:pPr>
        <w:spacing w:line="360" w:lineRule="auto"/>
        <w:ind w:firstLine="420" w:firstLineChars="200"/>
        <w:rPr>
          <w:rFonts w:hint="default" w:ascii="宋体" w:hAnsi="宋体" w:eastAsia="宋体" w:cs="宋体"/>
          <w:szCs w:val="21"/>
          <w:lang w:val="en-US" w:eastAsia="zh-CN"/>
        </w:rPr>
      </w:pPr>
      <w:r>
        <w:rPr>
          <w:rFonts w:hint="eastAsia" w:cs="仿宋" w:asciiTheme="minorEastAsia" w:hAnsiTheme="minorEastAsia" w:eastAsiaTheme="minorEastAsia"/>
          <w:szCs w:val="21"/>
        </w:rPr>
        <w:t>以上调整不会对本产品的实际投资运作产生</w:t>
      </w:r>
      <w:r>
        <w:rPr>
          <w:rFonts w:hint="eastAsia" w:cs="仿宋" w:asciiTheme="minorEastAsia" w:hAnsiTheme="minorEastAsia" w:eastAsiaTheme="minorEastAsia"/>
          <w:szCs w:val="21"/>
          <w:lang w:val="en-US" w:eastAsia="zh-CN"/>
        </w:rPr>
        <w:t>不利</w:t>
      </w:r>
      <w:r>
        <w:rPr>
          <w:rFonts w:hint="eastAsia" w:cs="仿宋" w:asciiTheme="minorEastAsia" w:hAnsiTheme="minorEastAsia" w:eastAsiaTheme="minorEastAsia"/>
          <w:szCs w:val="21"/>
        </w:rPr>
        <w:t>影响</w:t>
      </w:r>
      <w:r>
        <w:rPr>
          <w:rFonts w:hint="eastAsia" w:ascii="宋体" w:hAnsi="宋体" w:cs="宋体"/>
          <w:szCs w:val="21"/>
        </w:rPr>
        <w:t>。</w:t>
      </w:r>
      <w:r>
        <w:rPr>
          <w:rFonts w:hint="eastAsia" w:ascii="宋体" w:hAnsi="宋体" w:cs="宋体"/>
          <w:szCs w:val="21"/>
          <w:lang w:val="en-US" w:eastAsia="zh-CN"/>
        </w:rPr>
        <w:t>本公告作为与投资者的补充约定，</w:t>
      </w:r>
      <w:r>
        <w:rPr>
          <w:rFonts w:hint="eastAsia" w:ascii="宋体" w:hAnsi="宋体" w:cs="宋体"/>
          <w:b w:val="0"/>
          <w:bCs w:val="0"/>
          <w:szCs w:val="21"/>
          <w:lang w:val="en-US" w:eastAsia="zh-CN"/>
        </w:rPr>
        <w:t>与</w:t>
      </w:r>
      <w:r>
        <w:rPr>
          <w:b w:val="0"/>
          <w:bCs w:val="0"/>
        </w:rPr>
        <w:t>《风险揭示书》《理财产品说明书》</w:t>
      </w:r>
      <w:r>
        <w:rPr>
          <w:b w:val="0"/>
          <w:bCs w:val="0"/>
          <w:color w:val="000000"/>
          <w:kern w:val="0"/>
        </w:rPr>
        <w:t>《投资协议书》</w:t>
      </w:r>
      <w:r>
        <w:rPr>
          <w:rFonts w:hint="eastAsia"/>
          <w:b w:val="0"/>
          <w:bCs w:val="0"/>
          <w:color w:val="000000"/>
          <w:kern w:val="0"/>
          <w:lang w:val="en-US" w:eastAsia="zh-CN"/>
        </w:rPr>
        <w:t>等销售文件</w:t>
      </w:r>
      <w:r>
        <w:rPr>
          <w:rFonts w:hint="eastAsia" w:ascii="宋体" w:hAnsi="宋体" w:cs="宋体"/>
          <w:b w:val="0"/>
          <w:bCs w:val="0"/>
          <w:szCs w:val="21"/>
          <w:lang w:val="en-US" w:eastAsia="zh-CN"/>
        </w:rPr>
        <w:t>具有同等法律效力。</w:t>
      </w:r>
      <w:r>
        <w:rPr>
          <w:rFonts w:hint="eastAsia" w:ascii="宋体" w:hAnsi="宋体" w:cs="宋体"/>
          <w:szCs w:val="21"/>
          <w:lang w:val="en-US" w:eastAsia="zh-CN"/>
        </w:rPr>
        <w:t>全部存续开放式理财产品合同将在2026年12月31日前完成更新。</w:t>
      </w:r>
    </w:p>
    <w:p>
      <w:pPr>
        <w:spacing w:line="360" w:lineRule="auto"/>
        <w:ind w:firstLine="420" w:firstLineChars="200"/>
        <w:jc w:val="left"/>
        <w:rPr>
          <w:rFonts w:cs="仿宋" w:asciiTheme="minorEastAsia" w:hAnsiTheme="minorEastAsia" w:eastAsiaTheme="minorEastAsia"/>
          <w:szCs w:val="21"/>
        </w:rPr>
      </w:pPr>
      <w:r>
        <w:rPr>
          <w:rFonts w:hint="eastAsia" w:cs="仿宋" w:asciiTheme="minorEastAsia" w:hAnsiTheme="minorEastAsia" w:eastAsiaTheme="minorEastAsia"/>
          <w:szCs w:val="21"/>
        </w:rPr>
        <w:t>感谢您一直以来对民生理财有限责任公司的支持！敬请关注民生理财正在热销的理财产品。</w:t>
      </w:r>
    </w:p>
    <w:p>
      <w:pPr>
        <w:spacing w:line="360" w:lineRule="auto"/>
        <w:ind w:firstLine="420" w:firstLineChars="200"/>
        <w:rPr>
          <w:rFonts w:hint="eastAsia" w:cs="仿宋" w:asciiTheme="minorEastAsia" w:hAnsiTheme="minorEastAsia" w:eastAsiaTheme="minorEastAsia"/>
          <w:szCs w:val="21"/>
        </w:rPr>
      </w:pPr>
      <w:r>
        <w:rPr>
          <w:rFonts w:hint="eastAsia" w:cs="仿宋" w:asciiTheme="minorEastAsia" w:hAnsiTheme="minorEastAsia" w:eastAsiaTheme="minorEastAsia"/>
          <w:szCs w:val="21"/>
        </w:rPr>
        <w:t>特此公告。</w:t>
      </w:r>
    </w:p>
    <w:p>
      <w:pPr>
        <w:pStyle w:val="10"/>
        <w:spacing w:line="360" w:lineRule="auto"/>
        <w:jc w:val="right"/>
        <w:rPr>
          <w:rFonts w:cs="仿宋" w:asciiTheme="minorEastAsia" w:hAnsiTheme="minorEastAsia" w:eastAsiaTheme="minorEastAsia"/>
        </w:rPr>
      </w:pPr>
      <w:r>
        <w:rPr>
          <w:rFonts w:hint="eastAsia" w:cs="仿宋" w:asciiTheme="minorEastAsia" w:hAnsiTheme="minorEastAsia" w:eastAsiaTheme="minorEastAsia"/>
        </w:rPr>
        <w:t>民生理财有限责任公司</w:t>
      </w:r>
    </w:p>
    <w:p>
      <w:pPr>
        <w:pStyle w:val="10"/>
        <w:spacing w:line="360" w:lineRule="auto"/>
        <w:jc w:val="right"/>
        <w:rPr>
          <w:rFonts w:cs="Times New Roman" w:asciiTheme="minorEastAsia" w:hAnsiTheme="minorEastAsia" w:eastAsiaTheme="minorEastAsia"/>
          <w:kern w:val="2"/>
        </w:rPr>
      </w:pPr>
      <w:bookmarkStart w:id="10" w:name="Text6"/>
      <w:r>
        <w:rPr>
          <w:rFonts w:cs="Times New Roman" w:asciiTheme="minorEastAsia" w:hAnsiTheme="minorEastAsia" w:eastAsiaTheme="minorEastAsia"/>
          <w:kern w:val="2"/>
          <w:sz w:val="21"/>
          <w:szCs w:val="21"/>
          <w:lang w:val="en-US" w:eastAsia="zh-CN" w:bidi="ar-SA"/>
        </w:rPr>
        <w:fldChar w:fldCharType="begin">
          <w:ffData>
            <w:name w:val="Text6"/>
            <w:enabled w:val="0"/>
            <w:calcOnExit w:val="0"/>
            <w:textInput>
              <w:default w:val="2026年8月19日"/>
            </w:textInput>
          </w:ffData>
        </w:fldChar>
      </w:r>
      <w:r>
        <w:rPr>
          <w:rFonts w:cs="Times New Roman" w:asciiTheme="minorEastAsia" w:hAnsiTheme="minorEastAsia" w:eastAsiaTheme="minorEastAsia"/>
          <w:kern w:val="2"/>
          <w:sz w:val="21"/>
          <w:szCs w:val="21"/>
          <w:lang w:val="en-US" w:eastAsia="zh-CN" w:bidi="ar-SA"/>
        </w:rPr>
        <w:instrText xml:space="preserve">FORMTEXT</w:instrText>
      </w:r>
      <w:r>
        <w:rPr>
          <w:rFonts w:cs="Times New Roman" w:asciiTheme="minorEastAsia" w:hAnsiTheme="minorEastAsia" w:eastAsiaTheme="minorEastAsia"/>
          <w:kern w:val="2"/>
          <w:sz w:val="21"/>
          <w:szCs w:val="21"/>
          <w:lang w:val="en-US" w:eastAsia="zh-CN" w:bidi="ar-SA"/>
        </w:rPr>
        <w:fldChar w:fldCharType="separate"/>
      </w:r>
      <w:r>
        <w:rPr>
          <w:rFonts w:cs="Times New Roman" w:asciiTheme="minorEastAsia" w:hAnsiTheme="minorEastAsia" w:eastAsiaTheme="minorEastAsia"/>
          <w:kern w:val="2"/>
          <w:sz w:val="21"/>
          <w:szCs w:val="21"/>
          <w:lang w:val="en-US" w:eastAsia="zh-CN" w:bidi="ar-SA"/>
        </w:rPr>
        <w:t>2026年8月19日</w:t>
      </w:r>
      <w:r>
        <w:rPr>
          <w:rFonts w:cs="Times New Roman" w:asciiTheme="minorEastAsia" w:hAnsiTheme="minorEastAsia" w:eastAsiaTheme="minorEastAsia"/>
          <w:kern w:val="2"/>
          <w:sz w:val="21"/>
          <w:szCs w:val="21"/>
          <w:lang w:val="en-US" w:eastAsia="zh-CN" w:bidi="ar-SA"/>
        </w:rPr>
        <w:fldChar w:fldCharType="end"/>
      </w:r>
      <w:bookmarkEnd w:id="10"/>
    </w:p>
    <w:p>
      <w:pPr>
        <w:pStyle w:val="10"/>
        <w:spacing w:line="360" w:lineRule="auto"/>
        <w:jc w:val="right"/>
        <w:rPr>
          <w:rFonts w:cs="Times New Roman" w:asciiTheme="minorEastAsia" w:hAnsiTheme="minorEastAsia" w:eastAsiaTheme="minorEastAsia"/>
          <w:kern w:val="2"/>
        </w:rPr>
      </w:pPr>
    </w:p>
    <w:p>
      <w:pPr>
        <w:rPr>
          <w:rFonts w:hint="eastAsia" w:ascii="宋体" w:hAnsi="宋体" w:cs="Times New Roman"/>
          <w:kern w:val="2"/>
          <w:szCs w:val="22"/>
          <w:lang w:val="en-US" w:eastAsia="zh-CN"/>
        </w:rPr>
      </w:pPr>
      <w:r>
        <w:rPr>
          <w:rFonts w:hint="eastAsia" w:ascii="宋体" w:hAnsi="宋体" w:cs="Times New Roman"/>
          <w:kern w:val="2"/>
          <w:szCs w:val="22"/>
          <w:lang w:val="en-US" w:eastAsia="zh-CN"/>
        </w:rPr>
        <w:br w:type="page"/>
      </w:r>
    </w:p>
    <w:p>
      <w:pPr>
        <w:pStyle w:val="10"/>
        <w:spacing w:line="540" w:lineRule="atLeast"/>
        <w:jc w:val="left"/>
        <w:rPr>
          <w:rFonts w:hint="eastAsia" w:ascii="宋体" w:hAnsi="宋体" w:cs="Times New Roman"/>
          <w:kern w:val="2"/>
          <w:szCs w:val="22"/>
          <w:lang w:val="en-US" w:eastAsia="zh-CN"/>
        </w:rPr>
      </w:pPr>
      <w:r>
        <w:rPr>
          <w:rFonts w:hint="eastAsia" w:ascii="宋体" w:hAnsi="宋体" w:cs="Times New Roman"/>
          <w:kern w:val="2"/>
          <w:szCs w:val="22"/>
          <w:lang w:val="en-US" w:eastAsia="zh-CN"/>
        </w:rPr>
        <w:t>附件1：理财产品清单</w:t>
      </w:r>
    </w:p>
    <w:p>
      <w:pPr>
        <w:pStyle w:val="10"/>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cs="Times New Roman"/>
          <w:kern w:val="2"/>
          <w:szCs w:val="22"/>
        </w:rPr>
      </w:pPr>
      <w:r>
        <w:rPr>
          <w:rFonts w:hint="eastAsia" w:ascii="宋体" w:hAnsi="宋体" w:cs="Times New Roman"/>
          <w:kern w:val="2"/>
          <w:szCs w:val="22"/>
        </w:rPr>
        <w:t xml:space="preserve"> </w:t>
      </w:r>
    </w:p>
    <w:tbl>
      <w:tblPr>
        <w:tblStyle w:val="7"/>
        <w:tblW w:w="9178" w:type="dxa"/>
        <w:tblInd w:w="-42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34"/>
        <w:gridCol w:w="1400"/>
        <w:gridCol w:w="684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序号</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产品代码</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产品名称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default" w:asciiTheme="minorEastAsia" w:hAnsiTheme="minorEastAsia" w:eastAsiaTheme="minorEastAsia" w:cstheme="minorEastAsia"/>
                <w:i w:val="0"/>
                <w:iCs w:val="0"/>
                <w:color w:val="000000"/>
                <w:kern w:val="0"/>
                <w:sz w:val="21"/>
                <w:szCs w:val="21"/>
                <w:u w:val="none"/>
                <w:lang w:val="en-US" w:eastAsia="zh-CN" w:bidi="ar"/>
              </w:rPr>
              <w:t>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default" w:asciiTheme="minorEastAsia" w:hAnsiTheme="minorEastAsia" w:eastAsiaTheme="minorEastAsia" w:cstheme="minorEastAsia"/>
                <w:i w:val="0"/>
                <w:iCs w:val="0"/>
                <w:color w:val="000000"/>
                <w:kern w:val="0"/>
                <w:sz w:val="21"/>
                <w:szCs w:val="21"/>
                <w:u w:val="none"/>
                <w:lang w:val="en-US" w:eastAsia="zh-CN" w:bidi="ar"/>
              </w:rPr>
              <w:t>FSAE61001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default" w:asciiTheme="minorEastAsia" w:hAnsiTheme="minorEastAsia" w:eastAsiaTheme="minorEastAsia" w:cstheme="minorEastAsia"/>
                <w:i w:val="0"/>
                <w:iCs w:val="0"/>
                <w:color w:val="000000"/>
                <w:kern w:val="0"/>
                <w:sz w:val="21"/>
                <w:szCs w:val="21"/>
                <w:u w:val="none"/>
                <w:lang w:val="en-US" w:eastAsia="zh-CN" w:bidi="ar"/>
              </w:rPr>
              <w:t>民生理财富竹纯债91天持有期自动续期1号理财产品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FGAE61101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民生理财富竹纯债182天持有期自动续期1号机构款理财产品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FSAE61101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民生理财富竹纯债182天持有期自动续期1号理财产品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FSAE61201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民生理财富竹纯债一年持有期自动续期1号理财产品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FSAE68201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民生理财贵竹固收增强一年持有期自动续期1号理财产品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FGAE68031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民生理财贵竹固收增强季季发持有期自动续期机构款理财产品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FSAE73801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民生理财荣竹平衡FOF混合一年半持有期1号理财产品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FSAE68202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FSAE72802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民生理财荣竹平衡FOF混合一年持有期1号理财产品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FSAE69201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民生理财金竹FOF一年持有期1号理财产品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FSAE68032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民生理财贵竹固收增强季季发持有期自动续期理财产品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民生理财贵竹固收增利双月持有期自动续期1号理财产品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FSAE68901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民生理财贵竹固收增利半年持有期自动续期上海畅享款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民生理财贵竹固收增利单月持有期自动续期1号理财产品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民生理财贵竹固收增利3个月持有期自动续期1号理财产品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民生理财贵竹固收增利3个月持有期自动续期2号理财产品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FBAE68902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民生理财贵竹固收增利9个月持有期自动续期北京专属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FBAE68906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民生理财贵竹固收增利9个月持有期自动续期成都专属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FBAE68203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民生理财贵竹固收增强一年持有期长三角畅享款理财产品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FBAE68402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民生理财贵竹固收增利季初定开理财产品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FBAE68403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民生理财贵竹固收增利周周盈7天定开周二款理财产品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FBAE68407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民生理财贵竹固收增利9个月定开长三角畅享款1号理财产品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FSAE68606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民生理财贵竹固收增利91天持有期自动续期1号理财产品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FBAE68103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民生理财贵竹固收增利单月持有期自动续期2号理财产品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民生理财贵竹固收增利双月持有期自动续期2号理财产品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FBAE68609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民生理财贵竹固收增利182天持有期自动续期1号理财产品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FBAE68610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民生理财贵竹固收增利一年持有期自动续期1号理财产品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FSAE68410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民生理财贵竹固收增利周周盈7天定开周一款理财产品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FGAE68411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民生理财贵竹固收增利周周盈7天定开周一款机构理财产品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FSAE68412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民生理财贵竹固收增利周周盈7天定开周三款理财产品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FGAE68413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民生理财贵竹固收增利周周盈7天定开周三款机构理财产品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FBAE68611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民生理财贵竹固收增利6个月持有期自动续期1号理财产品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FBAE68612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民生理财贵竹固收增利6个月持有期自动续期2号理财产品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FSAE68205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FSAE69202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民生理财金竹FOF一年持有期2号理财产品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FGAE68002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民生理财贵竹固收增利周周盈7天持有期1号机构款理财产品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FBAE68615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民生理财贵竹固收增利3个月持有期自动续期3号理财产品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FBAE68613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民生理财贵竹固收增利91天持有期自动续期2号理财产品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FBAE68614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民生理财贵竹固收增利182天持有期自动续期2号理财产品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FSAE68415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民生理财贵竹固收增利周周盈7天定开周四款理财产品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FSAE68416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民生理财贵竹固收增利周周盈7天定开周五款理财产品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民生理财贵竹固收增利双月盈60天持有期1号理财产品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FGAE61002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民生理财富竹纯债91天持有期1号机构款理财产品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FSAE61002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FSAE61102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FGAE68009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民生理财贵竹固收增利天天盈1号机构款理财产品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民生理财贵竹固收增利月月盈30天持有期悠享款理财产品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民生理财贵竹固收增利季季盈90天持有期悠享款理财产品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FSAE25003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民生理财贵竹慧赢添利固收增强一年定开3号理财产品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FSAE25004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民生理财贵竹慧赢添利固收增强一年定开4号理财产品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FSAE25005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民生理财贵竹慧赢添利固收增强一年定开5号理财产品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FSAE25006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民生理财贵竹慧赢添利固收增强一年定开6号理财产品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FSAE68010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FSAE68011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FSAE50001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民生理财贵竹固收增强半年定开1号理财产品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FSAE52010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民生理财贵竹固收增强一年定开10号理财产品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FSAE52001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民生理财贵竹固收增强一年定开1号理财产品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FSAE50003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民生理财贵竹固收增强半年定开3号理财产品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FSAE50002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民生理财贵竹固收增强半年定开2号理财产品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FSAE53002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民生理财贵竹固收增强一年半定开2号理财产品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FSAE55003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民生理财贵竹固收增强两年定开3号理财产品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FSAE55004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民生理财贵竹固收增强两年定开4号理财产品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FSAE73002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民生理财荣竹平衡FOF混合一年半定开2号理财产品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FSAE72001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民生理财荣竹平衡FOF混合一年定开1号理财产品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FSAE52002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民生理财贵竹固收增强一年定开2号理财产品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FSAE52003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民生理财贵竹固收增强一年定开3号理财产品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FSAE52004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民生理财贵竹固收增强一年定开4号理财产品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FSAE52005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民生理财贵竹固收增强一年定开5号理财产品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FSAE52006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民生理财贵竹固收增强一年定开6号理财产品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FSAE55001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民生理财贵竹固收增强两年定开1号理财产品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FSAE55002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民生理财贵竹固收增强两年定开2号理财产品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FSAE58001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民生理财贵竹固收增强月月发1号理财产品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FSAE58003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民生理财贵竹固收增强月月发3号理财产品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FSAE06001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民生理财贵竹慧赢添利固收增强半年定开1号理财产品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FSAE06003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民生理财贵竹慧赢添利固收增强半年定开3号理财产品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FSAE06004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民生理财贵竹慧赢添利固收增强半年定开4号理财产品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FSAE58002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民生理财贵竹固收增强月月发2号理财产品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FSAE25010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民生理财贵竹慧赢添利固收增强一年定开10号理财产品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FSAE50004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民生理财贵竹固收增强半年定开4号理财产品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FSAE52007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民生理财贵竹固收增强一年定开7号理财产品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FSAE25001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民生理财贵竹慧赢添利固收增强一年定开1号理财产品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FSAE66101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民生理财荣竹大金融优选半年定开1号理财产品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FSAE72003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民生理财荣竹平衡FOF混合一年定开3号理财产品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FSAE06005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民生理财贵竹慧赢添利固收增强半年定开5号理财产品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FSAE06009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民生理财贵竹慧赢添利固收增强半年定开9号理财产品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FSAE06010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民生理财贵竹慧赢添利固收增强半年定开10号理财产品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FSAE25007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民生理财贵竹慧赢添利固收增强一年定开7号理财产品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FSAE25008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民生理财贵竹慧赢添利固收增强一年定开8号理财产品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FSAE25009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民生理财贵竹慧赢添利固收增强一年定开9号理财产品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FSAE25011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民生理财贵竹慧赢添利固收增强一年定开11号理财产品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FGAE68012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民生理财贵竹固收增利天天盈2号机构款理财产品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FSAE52008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民生理财贵竹固收增强一年定开8号理财产品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FSAE50005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民生理财贵竹固收增强半年定开5号理财产品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FSAF20168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民生理财天天增利现金管理新享款理财产品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FSAE68013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FSAE06006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民生理财贵竹慧赢添利固收增强半年定开6号理财产品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FSAE06007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民生理财贵竹慧赢添利固收增强半年定开7号理财产品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FSAE25002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民生理财贵竹慧赢添利固收增强一年定开2号理财产品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FSAE50006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民生理财贵竹固收增强半年定开6号理财产品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FSAE66102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民生理财荣竹大金融优选半年定开2号理财产品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FSAE72004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民生理财荣竹平衡FOF混合一年定开4号理财产品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FSAE72005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民生理财荣竹平衡FOF混合一年定开5号理财产品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FSAE73006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民生理财荣竹平衡FOF混合一年半定开6号理财产品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FSAE73007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民生理财荣竹平衡FOF混合一年半定开7号理财产品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FSAE06008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民生理财贵竹慧赢添利固收增强半年定开8号理财产品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FSAE72006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民生理财荣竹平衡FOF混合一年定开6号理财产品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FSAE72007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民生理财荣竹平衡FOF混合一年定开7号理财产品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FGAF18168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民生理财天天增利现金管理机构款理财产品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FSAF19168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民生理财天天增利现金管理悠享款理财产品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FSAE52541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民生理财贵竹固收增强低碳领先一年定开理财产品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FSAF19189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民生理财天天增利现金管理灵动款理财产品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FSAF18178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FSAF19188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民生理财天天增利现金管理私享款理财产品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FSAE61003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民生理财富竹纯债91天持有期自动续期2号理财产品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FSAE68014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FSAE68016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FBAE68616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民生理财贵竹固收增利一年持有期1号理财产品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FSAE68015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FBAE68207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FBAE70701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民生理财荣竹混合灵活申赎1号理财产品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FBAE68018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FBAE68022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FBAE61104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FBAE68017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FBAE68024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FBAE61103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FBAE68019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FBAE81001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FBAE68617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民生理财贵竹固收增利一年持有期2号理财产品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FBAE61203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民生理财富竹纯债一年持有期1号理财产品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FBAE50101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民生理财贵竹固收增强灵活申赎1号理财产品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FBAE60001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民生理财富竹纯债灵活申赎1号理财产品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FBAE68618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FBAE68020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FBAE68021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FSAF19012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FSAF19013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FSAF19014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FSAF19015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FSAF19016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FSAF19017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FSAF19018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FSAF19019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FSAF19020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FSAF19021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FSAF19022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FSAF19023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FSAF19024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FSAF19025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FBAE67001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民生理财贵竹固收增利周周发7天持有期1号理财产品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FBAE67101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民生理财贵竹固收增利月月发30天持有期1号理财产品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FBAF19035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民生理财天天增利现金管理31号理财产品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FBAF19034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民生理财天天增利现金管理30号理财产品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FBAF19033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FBAF19032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FBAF19031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FBAF19030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FSAF19029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FSAF19028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FSAF19027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FSAF19026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FBAE67201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民生理财贵竹固收增利季季发90天持有期1号理财产品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FBAE67301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民生理财贵竹固收增利半年发180天持有期1号理财产品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FBAE68619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FBAE68104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FBAF19036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民生理财天天增利现金管理32号理财产品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FBAE61105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FBAE67202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民生理财贵竹固收增利季季发90天持有期2号理财产品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FBAF19037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FBAE68023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FBAE68028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FBAE68029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FBAE68025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FBAE68620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FBAE68105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FBAE71801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FBAF19047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民生理财天天增利现金管理43号理财产品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FBAE61106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FBAF19048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民生理财天天增利现金管理44号理财产品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FBAF19038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FBAE68621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FBAE83001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民生理财银竹混合灵动A股机遇理财产品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FBAF19050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民生理财天天增利现金管理46号理财产品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FBAF19049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FBAE61107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FBAF19055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民生理财天天增利现金管理51号理财产品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FBAF19056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民生理财天天增利现金管理52号理财产品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FBAF19039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FBAE68026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FBAE41018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FBAE41019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FBAE41021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FBAF19053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民生理财天天增利现金管理49号理财产品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FBAF19059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民生理财天天增利现金管理55号理财产品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FBAE68622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FBAF19051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民生理财天天增利现金管理47号理财产品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FBAF19089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民生理财天天增利现金管理89号理财产品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FBAE61108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FBAE41020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民生理财贵竹固收增利天天盈20号理财产品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FBAF19046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民生理财天天增利现金管理42号理财产品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FBAF19086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民生理财天天增利现金管理86号理财产品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FBAE61009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FBAF19052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民生理财天天增利现金管理48号理财产品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民生理财茂竹双息策略3个月持有期1号理财产品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FBAF19057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民生理财天天增利现金管理53号理财产品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FBAE61010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FBAE61017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FBAF19091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民生理财天天增利现金管理91号理财产品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FBAF19058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民生理财天天增利现金管理54号理财产品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FBAF19096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民生理财天天增利现金管理96号理财产品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FBAE43301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民生理财茂竹双息策略1个月持有期1号理财产品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FBAE60002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民生理财富竹纯债灵活申赎2号理财产品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FBAF19061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民生理财天天增利现金管理57号理财产品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FBAF19062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民生理财天天增利现金管理58号理财产品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FBAF19063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民生理财天天增利现金管理59号理财产品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FBAF19064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民生理财天天增利现金管理60号理财产品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FBAF19097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民生理财天天增利现金管理97号理财产品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FBAF19067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民生理财天天增利现金管理63号理财产品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FBAF19066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民生理财天天增利现金管理62号理财产品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FBAF19065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民生理财天天增利现金管理61号理财产品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FBAF19060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民生理财天天增利现金管理56号理财产品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FBAE61109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FBAE81202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FBAE32501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民生理财富竹固收90天持有期1号理财产品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FBAF19125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民生理财天天增利现金管理125号理财产品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FBAF19126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FBAF19127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FBAF19128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FBAF19071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民生理财天天增利现金管理67号理财产品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FBAF19070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民生理财天天增利现金管理66号理财产品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FBAF19069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民生理财天天增利现金管理65号理财产品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FBAF19068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民生理财天天增利现金管理64号理财产品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FBAF19072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民生理财天天增利现金管理68号理财产品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FBAF19073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民生理财天天增利现金管理69号理财产品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FBAF19074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民生理财天天增利现金管理70号理财产品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FBAE41112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FBAE44501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民生理财贵竹固收增利双息策略3个月持有期1号理财产品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FBAE44301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民生理财贵竹固收增利双息策略1个月持有期1号理财产品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FBAE41027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FBAF19092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民生理财天天增利现金管理92号理财产品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FBAE61110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民生理财茂竹双息策略3个月持有期2号理财产品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FBAE71701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民生理财荣竹混合高股息策略半年持有期理财产品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FBAE71702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民生理财荣竹混合抗通胀策略半年持有期理财产品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FBAE32101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FBAE41109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FBAF19099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民生理财天天增利现金管理99号理财产品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FBAE41310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FBAE61011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FBAE43601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民生理财茂竹全球固收精选半年持有期1号理财产品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FBAE32301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民生理财富竹固收30天持有期1号理财产品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FBAE41029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民生理财贵竹固收增利天天盈29号理财产品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FBAE41030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民生理财贵竹固收增利天天盈30号理财产品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FBAE41028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FBAE61115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FBAE60211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FBAF19100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民生理财天天增利现金管理100号理财产品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FBAE41022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FBAE61205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民生理财富竹纯债一年持有期2号理财产品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FBAE41025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民生理财贵竹固收增利天天盈25号理财产品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民生理财天天增利现金管理101号理财产品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FBAE43901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民生理财茂竹固收黄金增强半年持有期理财产品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FBAE61014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FBAE68623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FBAE24101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民生理财富竹纯债日申季赎1号理财产品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FBAE43621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FBAE32201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民生理财富竹固收14天持有期1号理财产品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FBAE72805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民生理财荣竹混合行业龙头策略一年持有期理财产品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FBAE41402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民生理财贵竹固收增利双月盈60天持有期2号理财产品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FBAE46971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民生理财贵竹固收增强全球精选378天持有期自动续期理财产品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FBAE41017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民生理财天天增利现金管理106号理财产品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FBAE60615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FBAE43622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FBAE61012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FBAE61016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FBAE61111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民生理财天天增利现金管理107号理财产品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FBAF19093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民生理财天天增利现金管理93号理财产品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FBAE72806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民生理财荣竹混合高股息策略369天持有期理财产品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FBAE47601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民生理财贵竹固收增利369天持有期1号理财产品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FBAE41026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FBAE60516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FBAF19132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民生理财天天增利现金管理132号理财产品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FBAF19133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民生理财天天增利现金管理105号理财产品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FBAE41309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FBAF19118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FBAF19117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民生理财天天增利现金管理108号理财产品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FBAF19134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FBAE41032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民生理财贵竹固收增利天天盈32号理财产品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FBAE41033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FBAE60801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民生理财富竹纯债369天持有期1号理财产品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FBAE61015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FBAE41110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FBAE71802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FBAE41038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民生理财贵竹固收增利天天盈38号理财产品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FBAE60117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FBAE60113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FBAE60616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FBAF19136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民生理财天天增利现金管理136号理财产品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FBAF19141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民生理财天天增利现金管理141号理财产品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FBAF19078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民生理财天天增利现金管理74号理财产品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FBAE60310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FBAE51001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民生理财贵竹固收增强多策略日开1号理财产品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FBAF19090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民生理财天天增利现金管理90号理财产品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FBAE41123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民生理财贵竹固收增利周周盈7天持有期23号理财产品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民生理财天天增利现金管理104号理财产品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FBAE44502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民生理财贵竹固收增利双息策略3个月持有期2号理财产品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FBAE41034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FBAE41312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FBAE43302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民生理财茂竹双息策略1个月持有期2号理财产品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FBAF19094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民生理财天天增利现金管理94号理财产品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FBAF19079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民生理财天天增利现金管理75号理财产品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FBAE60802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民生理财富竹纯债369天持有期2号理财产品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FBAE43623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FBAE41041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民生理财贵竹固收增利天天盈41号理财产品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FBAE41035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FBAE60213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FBAE60118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FBAE60520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民生理财富竹纯债91天持有期20号理财产品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FBAE32103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FBAE41036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民生理财贵竹固收增利天天盈36号理财产品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FBAE67003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民生理财贵竹固收增利周周发7天持有期3号理财产品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FBAE88001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民生理财贵竹固收增利天天发1号理财产品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FBAE67401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民生理财贵竹固收增利双周发14天持有期1号理财产品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FBAE67103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民生理财贵竹固收增利月月发30天持有期3号理财产品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FBAE67203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民生理财贵竹固收增利季季发90天持有期3号理财产品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FBAE41311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FBAE41116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FBAE41117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FBAE41111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FBAE41039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民生理财贵竹固收增利天天盈39号理财产品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FBAE60311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FBAE71803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民生理财茂竹双息策略3个月持有期3号理财产品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FBAF19080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民生理财天天增利现金管理76号理财产品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民生理财天天增利现金管理102号理财产品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FBAE71501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民生理财荣竹混合行业龙头策略3个月持有期1号理财产品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民生理财茂竹双息策略3个月持有期4号理财产品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FBAE41037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民生理财贵竹固收增利天天盈37号理财产品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FBAF19150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民生理财天天增利现金管理150号理财产品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FBAE41313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FBAE41042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民生理财贵竹固收增利天天盈42号理财产品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民生理财茂竹双息策略3个月持有期5号理财产品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FBAE41314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FBAF19081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民生理财天天增利现金管理77号理财产品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FBAE41052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民生理财贵竹固收增利天天盈52号理财产品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FBAE41113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FBAE32102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FBAE60518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FBAE23001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民生理财富竹优债日开1号理财产品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FBAE24201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民生理财富竹纯债日申半年赎1号理财产品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FBAE24102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民生理财富竹纯债日申季赎2号理财产品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FBAE68624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FBAE43021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民生理财茂竹双债增强灵活申赎1号理财产品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FBAE42001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民生理财贵竹固收稳利日开1号理财产品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FBAE60004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民生理财富竹纯债灵活申赎4号理财产品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FBAF19082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民生理财天天增利现金管理78号理财产品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FBAE60522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FBAF19151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民生理财天天增利现金管理151号理财产品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FBAE43624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民生理财茂竹双债增强半年持有期4号理财产品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FBAE60124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民生理财富竹纯债7天持有期24号理财产品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FBAE67303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民生理财贵竹固收增利半年发180天持有期3号理财产品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FBAE41315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FBAE60312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FBAE67204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民生理财贵竹固收增利季季发90天持有期4号理财产品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FBAF19135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FBAF19137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民生理财天天增利现金管理137号理财产品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FBAE71502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民生理财荣竹混合行业龙头策略3个月持有期2号理财产品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FBAE60517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FBAF19083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民生理财天天增利现金管理79号理财产品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FBAE46831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民生理财贵竹固收增强全球精选369天持有期1号理财产品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FBAE41053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民生理财贵竹固收增利天天盈53号理财产品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FBAE60701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民生理财富竹纯债118天持有期1号理财产品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FBAE41321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FBAF19145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FBAF19161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民生理财天天增利现金管理161号理财产品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FBAE41514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FBAE47510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FBAE41118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FBAE51002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民生理财贵竹固收增强多策略日开2号理财产品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FBAE32401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民生理财富竹固收60天持有期1号理财产品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FBAE41318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FBAE60521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FBAF19084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民生理财天天增利现金管理80号理财产品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FBAE41046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民生理财贵竹固收增利天天盈46号理财产品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FBAE41054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民生理财贵竹固收增利天天盈54号理财产品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FBAE60114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FBAE41322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FBAE41043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民生理财贵竹固收增利天天盈43号理财产品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FBAE88002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民生理财贵竹固收增利天天发2号理财产品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FBAE88003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民生理财贵竹固收增利天天发3号理财产品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FBAE47602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民生理财贵竹固收增利369天持有期2号理财产品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FBAE41056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民生理财贵竹固收增利天天盈56号理财产品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FBAE41055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民生理财贵竹固收增利天天盈55号理财产品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FBAE41124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民生理财贵竹固收增利周周盈7天持有期24号理财产品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FBAE67004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民生理财贵竹固收增利周周发7天持有期4号理财产品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FBAE67402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民生理财贵竹固收增利双周发14天持有期2号理财产品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FBAE67104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民生理财贵竹固收增利月月发30天持有期4号理财产品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FBAE60120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民生理财富竹纯债7天持有期20号理财产品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FBAE60214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FBAE41127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FBAE60119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FBAE60217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FBAE60315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FBAE60523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民生理财富竹纯债91天持有期23号理财产品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FBAF19138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民生理财天天增利现金管理138号理财产品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FBAF19163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民生理财天天增利现金管理163号理财产品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FBAF19162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民生理财天天增利现金管理162号理财产品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FBAE70801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FBAE46301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FBAE41515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FBAE41319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FBAE41516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FBAE41131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民生理财贵竹固收增利周周盈7天持有期31号理财产品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FBAF19075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民生理财天天增利现金管理71号理财产品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FBAE41059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民生理财贵竹固收增利天天盈59号理财产品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FBAF19164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民生理财天天增利现金管理164号理财产品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FBAE60526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FBAF19165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民生理财天天增利现金管理165号理财产品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FBAE41212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FBAE41517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FBAE32351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民生理财富竹固收28天持有期1号理财产品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FBAE32551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民生理财富竹固收91天持有期1号理财产品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FBAE32155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FBAE41044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民生理财贵竹固收增利天天盈44号理财产品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FBAE71521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民生理财荣竹混合指数轮动3个月持有期1号理财产品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FBAE48501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FBAE67205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民生理财贵竹固收增利季季发90天持有期5号理财产品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FBAE49531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民生理财茂竹纯债金融债策略3个月持有期1号理财产品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FBAF19076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民生理财天天增利现金管理72号理财产品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FBAF19171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民生理财天天增利现金管理171号理财产品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FBAE41128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FBAE41058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民生理财贵竹固收增利天天盈58号理财产品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FBAE41057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民生理财贵竹固收增利天天盈57号理财产品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FBAE70802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民生理财荣竹混合3个月持有期2号理财产品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FBAE41320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民生理财贵竹固收增利月月盈30天持有期20号理财产品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FBAF19172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民生理财天天增利现金管理172号理财产品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FBAE67304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民生理财贵竹固收增利半年发180天持有期4号理财产品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FBAE67501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民生理财贵竹固收增利年年发360天持有期1号理财产品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FBAE41045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FBAE41518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FBAE88004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民生理财贵竹固收增利天天发4号理财产品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FBAE88005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民生理财贵竹固收增利天天发5号理财产品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FBAF19077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民生理财天天增利现金管理73号理财产品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FBAE60527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FBAE67105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民生理财贵竹固收增利月月发30天持有期5号理财产品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FBAE60618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FBAE46406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FBAF19166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民生理财天天增利现金管理166号理财产品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FBAE41069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民生理财贵竹固收增利天天盈69号理财产品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FBAE41070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民生理财贵竹固收增利天天盈70号理财产品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FBAE88007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民生理财贵竹固收增利天天发7号理财产品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FBAE88006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民生理财贵竹固收增利天天发6号理财产品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FBAE83002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民生理财银竹混合灵动A股机遇2号理财产品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FBAE60219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FBAF19152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民生理财天天增利现金管理152号理财产品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FBAE41325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民生理财贵竹固收增利月月盈30天持有期25号理财产品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FBAE46407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FBAE60316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FBAE60121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FBAE41132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民生理财贵竹固收增利周周盈7天持有期32号理财产品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FBAE31202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民生理财富竹固收双周盈14天持有期2号理财产品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FBAE60528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FBAE60317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FBAF19173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民生理财天天增利现金管理173号理财产品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FBAE60222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民生理财茂竹双息策略3个月持有期6号理财产品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FBAE41061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民生理财贵竹固收增利天天盈61号理财产品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FBAF19174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民生理财天天增利现金管理174号理财产品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FBAE60130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民生理财富竹纯债7天持有期30号理财产品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FBAE60220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民生理财富竹纯债14天持有期20号理财产品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FBAE49501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民生理财茂竹纯债3个月持有期1号理财产品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FBAE60122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FBAF19175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民生理财天天增利现金管理175号理财产品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FBAE41213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FBAE46408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FBAE32179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FBAE32573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民生理财富竹固收91天持有期3号理财产品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FBAE60321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FBAE60322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FBAE60619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FBAE41076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民生理财贵竹固收增利天天盈76号理财产品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FBAE46731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民生理财贵竹固收增强红利价值半年持有期1号理财产品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FBAE46101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民生理财贵竹固收增强1个月持有期1号理财产品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FBAF19176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民生理财天天增利现金管理176号理财产品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FBAE41519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FBAE41326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FBAE60227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FBAE46751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民生理财贵竹固收增强行业龙头策略半年持有期1号理财产品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FBAE47511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FBAF19177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民生理财天天增利现金管理177号理财产品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FBAE24601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民生理财富竹固收日申季赎1号理财产品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FBAE24501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民生理财富竹固收日申月赎1号理财产品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FBAE32205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民生理财富竹固收14天持有期5号理财产品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FBAF19181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民生理财天天增利现金管理181号理财产品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FBAF19159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民生理财天天增利现金管理159号理财产品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FBAE41129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民生理财贵竹固收增利周周盈7天持有期29号理财产品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FBAE41403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民生理财贵竹固收增利双月盈60天持有期3号理财产品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FBAE60228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FBAE60131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民生理财富竹纯债7天持有期31号理财产品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FBAE41077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民生理财贵竹固收增利天天盈77号理财产品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FBAE41323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民生理财贵竹固收增利月月盈30天持有期23号理财产品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FBAE49571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民生理财茂竹纯债稳健3个月持有期1号理财产品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FBAE67206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民生理财贵竹固收增利季季发90天持有期6号理财产品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FBAE67207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民生理财贵竹固收增利季季发90天持有期7号理财产品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FBAE41210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FBAE41125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民生理财贵竹固收增利周周盈7天持有期25号理财产品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FBAE67106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民生理财贵竹固收增利月月发30天持有期6号理财产品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FBAE67107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民生理财贵竹固收增利月月发30天持有期7号理财产品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FBAE24602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民生理财富竹固收日申季赎2号理财产品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FBAE60318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FBAE41126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FBAE41211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FBAE41316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FBAE46302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民生理财贵竹固收增强3个月持有期2号理财产品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FBAF19182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民生理财天天增利现金管理182号理财产品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FBAE41521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FBAE36011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FBAE41216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FBAE23771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民生理财富竹优债稳健182天持有期1号理财产品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FBAE34304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民生理财富竹固收28天持有期4号理财产品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FBAE23571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民生理财富竹优债稳健91天持有期1号理财产品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FBAE41317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FBAE41130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民生理财贵竹固收增利周周盈7天持有期30号理财产品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FBAE41327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FBAE41133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FBAE46409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FBAE34305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民生理财富竹固收28天持有期5号理财产品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FBAE71541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民生理财荣竹混合内需驱动3个月持有期1号理财产品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FBAE34208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民生理财富竹固收14天持有期8号理财产品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FBAE60128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FBAE60225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民生理财富竹纯债14天持有期25号理财产品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FBAE60125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民生理财富竹纯债7天持有期25号理财产品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FBAE46771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民生理财贵竹固收增强指数轮动半年持有期1号理财产品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FBAE49271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民生理财茂竹纯债稳健14天持有期1号理财产品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FBAE31104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民生理财富竹固收周周盈7天持有期4号理财产品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FBAE32303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民生理财富竹固收30天持有期3号理财产品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FBAE31303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民生理财富竹固收月月盈30天持有期3号理财产品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FBAE32206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民生理财富竹固收14天持有期6号理财产品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FBAE67007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民生理财贵竹固收增利周周发7天持有期7号理财产品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FBAE67006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民生理财贵竹固收增利周周发7天持有期6号理财产品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FBAE23701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民生理财富竹优债半年持有期1号理财产品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FBAE41060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民生理财贵竹固收增利天天盈60号理财产品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FBAE41067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民生理财贵竹固收增利天天盈67号理财产品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FBAE47604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民生理财贵竹固收增利369天持有期4号理财产品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FBAE32651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民生理财富竹固收182天持有期1号理财产品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FBAE32253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民生理财富竹固收14天持有期3号理财产品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FBAE32156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FBAE32552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民生理财富竹固收91天持有期2号理财产品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FBAF19158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民生理财天天增利现金管理158号理财产品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FBAE43521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FBAE41141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民生理财贵竹固收增利周周盈7天持有期41号理财产品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FBAE41324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民生理财贵竹固收增利月月盈30天持有期24号理财产品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FBAF19157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民生理财天天增利现金管理157号理财产品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FBAE67008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民生理财贵竹固收增利周周发7天持有期8号理财产品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FBAF19160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民生理财天天增利现金管理160号理财产品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FBAE67108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民生理财贵竹固收增利月月发30天持有期8号理财产品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FBAE67208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民生理财贵竹固收增利季季发90天持有期8号理财产品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FBAE49372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民生理财茂竹纯债稳健1个月持有期2号理财产品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FBAE41140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民生理财贵竹固收增利周周盈7天持有期40号理财产品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FBAE41333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FBAE41138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民生理财贵竹固收增利周周盈7天持有期38号理财产品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FBAE41139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民生理财贵竹固收增利周周盈7天持有期39号理财产品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FBAE92001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民生理财贵竹固收增利双债增强日开1号理财产品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FBAE41078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民生理财贵竹固收增利天天盈78号理财产品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FBAE60226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FBAE60129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民生理财富竹纯债7天持有期29号理财产品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FBAE41065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民生理财贵竹固收增利天天盈65号理财产品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FBAE47605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民生理财贵竹固收增利369天持有期5号理财产品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FBAE60132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民生理财富竹纯债7天持有期32号理财产品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FBAE41135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FBAE41329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民生理财贵竹固收增利月月盈30天持有期29号理财产品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FBAE46721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民生理财贵竹固收增强基础设施主题半年持有期1号理财产品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FBAE23371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民生理财富竹优债稳健28天持有期1号理财产品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FBAE46741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民生理财贵竹固收增强科技创新半年持有期1号理财产品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FBAE41079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民生理财贵竹固收增利天天盈79号理财产品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FBAE41071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民生理财贵竹固收增利天天盈71号理财产品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FBAE46761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民生理财贵竹固收增强周期驱动半年持有期1号理财产品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FBAE34306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民生理财富竹固收28天持有期6号理财产品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FBAF19187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民生理财天天增利现金管理187号理财产品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FBAF19186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民生理财天天增利现金管理186号理财产品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FBAF19191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民生理财天天增利现金管理191号理财产品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FBAE41072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民生理财贵竹固收增利天天盈72号理财产品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FBAF19193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民生理财天天增利现金管理193号理财产品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FBAF19194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民生理财天天增利现金管理194号理财产品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FBAE46303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民生理财贵竹固收增强3个月持有期3号理财产品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FBAE41520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民生理财贵竹固收增利季季盈90天持有期20号理财产品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FBAE47412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民生理财贵竹固收增利红利半年持有期2号理财产品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FBAE60323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民生理财富竹纯债28天持有期23号理财产品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FBAE41073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民生理财贵竹固收增利天天盈73号理财产品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FBAE60233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FBAE47513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FBAE46304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民生理财贵竹固收增强3个月持有期4号理财产品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FBAE46504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FBAE60229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民生理财富竹纯债14天持有期29号理财产品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FBAE41137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民生理财贵竹固收增利周周盈7天持有期37号理财产品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FBAE41330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民生理财贵竹固收增利月月盈30天持有期30号理财产品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FBAE60529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民生理财富竹纯债91天持有期29号理财产品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FBAE32503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民生理财富竹固收90天持有期3号理财产品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FBAE67502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民生理财贵竹固收增利年年发360天持有期2号理财产品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FBAE41074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民生理财贵竹固收增利天天盈74号理财产品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FBAE46102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民生理财贵竹固收增强1个月持有期2号理财产品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FBAE51101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民生理财贵竹固收增强日开1号理财产品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FBAE60533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FBAE60622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FBAE41328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FBAE41080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民生理财贵竹固收增利天天盈80号理财产品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FBAE43629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民生理财茂竹双债增强半年持有期9号理财产品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FBAE41214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FBAE41408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民生理财贵竹固收增利双月盈60天持有期8号理财产品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FBAE71100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民生理财荣竹混合沪港深精选日开1号理财产品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FBAE36009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FBAE47606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民生理财贵竹固收增利369天持有期6号理财产品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FBAE46410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FBAE60623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民生理财富竹纯债182天持有期23号理财产品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FBAE60806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民生理财富竹纯债369天持有期6号理财产品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FBAE48701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FBAE43611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民生理财茂竹全球固收精选3个月持有期1号理财产品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FBAE72807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民生理财荣竹混合沪港深精选一年持有期1号理财产品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FBAE36010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FBAE51300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民生理财贵竹固收增强全球精选日开1号理财产品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FBAE42109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FBAE46505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FBAE36013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FBAE41215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FBAE41148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民生理财贵竹固收增利周周盈7天持有期48号理财产品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FBAE60807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民生理财富竹纯债369天持有期7号理财产品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民生理财天天增利现金管理204号理财产品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FBAE67306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民生理财贵竹固收增利半年发180天持有期6号理财产品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FBAE67601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民生理财贵竹固收增利双月发60天持有期1号理财产品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FBAE47607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民生理财贵竹固收增利369天持有期7号理财产品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FBAE46781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民生理财贵竹固收增强新利半年持有期1号理财产品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民生理财天天增利现金管理203号理财产品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FBAE41075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民生理财贵竹固收增利天天盈75号理财产品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FBAE41089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民生理财贵竹固收增利天天盈89号理财产品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FBAE67209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民生理财贵竹固收增利季季发90天持有期9号理财产品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FBAE67503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民生理财贵竹固收增利年年发360天持有期3号理财产品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FBAE41336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民生理财贵竹固收增利月月盈30天持有期36号理财产品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FBAE41409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民生理财贵竹固收增利双月盈60天持有期9号理财产品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FBAE48504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民生理财茂竹固收3个月持有期4号理财产品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FBAE42110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FBAE51102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民生理财贵竹固收增强日开2号理财产品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民生理财天天增利现金管理202号理财产品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FBAE60901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民生理财富竹纯债278天持有期1号理财产品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FBAE60534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FBAE47608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民生理财贵竹固收增利369天持有期8号理财产品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FBAE43604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民生理财茂竹全球固收精选半年持有期4号理财产品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FBAE67109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民生理财贵竹固收增利月月发30天持有期9号理财产品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FBAE41525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民生理财贵竹固收增利季季盈90天持有期25号理财产品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FBAF19178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民生理财天天增利现金管理178号理财产品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FBAE51401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民生理财贵竹固收增强量化精选日开1号理财产品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FBAF19210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FBAE28001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民生理财富竹固收灵活计划1号理财产品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FBAE47609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民生理财贵竹固收增利369天持有期9号理财产品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FBAF19180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民生理财天天增利现金管理180号理财产品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FBAE48309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FBAF19179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民生理财天天增利现金管理179号理财产品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FBAE31009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FBAE31010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FBAE43522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民生理财茂竹双债增强3个月持有期2号理财产品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FBAE70001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民生理财荣竹混合日开1号理财产品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FBAF19192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民生理财天天增利现金管理192号理财产品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FBAF19211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FBAF19196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民生理财天天增利现金管理196号理财产品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FBAF19197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民生理财天天增利现金管理197号理财产品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FBAE41094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民生理财贵竹固收增利天天盈94号理财产品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FBAE41090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民生理财贵竹固收增利天天盈90号理财产品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FBAE42111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FBAF19198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民生理财天天增利现金管理198号理财产品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FBAF19200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民生理财天天增利现金管理200号理财产品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FBAE34110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FBAE46813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民生理财贵竹固收增强全球精选半年持有期3号理财产品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民生理财天天增利现金管理201号理财产品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民生理财贵竹固收增利全球精选半年持有期2号理财产品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FBAF19209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民生理财天天增利现金管理209号理财产品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FBAE60234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FBAF19199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民生理财天天增利现金管理199号理财产品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FBAE60328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FBAE41091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民生理财贵竹固收增利天天盈91号理财产品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FBAE41217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FBAE60626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FBAE60143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民生理财富竹纯债7天持有期43号理财产品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FBAE34210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民生理财富竹固收14天持有期10号理财产品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FBAF19217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FBAF19219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民生理财天天增利现金管理205号理财产品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FBAE41601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民生理财贵竹固收增利半年盈180天持有期1号理财产品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FBAE48310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FBAE46121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民生理财贵竹固收增强超利30天持有期1号理财产品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FBAE41522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FBAE42003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民生理财贵竹固收稳利日开3号理财产品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FBAF19212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FBAE32605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民生理财富竹固收182天持有期5号理财产品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FBAF19188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民生理财天天增利现金管理188号理财产品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FBAF19190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民生理财天天增利现金管理190号理财产品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FBAF19189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民生理财天天增利现金管理189号理财产品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FBAF19195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民生理财天天增利现金管理195号理财产品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FBAE60541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民生理财富竹纯债91天持有期41号理财产品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FBAE48311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FBAE41146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民生理财贵竹固收增利周周盈7天持有期46号理财产品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FBAE41222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FBAE41218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FBAE46151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民生理财贵竹固收增强之江科技创新半年持有期理财产品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FBAE46152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民生理财贵竹固收增强金陵高质量增长半年持有期理财产品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民生理财天天增利现金管理208号理财产品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FBAE49805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民生理财茂竹纯债7天定开周三款理财产品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FBAF19220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民生理财天天增利现金管理220号理财产品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FBAE42112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FBAE41085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民生理财贵竹固收增利天天盈85号理财产品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FBAE46122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民生理财贵竹固收增强超利30天持有期2号理财产品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FBAE48505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民生理财茂竹固收3个月持有期5号理财产品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FBAE46123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民生理财贵竹固收增强超利30天持有期3号理财产品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FBAE42171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民生理财贵竹固收稳利红利半年持有期1号理财产品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FBAE41530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民生理财贵竹固收增利季季盈90天持有期30号理财产品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FBAE41149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民生理财贵竹固收增利周周盈7天持有期49号理财产品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FBAE42201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民生理财贵竹固收稳利9个月持有期1号理财产品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FBAE41145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FBAE47610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民生理财贵竹固收增利369天持有期10号理财产品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民生理财天天增利现金管理207号理财产品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民生理财天天增利现金管理206号理财产品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FBAE34111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FBAE60326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FBAE51402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民生理财贵竹固收增强量化精选日开2号理财产品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FBAE31011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FBAF19221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FBAE41147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民生理财贵竹固收增利周周盈7天持有期47号理财产品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FBAE41407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民生理财贵竹固收增利双月盈60天持有期7号理财产品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FBAE41335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FBAE41334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FBAE67210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民生理财贵竹固收增利季季发90天持有期10号理财产品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FBAE31013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FBAE41092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民生理财贵竹固收增利天天盈92号理财产品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FBAE47411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民生理财贵竹固收增利红利半年持有期1号理财产品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FBAE46714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民生理财贵竹固收增强量化策略3个月持有期1号理财产品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FBAE42151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民生理财贵竹固收稳利全球精选半年持有期1号理财产品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FBAE41086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民生理财贵竹固收增利天天盈86号理财产品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FBAE46411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FBAE47413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民生理财贵竹固收增利红利一年持有期1号理财产品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FBAE41144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民生理财贵竹固收增利周周盈7天持有期44号理财产品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830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FBAE41602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民生理财贵竹固收增利半年盈180天持有期2号理财产品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831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FBAE41531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民生理财贵竹固收增利季季盈90天持有期31号理财产品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832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FBAE46506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833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FBAE43524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民生理财茂竹双债增强3个月持有期4号理财产品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834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FBAE52001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民生理财贵竹固收增强金利日开1号理财产品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835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民生理财贵竹固收增利全球精选一年持有期1号理财产品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836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FBAF19213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837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FBAE41337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民生理财贵竹固收增利月月盈30天持有期37号理财产品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838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FBAE41093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民生理财贵竹固收增利天天盈93号理财产品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839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FBAE42113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840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FBAE43523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民生理财茂竹双债增强3个月持有期3号理财产品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841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FBAE47514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842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FBAE24401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民生理财富竹固收日申周赎1号理财产品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843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FBAE24402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民生理财富竹固收日申周赎2号理财产品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844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FBAE24403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民生理财富竹固收日申周赎3号理财产品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845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FBAE24404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民生理财富竹固收日申周赎4号理财产品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846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FBAE24405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民生理财富竹固收日申周赎5号理财产品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847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FBAE46704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民生理财贵竹固收增强量化精选6个月持有期1号理财产品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848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FBAE60235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849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FBAE41087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民生理财贵竹固收增利天天盈87号理财产品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850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FBAE60136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民生理财富竹纯债7天持有期36号理财产品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851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FBAE36016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852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FBAE51211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民生理财贵竹固收增强多策略半年持有期1号理财产品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853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FBAE41161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民生理财贵竹固收增利周周盈7天持有期61号理财产品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854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FBAE41228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855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FBAF19235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856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FBAE69001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民生理财金竹量化增强半年持有期1号理财产品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857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FBAE46124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民生理财贵竹固收增强超利30天持有期4号理财产品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858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FBAE42303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民生理财贵竹固收稳利一年持有期3号理财产品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859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FBAE34307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民生理财富竹固收28天持有期7号理财产品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860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FBAE41537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民生理财贵竹固收增利季季盈90天持有期37号理财产品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861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FBAF19237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民生理财天天增利现金管理237号理财产品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862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FBAE42172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民生理财贵竹固收稳利红利半年持有期2号理财产品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863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FBAE42152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民生理财贵竹固收稳利全球精选半年持有期2号理财产品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864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FBAE41227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865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FBAE51221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民生理财贵竹固收增强多策略3个月持有期1号理财产品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866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FBAE49104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民生理财茂竹纯债7天持有期4号理财产品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867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FBAE42114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868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FBAE36021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869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FBAE41604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民生理财贵竹固收增利半年盈180天持有期4号理财产品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870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FBAE60537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民生理财富竹纯债91天持有期37号理财产品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871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FBAE60627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872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FBAE46701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民生理财贵竹固收增强量化精选3个月持有期1号理财产品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873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FBAE41162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民生理财贵竹固收增利周周盈7天持有期62号理财产品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874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FBAE60412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875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876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877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FBAE41605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民生理财贵竹固收增利半年盈180天持有期5号理财产品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878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FBAE47515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879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FBAE41150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民生理财贵竹固收增利周周盈7天持有期50号理财产品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880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FBAE31014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881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FBAE41096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民生理财贵竹固收增利天天盈96号理财产品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882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FBAE60628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883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FBAE46814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民生理财贵竹固收增强全球精选半年持有期4号理财产品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884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FBAE42153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民生理财贵竹固收稳利全球精选半年持有期3号理财产品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885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FBAE42173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民生理财贵竹固收稳利红利半年持有期3号理财产品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886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887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FBAF19247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民生理财天天增利现金管理247号理财产品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888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FBAF19248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民生理财天天增利现金管理248号理财产品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889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FBAF19236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民生理财天天增利现金管理236号理财产品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890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FBAF19233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891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FBAF19214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892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FBAE41088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民生理财贵竹固收增利天天盈88号理财产品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893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FBAE36017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894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FBAF19228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895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896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FBAE43525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民生理财茂竹双债增强3个月持有期5号理财产品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897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FBAE41223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民生理财贵竹固收增利双周盈14天持有期23号理财产品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898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FBAE47414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民生理财贵竹固收增利红利半年持有期3号理财产品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899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FBAE47421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民生理财贵竹固收增利双债增强半年持有期1号理财产品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FBAE38401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民生理财贵竹固收丰益半年持有期1号理财产品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FBAE41338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民生理财贵竹固收增利月月盈30天持有期38号理财产品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FBAE41339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民生理财贵竹固收增利月月盈30天持有期39号理财产品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民生理财贵竹固收增利全球精选半年持有期1号理财产品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FBAE60332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民生理财富竹纯债28天持有期32号理财产品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FBAE41154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民生理财贵竹固收增利周周盈7天持有期54号理财产品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FBAE41153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民生理财贵竹固收增利周周盈7天持有期53号理财产品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FBAE41231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民生理财贵竹固收增利双周盈14天持有期31号理财产品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FBAE67212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民生理财贵竹固收增利季季发90天持有期12号理财产品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FBAE41232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民生理财贵竹固收增利双周盈14天持有期32号理财产品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910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FBAF19229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民生理财天天增利现金管理229号理财产品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911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FBAF19222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912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FBAF19234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913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FBAE60134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914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915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916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FBAE41411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民生理财贵竹固收增利双月盈60天持有期11号理财产品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917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FBAE60334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918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FBAE42202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民生理财贵竹固收稳利9个月持有期2号理财产品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919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FBAE36018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FBAF19232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民生理财天天增利现金管理232号理财产品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FBAE60414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FBAF19230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民生理财天天增利现金管理230号理财产品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FBAE38301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民生理财贵竹固收丰益3个月持有期1号理财产品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FBAE60231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民生理财富竹纯债14天持有期31号理财产品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FBAE41340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民生理财贵竹固收增利月月盈30天持有期40号理财产品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民生理财贵竹固收增利天天盈101号理财产品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FBAE47516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FBAE47416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民生理财贵竹固收增利红利1个月持有期1号理财产品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FBAE41538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民生理财贵竹固收增利季季盈90天持有期38号理财产品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930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931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FBAE41157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民生理财贵竹固收增利周周盈7天持有期57号理财产品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932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FBAE91001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民生理财贵竹固收增利红利日开1号理财产品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933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FBAE94001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民生理财贵竹固收增利多策略日开1号理财产品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934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935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FBAE48312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936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FBAE41166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民生理财贵竹固收增利周周盈7天持有期66号理财产品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937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民生理财贵竹固收增利全球精选半年持有期3号理财产品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938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FBAE96001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民生理财贵竹固收增利指数轮动日开1号理财产品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939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FBAE41345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940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FBAE41097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民生理财贵竹固收增利天天盈97号理财产品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941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FBAE38402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民生理财贵竹固收丰益半年持有期2号理财产品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942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FBAF19243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民生理财天天增利现金管理243号理财产品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943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FBAE60232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民生理财富竹纯债14天持有期32号理财产品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944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FBAE47517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945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FBAE41233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946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FBAE42174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民生理财贵竹固收稳利红利半年持有期4号理财产品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947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FBAE46125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民生理财贵竹固收增强超利30天持有期5号理财产品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948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FBAE60538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民生理财富竹纯债91天持有期38号理财产品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949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FBAE95001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民生理财贵竹固收增利量化精选日开1号理财产品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950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FBAF19242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民生理财天天增利现金管理242号理财产品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951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FBAE95101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民生理财贵竹固收增利多元资产轮动日开1号理财产品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952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FBAF19231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民生理财天天增利现金管理231号理财产品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953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FBAE47423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民生理财贵竹固收增利双债增强1个月持有期1号理财产品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954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955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FBAE41100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民生理财贵竹固收增利天天盈100号理财产品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956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FBAE41099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民生理财贵竹固收增利天天盈99号理财产品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957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FBAE41346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民生理财贵竹固收增利月月盈30天持有期46号理财产品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958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FBAE42401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民生理财贵竹固收稳利1个月持有期1号理财产品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959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FBAE32114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960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FBAE36022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961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FBAE41098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民生理财贵竹固收增利天天盈98号理财产品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962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FBAE41347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民生理财贵竹固收增利月月盈30天持有期47号理财产品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963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FBAE32214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民生理财富竹固收14天持有期14号理财产品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964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FBAE95201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民生理财贵竹固收增利全球精选日开1号理财产品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965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FBAF19249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民生理财天天增利现金管理249号理财产品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966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FBAE42501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967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FBAE42502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民生理财贵竹固收稳利3个月持有期2号理财产品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968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FBAE60413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969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FBAE32608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民生理财富竹固收182天持有期8号理财产品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970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FBAE60333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971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FBAE41534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972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FBAE38451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民生理财贵竹固收丰益科创智选进取策略半年持有期1号理财产品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973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FBAE37451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民生理财贵竹固收添益科创智选稳健策略半年持有期1号理财产品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974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FBAE60629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民生理财富竹纯债182天持有期29号理财产品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975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FBAE34312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民生理财富竹固收28天持有期12号理财产品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976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FBAE60415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977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FBAE60951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民生理财富竹纯债科创智选稳健策略半年持有期1号理财产品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978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FBAF19244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民生理财天天增利现金管理244号理财产品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979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FBAF19250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民生理财天天增利现金管理250号理财产品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980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FBAF19246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民生理财天天增利现金管理246号理财产品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981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FBAF19245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982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FBAE60544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民生理财富竹纯债91天持有期44号理财产品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983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FBAE46308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民生理财贵竹固收增强3个月持有期8号理财产品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984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FBAE42402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民生理财贵竹固收稳利1个月持有期2号理财产品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985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FBAE60539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民生理财富竹纯债91天持有期39号理财产品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986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FBAE47461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民生理财贵竹固收增利多策略半年持有期1号理财产品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987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FBAE48315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988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民生理财贵竹固收增利天天盈105号理财产品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989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民生理财贵竹固收增利天天盈106号理财产品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990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民生理财贵竹固收增利天天盈107号理财产品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991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FBAE35505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民生理财富竹固收90天持有期5号理财产品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992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FBAE37452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民生理财贵竹固收添益科创智选稳健策略半年持有期2号理财产品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993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FBAE38452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民生理财贵竹固收丰益科创智选进取策略半年持有期2号理财产品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994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FBAE47518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995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FBAE60417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996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FBAE41542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民生理财贵竹固收增利季季盈90天持有期42号理财产品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997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FBAE36025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民生理财贵竹固收增利天天鑫25号理财产品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998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999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FBAE42503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民生理财贵竹固收稳利3个月持有期3号理财产品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FBAE99511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民生理财金竹汇星聚芒科技创新1个月持有期1号理财产品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FBAE99431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民生理财银竹汇星聚芒全市场轮动3个月持有期1号理财产品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FBAE99261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民生理财贵竹固收增利汇星聚芒全市场轮动6个月持有期1号理财产品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FBAE47415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民生理财贵竹固收增利红利半年持有期4号理财产品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FBAE38601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民生理财贵竹固收丰益一年持有期1号理财产品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FBAE60545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FBAE48507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民生理财茂竹固收3个月持有期7号理财产品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FBAE36026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FBAE41351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民生理财贵竹固收增利月月盈30天持有期51号理财产品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FBAE47540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民生理财贵竹固收增利28天持有期1号理财产品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1010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FBAE48316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1011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FBAE43526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民生理财茂竹双债增强3个月持有期6号理财产品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1012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FBAE43500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民生理财茂竹双债增强2个月持有期1号理财产品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1013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1014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FBAF19252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民生理财天天增利现金管理252号理财产品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1015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FBAF19251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民生理财天天增利现金管理251号理财产品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1016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FBAF19255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民生理财天天增利现金管理255号理财产品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1017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FBAF19254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民生理财天天增利现金管理254号理财产品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1018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FBAE41352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民生理财贵竹固收增利月月盈30天持有期52号理财产品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1019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FBAE37309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1020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FBAE48317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1021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1022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FBAE41234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1023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FBAE41235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1024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1025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FBAE42504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民生理财贵竹固收稳利3个月持有期4号理财产品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1026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FBAE41911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1027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民生理财贵竹固收增利天天盈103号理财产品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1028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FBAF19240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民生理财天天增利现金管理240号理财产品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1029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FBAE37310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1030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FBAE46161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民生理财贵竹固收增强超利3个月持有期1号理财产品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1031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FBAE41167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民生理财贵竹固收增利周周盈7天持有期67号理财产品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1032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FBAE60547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民生理财富竹纯债91天持有期47号理财产品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1033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FBAE60336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民生理财富竹纯债28天持有期36号理财产品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1034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FBAE41540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民生理财贵竹固收增利季季盈90天持有期40号理财产品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1035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民生理财贵竹固收增利天天盈104号理财产品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1036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民生理财贵竹固收增利天天盈102号理财产品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1037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FBAE41168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民生理财贵竹固收增利周周盈7天持有期68号理财产品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1038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FBAE37311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1039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FBAF19261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民生理财天天增利现金管理261号理财产品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1040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FBAE47561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1041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FBAE47519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1042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FBAE99361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民生理财贵竹固收增强汇星聚芒多资产轮动6个月持有期1号理财产品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1043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FBAE42403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民生理财贵竹固收稳利1个月持有期3号理财产品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1044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FBAE42505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民生理财贵竹固收稳利3个月持有期5号理财产品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1045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FBAE41348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民生理财贵竹固收增利月月盈30天持有期48号理财产品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1046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FBAE47562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1047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FBAE42305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民生理财贵竹固收稳利一年持有期5号理财产品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1048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FBAE41170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民生理财贵竹固收增利周周盈7天持有期70号理财产品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1049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FBAE41169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民生理财贵竹固收增利周周盈7天持有期69号理财产品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1050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FBAE21501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民生理财富竹纯债周开1号（91天持有期）理财产品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1051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FBAF19257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民生理财天天增利现金管理257号理财产品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1052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FBAE32115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1053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FBAE48318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1054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1055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FBAE22501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民生理财贵竹固收稳利周开1号（91天持有期）理财产品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1056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FBAE37312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1057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FBAF19256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民生理财天天增利现金管理256号理财产品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1058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FBAF19253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民生理财天天增利现金管理253号理财产品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1059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FBAE41541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民生理财贵竹固收增利季季盈90天持有期41号理财产品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1060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FBAE41355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民生理财贵竹固收增利月月盈30天持有期55号理财产品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1061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FBAE41173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民生理财贵竹固收增利周周盈7天持有期73号理财产品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1062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FBAF19262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民生理财天天增利现金管理262号理财产品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1063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FBAE42506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民生理财贵竹固收稳利3个月持有期6号理财产品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1064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FBAE91002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民生理财贵竹固收增利红利日开2号理财产品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1065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FBAE47565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1066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FBAE41539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民生理财贵竹固收增利季季盈90天持有期39号理财产品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1067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FBAE46507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1068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FBAE47463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民生理财贵竹固收增利多策略半年持有期2号理财产品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1069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FBAE47566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FBAE32306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民生理财富竹固收30天持有期6号理财产品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FBAE42005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民生理财贵竹固收稳利日开5号理财产品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FBAF19258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民生理财天天增利现金管理258号理财产品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FBAE42118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FBAE42507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民生理财贵竹固收稳利3个月持有期7号理财产品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FBAE41350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民生理财贵竹固收增利月月盈30天持有期50号理财产品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FBAE41349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民生理财贵竹固收增利月月盈30天持有期49号理财产品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FBAE47524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民生理财贵竹固收增利半年持有期24号理财产品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FBAE46413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1080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FBAE36028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1081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FBAE37101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民生理财贵竹固收添益7天持有期1号理财产品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1082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FBAE36027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1083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FBAE49105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民生理财茂竹纯债7天持有期5号理财产品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1084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FBAE47520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民生理财贵竹固收增利半年持有期20号理财产品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1085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FBAE43528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民生理财茂竹双债增强3个月持有期8号理财产品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1086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FBAE46412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1087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FBAF19265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民生理财天天增利现金管理265号理财产品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1088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FBAF19264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民生理财天天增利现金管理264号理财产品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1089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FBAE46000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民生理财贵竹固收增强恒享一年持有期1号（量化增强）理财产品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1090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FBAE46011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民生理财贵竹固收增强14天持有期1号理财产品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1091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FBAF19263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民生理财天天增利现金管理263号理财产品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1092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FBAE41356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民生理财贵竹固收增利月月盈30天持有期56号理财产品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1093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FBAE37201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民生理财贵竹固收添益28天持有期1号理财产品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1094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FBAE37313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1095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FBAE31015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1096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FBAE32217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民生理财富竹固收14天持有期17号理财产品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1097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FBAE42122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1098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FBAF19277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民生理财天天增利现金管理277号理财产品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1099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FBAF19281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民生理财天天增利现金管理281号理财产品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1100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FBAF19280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民生理财天天增利现金管理280号理财产品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1101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FBAF19279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民生理财天天增利现金管理279号理财产品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1102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FBAF19278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民生理财天天增利现金管理278号理财产品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1103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FBAE47543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民生理财贵竹固收增利1个月持有期3号理财产品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1104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FBAE34313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民生理财富竹固收28天持有期13号理财产品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1105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FBAE32610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民生理财富竹固收182天持有期10号理财产品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1106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FBAE32215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民生理财富竹固收14天持有期15号理财产品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1107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FBAE47570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1108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FBAE41910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1109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FBAE41357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民生理财贵竹固收增利月月盈30天持有期57号理财产品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1110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FBAF19259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民生理财天天增利现金管理259号理财产品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1111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FBAF19267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民生理财天天增利现金管理267号理财产品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1112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FBAE47568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1113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FBAE47569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1114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FBAE22502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民生理财贵竹固收稳利周开2号（91天持有期）理财产品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1115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FBAF19260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民生理财天天增利现金管理260号理财产品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1116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FBAE41913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1117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FBAE41174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民生理财贵竹固收增利周周盈7天持有期74号理财产品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1118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FBAE46508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1119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民生理财贵竹固收增利天天盈108号理财产品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1120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FBAE41341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民生理财贵竹固收增利月月盈30天持有期41号理财产品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1121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FBAE60338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民生理财富竹纯债28天持有期38号理财产品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1122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FBAE41353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民生理财贵竹固收增利月月盈30天持有期53号理财产品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1123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FBAE41914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1124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FBAE41606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民生理财贵竹固收增利半年盈180天持有期6号理财产品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1125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FBAE41543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民生理财贵竹固收增利季季盈90天持有期43号理财产品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1126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FBAE31017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1127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FBAE41238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民生理财贵竹固收增利双周盈14天持有期38号理财产品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1128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FBAE41171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民生理财贵竹固收增利周周盈7天持有期71号理财产品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1129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1130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FBAE32611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民生理财富竹固收182天持有期11号理财产品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1131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FBAE41915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1132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FBAE41916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1133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FBAE60149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民生理财富竹纯债7天持有期49号理财产品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1134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FBAE60340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民生理财富竹纯债28天持有期40号理财产品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1135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FBAE41172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民生理财贵竹固收增利周周盈7天持有期72号理财产品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1136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FBAE47471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民生理财贵竹固收增利量化精选3个月持有期1号理财产品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1137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FBAE60416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1138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FBAE41547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民生理财贵竹固收增利季季盈90天持有期47号理财产品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1139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FBAE31018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FBAE47573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FBAE60339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民生理财富竹纯债28天持有期39号理财产品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FBAE42124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民生理财贵竹固收稳利半年持有期24号理财产品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FBAE99963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民生理财贵竹固收增利磐石半年持有期3号理财产品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FBAE99901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民生理财贵竹固收增利磐石日开1号理财产品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FBAE47529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民生理财贵竹固收增利半年持有期29号理财产品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FBAE32407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民生理财富竹固收60天持有期7号理财产品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FBAE32117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FBAE42119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FBAE20501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民生理财贵竹固收添益周开1号（91天持有期）理财产品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1150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FBAE47576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1151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FBAE46415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1152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FBAE47577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1153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FBAE41358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民生理财贵竹固收增利月月盈30天持有期58号理财产品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1154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FBAE41239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民生理财贵竹固收增利双周盈14天持有期39号理财产品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1155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FBAE41354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民生理财贵竹固收增利月月盈30天持有期54号理财产品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1156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FBAE31019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1157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FBAE41545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1158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FBAE41175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民生理财贵竹固收增利周周盈7天持有期75号理财产品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1159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FBAE69003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民生理财金竹量化红利增强半年持有期1号理财产品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1160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FBAE98201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民生理财慧竹稳利3个月持有期1号理财产品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1161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FBAE46509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1162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FBAE41361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民生理财贵竹固收增利月月盈30天持有期61号理财产品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1163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FBAE41241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民生理财贵竹固收增利双周盈14天持有期41号理财产品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1164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FBAE60635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1165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FBAE71531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民生理财荣竹混合量化增强3个月持有期1号理财产品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1166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FBAE41416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民生理财贵竹固收增利双月盈60天持有期16号理财产品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1167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FBAE37409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1168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FBAE60342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民生理财富竹纯债28天持有期42号理财产品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1169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FBAE41362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民生理财贵竹固收增利月月盈30天持有期62号理财产品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1170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FBAE41177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民生理财贵竹固收增利周周盈7天持有期77号理财产品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1171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FBAE98301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民生理财慧竹增利3个月持有期1号理财产品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1172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FBAE26801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民生理财富竹固收安盈天天快线1号理财产品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1173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FBAE41607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民生理财贵竹固收增利半年盈180天持有期7号理财产品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1174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FBAE41917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1175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FBAE41178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民生理财贵竹固收增利周周盈7天持有期78号理财产品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1176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FBAE47522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1177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FBAE60343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民生理财富竹纯债28天持有期43号理财产品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1178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FBAE42123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民生理财贵竹固收稳利半年持有期23号理财产品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1179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FBAE41179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民生理财贵竹固收增利周周盈7天持有期79号理财产品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1180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FBAE41244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民生理财贵竹固收增利双周盈14天持有期44号理财产品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1181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FBAE37491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民生理财贵竹固收添益多元策略半年持有期1号理财产品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1182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FBAE47530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民生理财贵竹固收增利半年持有期30号理财产品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1183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FBAE31021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1184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FBAE41366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民生理财贵竹固收增利月月盈30天持有期66号理财产品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1185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FBAE41182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民生理财贵竹固收增利周周盈7天持有期82号理财产品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1186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FBAE41247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民生理财贵竹固收增利双周盈14天持有期47号理财产品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1187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FBAE60147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民生理财富竹纯债7天持有期47号理财产品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1188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FBAE42125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民生理财贵竹固收稳利半年持有期25号理财产品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1189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FBAE42508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民生理财贵竹固收稳利3个月持有期8号理财产品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1190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FBAE47578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1191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FBAE47574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1192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FBAE37410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1193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FBAE37411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1194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FBAE41363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民生理财贵竹固收增利月月盈30天持有期63号理财产品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1195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FBAE32505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民生理财富竹固收91天持有期5号理财产品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1196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FBAE42404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民生理财贵竹固收稳利1个月持有期4号理财产品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1197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FBAE37316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1198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FBAE41548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民生理财贵竹固收增利季季盈90天持有期48号理财产品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1199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FBAE41920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民生理财贵竹固收增利天天盈120号理财产品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FBAE41181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民生理财贵竹固收增利周周盈7天持有期81号理财产品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FBAE37052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民生理财贵竹固收添益磐石日开2号理财产品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FBAE37202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民生理财贵竹固收添益28天持有期2号理财产品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FBAE98401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民生理财慧竹增强3个月持有期1号理财产品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FBAE71704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民生理财荣竹混合多资产半年持有期1号理财产品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FBAE60550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民生理财富竹纯债91天持有期50号理财产品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FBAE41183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民生理财贵竹固收增利周周盈7天持有期83号理财产品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FBAE47501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民生理财贵竹固收增利360天持有期1号理财产品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FBAE41372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民生理财贵竹固收增利月月盈30天持有期72号理财产品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FBAE41921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1210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FBAE24003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民生理财富竹纯债日申月赎3号理财产品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1211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FBAE41370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民生理财贵竹固收增利月月盈30天持有期70号理财产品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1212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FBAE41414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民生理财贵竹固收增利双月盈60天持有期14号理财产品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1213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FBAE41923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民生理财贵竹固收增利天天盈123号理财产品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1214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FBAE41922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1215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FBAE47525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民生理财贵竹固收增利半年持有期25号理财产品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1216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FBAE41243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民生理财贵竹固收增利双周盈14天持有期43号理财产品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1217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FBAE41371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民生理财贵竹固收增利月月盈30天持有期71号理财产品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1218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FBAE41242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民生理财贵竹固收增利双周盈14天持有期42号理财产品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1219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FBAE47575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1220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FBAF19288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民生理财天天增利现金管理288号理财产品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1221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FBAE21502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民生理财富竹纯债周开2号（91天持有期）理财产品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1222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FBAE41367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民生理财贵竹固收增利月月盈30天持有期67号理财产品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1223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FBAE41373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民生理财贵竹固收增利月月盈30天持有期73号理财产品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1224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FBAE41553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民生理财贵竹固收增利季季盈90天持有期53号理财产品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1225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FBAE41245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1226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FBAE47545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民生理财贵竹固收增利1个月持有期5号理财产品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1227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FBAE41546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民生理财贵竹固收增利季季盈90天持有期46号理财产品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1228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FBAE47464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民生理财贵竹固收增利多策略半年持有期3号理财产品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1229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FBAE41369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民生理财贵竹固收增利月月盈30天持有期69号理财产品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1230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FBAE41359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民生理财贵竹固收增利月月盈30天持有期59号理财产品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1231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FBAE32116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1232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FBAE47526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1233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FBAE31022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1234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FBAE41549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民生理财贵竹固收增利季季盈90天持有期49号理财产品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1235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FBAE41364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民生理财贵竹固收增利月月盈30天持有期64号理财产品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1236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FBAE37322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1237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FBAE37321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1238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FBAE60150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民生理财富竹纯债7天持有期50号理财产品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1239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FBAE31016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1240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FBAE41374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民生理财贵竹固收增利月月盈30天持有期74号理财产品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1241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FBAE32504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民生理财富竹固收91天持有期4号理财产品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1242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FBAE41608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民生理财贵竹固收增利半年盈180天持有期8号理财产品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1243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FBAE47571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1244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FBAE37055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民生理财贵竹固收添益磐石日开5号理财产品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1245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FBAE41184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民生理财贵竹固收增利周周盈7天持有期84号理财产品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1246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FBAE37412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1247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FBAE60341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民生理财富竹纯债28天持有期41号理财产品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1248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FBAE41185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民生理财贵竹固收增利周周盈7天持有期85号理财产品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1249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FBAE36029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民生理财贵竹固收增利天天鑫29号理财产品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1250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FBAE41924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民生理财贵竹固收增利天天盈124号理财产品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1251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FBAE36030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民生理财贵竹固收增利天天鑫30号理财产品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1252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FBAF19266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民生理财天天增利现金管理266号理财产品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1253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FBAE41376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民生理财贵竹固收增利月月盈30天持有期76号理财产品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1254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FBAE32119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1255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FBAE41550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民生理财贵竹固收增利季季盈90天持有期50号理财产品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1256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FBAE34314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民生理财富竹固收28天持有期14号理财产品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1257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FBAE32118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1258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FBAE32218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民生理财富竹固收14天持有期18号理财产品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1259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FBAE41929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民生理财贵竹固收增利天天盈129号理财产品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1260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FBAE41930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民生理财贵竹固收增利天天盈130号理财产品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1261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FBAE47579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1262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FBAE41375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民生理财贵竹固收增利月月盈30天持有期75号理财产品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1263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FBAE41382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民生理财贵竹固收增利月月盈30天持有期82号理财产品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1264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FBAE37003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民生理财贵竹固收添益日开3号理财产品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1265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FBAE41381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民生理财贵竹固收增利月月盈30天持有期81号理财产品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1266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FBAE41928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1267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FBAE47527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1268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FBAE37323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民生理财贵竹固收添益3个月持有期23号理财产品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1269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FBAE32408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民生理财富竹固收60天持有期8号理财产品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1270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FBAE32307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民生理财富竹固收30天持有期7号理财产品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1271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FBAE41191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民生理财贵竹固收增利周周盈7天持有期91号理财产品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1272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FBAE37416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1273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FBAE37317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1274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FBAE37419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1275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FBAE47567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1276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FBAE47523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民生理财贵竹固收增利半年持有期23号理财产品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1277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FBAE41250</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民生理财贵竹固收增利双周盈14天持有期50号理财产品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1278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FBAE21503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民生理财富竹纯债周开3号（91天持有期）理财产品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1279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FBAE60148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民生理财富竹纯债7天持有期48号理财产品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1280</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FBAE41377</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民生理财贵竹固收增利月月盈30天持有期77号理财产品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1281</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FBAE41378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民生理财贵竹固收增利月月盈30天持有期78号理财产品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1282</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FBAE99969</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民生理财贵竹固收增利磐石半年持有期9号理财产品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1283</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FBAE60555</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民生理财富竹纯债91天持有期55号理财产品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1284</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FBAE41556</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民生理财贵竹固收增利季季盈90天持有期56号理财产品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1285</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FBAE41384</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民生理财贵竹固收增利月月盈30天持有期84号理财产品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1286</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FBAE41422</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民生理财贵竹固收增利双月盈60天持有期22号理财产品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1287</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FBAE41421</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民生理财贵竹固收增利双月盈60天持有期21号理财产品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1288</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FBAE41258</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民生理财贵竹固收增利双周盈14天持有期58号理财产品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9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1289</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FBAE26903</w:t>
            </w:r>
          </w:p>
        </w:tc>
        <w:tc>
          <w:tcPr>
            <w:tcW w:w="6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民生理财富竹固收安盈天天快线理财产品</w:t>
            </w:r>
          </w:p>
        </w:tc>
      </w:tr>
    </w:tbl>
    <w:p>
      <w:pPr>
        <w:pStyle w:val="10"/>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cs="Times New Roman"/>
          <w:kern w:val="2"/>
          <w:szCs w:val="22"/>
        </w:rPr>
      </w:pPr>
    </w:p>
    <w:p>
      <w:pPr>
        <w:pStyle w:val="10"/>
        <w:keepNext w:val="0"/>
        <w:keepLines w:val="0"/>
        <w:pageBreakBefore w:val="0"/>
        <w:widowControl/>
        <w:kinsoku/>
        <w:wordWrap/>
        <w:overflowPunct/>
        <w:topLinePunct w:val="0"/>
        <w:autoSpaceDE/>
        <w:autoSpaceDN/>
        <w:bidi w:val="0"/>
        <w:adjustRightInd/>
        <w:snapToGrid/>
        <w:spacing w:line="240" w:lineRule="auto"/>
        <w:jc w:val="left"/>
        <w:textAlignment w:val="auto"/>
        <w:rPr>
          <w:rFonts w:ascii="宋体" w:hAnsi="宋体" w:cs="Times New Roman"/>
          <w:kern w:val="2"/>
          <w:szCs w:val="22"/>
        </w:rPr>
      </w:pPr>
    </w:p>
    <w:p>
      <w:pPr>
        <w:rPr>
          <w:rFonts w:cs="Times New Roman" w:asciiTheme="minorEastAsia" w:hAnsiTheme="minorEastAsia" w:eastAsiaTheme="minorEastAsia"/>
          <w:kern w:val="2"/>
          <w:sz w:val="28"/>
          <w:szCs w:val="28"/>
        </w:rPr>
      </w:pPr>
      <w:r>
        <w:rPr>
          <w:rFonts w:cs="Times New Roman" w:asciiTheme="minorEastAsia" w:hAnsiTheme="minorEastAsia" w:eastAsiaTheme="minorEastAsia"/>
          <w:kern w:val="2"/>
          <w:sz w:val="28"/>
          <w:szCs w:val="28"/>
        </w:rPr>
        <w:br w:type="page"/>
      </w:r>
    </w:p>
    <w:p>
      <w:pPr>
        <w:pStyle w:val="10"/>
        <w:spacing w:line="540" w:lineRule="atLeast"/>
        <w:jc w:val="left"/>
        <w:rPr>
          <w:rFonts w:hint="eastAsia" w:ascii="宋体" w:hAnsi="宋体" w:cs="Times New Roman"/>
          <w:kern w:val="2"/>
          <w:szCs w:val="22"/>
          <w:lang w:val="en-US" w:eastAsia="zh-CN"/>
        </w:rPr>
      </w:pPr>
      <w:r>
        <w:rPr>
          <w:rFonts w:hint="eastAsia" w:ascii="宋体" w:hAnsi="宋体" w:cs="Times New Roman"/>
          <w:kern w:val="2"/>
          <w:szCs w:val="22"/>
          <w:lang w:val="en-US" w:eastAsia="zh-CN"/>
        </w:rPr>
        <w:t>附件2：理财产品清单</w:t>
      </w:r>
    </w:p>
    <w:p>
      <w:pPr>
        <w:pStyle w:val="10"/>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cs="Times New Roman"/>
          <w:kern w:val="2"/>
          <w:szCs w:val="22"/>
        </w:rPr>
      </w:pPr>
      <w:r>
        <w:rPr>
          <w:rFonts w:hint="eastAsia" w:ascii="宋体" w:hAnsi="宋体" w:cs="Times New Roman"/>
          <w:kern w:val="2"/>
          <w:szCs w:val="22"/>
        </w:rPr>
        <w:t xml:space="preserve"> </w:t>
      </w:r>
    </w:p>
    <w:tbl>
      <w:tblPr>
        <w:tblStyle w:val="7"/>
        <w:tblW w:w="5410" w:type="pct"/>
        <w:tblInd w:w="-44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56"/>
        <w:gridCol w:w="1399"/>
        <w:gridCol w:w="68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序号</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产品代码</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产品名称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FSAE61001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民生理财富竹纯债91天持有期自动续期1号理财产品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FGAE61101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民生理财富竹纯债182天持有期自动续期1号机构款理财产品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FSAE61101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民生理财富竹纯债182天持有期自动续期1号理财产品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FSAE61201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民生理财富竹纯债一年持有期自动续期1号理财产品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FSAE68201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民生理财贵竹固收增强一年持有期自动续期1号理财产品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FGAE68031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民生理财贵竹固收增强季季发持有期自动续期机构款理财产品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FSAE73801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民生理财荣竹平衡FOF混合一年半持有期1号理财产品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FSAE68202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FSAE72802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民生理财荣竹平衡FOF混合一年持有期1号理财产品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FSAE69201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民生理财金竹FOF一年持有期1号理财产品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FSAE68032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民生理财贵竹固收增强季季发持有期自动续期理财产品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民生理财贵竹固收增利双月持有期自动续期1号理财产品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FSAE68901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民生理财贵竹固收增利半年持有期自动续期上海畅享款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民生理财贵竹固收增利单月持有期自动续期1号理财产品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民生理财贵竹固收增利3个月持有期自动续期1号理财产品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民生理财贵竹固收增利3个月持有期自动续期2号理财产品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FBAE68902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民生理财贵竹固收增利9个月持有期自动续期北京专属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FBAE68906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民生理财贵竹固收增利9个月持有期自动续期成都专属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FBAE68203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民生理财贵竹固收增强一年持有期长三角畅享款理财产品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FBAE68402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民生理财贵竹固收增利季初定开理财产品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FBAE68403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民生理财贵竹固收增利周周盈7天定开周二款理财产品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FBAE68407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民生理财贵竹固收增利9个月定开长三角畅享款1号理财产品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FSAE68606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民生理财贵竹固收增利91天持有期自动续期1号理财产品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FBAE68103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民生理财贵竹固收增利单月持有期自动续期2号理财产品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民生理财贵竹固收增利双月持有期自动续期2号理财产品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FBAE68609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民生理财贵竹固收增利182天持有期自动续期1号理财产品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FBAE68610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民生理财贵竹固收增利一年持有期自动续期1号理财产品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FSAE68410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民生理财贵竹固收增利周周盈7天定开周一款理财产品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FGAE68411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民生理财贵竹固收增利周周盈7天定开周一款机构理财产品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FSAE68412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民生理财贵竹固收增利周周盈7天定开周三款理财产品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FGAE68413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民生理财贵竹固收增利周周盈7天定开周三款机构理财产品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FBAE68611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民生理财贵竹固收增利6个月持有期自动续期1号理财产品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FBAE68612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民生理财贵竹固收增利6个月持有期自动续期2号理财产品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FSAE68205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FSAE69202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民生理财金竹FOF一年持有期2号理财产品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FGAE68002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民生理财贵竹固收增利周周盈7天持有期1号机构款理财产品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FBAE68615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民生理财贵竹固收增利3个月持有期自动续期3号理财产品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FBAE68613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民生理财贵竹固收增利91天持有期自动续期2号理财产品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FBAE68614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民生理财贵竹固收增利182天持有期自动续期2号理财产品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FSAE68415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民生理财贵竹固收增利周周盈7天定开周四款理财产品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FSAE68416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民生理财贵竹固收增利周周盈7天定开周五款理财产品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民生理财贵竹固收增利双月盈60天持有期1号理财产品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FGAE61002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民生理财富竹纯债91天持有期1号机构款理财产品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FSAE61002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FSAE61102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FGAE68009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民生理财贵竹固收增利天天盈1号机构款理财产品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民生理财贵竹固收增利月月盈30天持有期悠享款理财产品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民生理财贵竹固收增利季季盈90天持有期悠享款理财产品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FSAE25003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民生理财贵竹慧赢添利固收增强一年定开3号理财产品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FSAE25004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民生理财贵竹慧赢添利固收增强一年定开4号理财产品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FSAE25005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民生理财贵竹慧赢添利固收增强一年定开5号理财产品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FSAE25006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民生理财贵竹慧赢添利固收增强一年定开6号理财产品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FSAE68010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FSAE68011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FSAE50001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民生理财贵竹固收增强半年定开1号理财产品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FSAE52010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民生理财贵竹固收增强一年定开10号理财产品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FSAE52001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民生理财贵竹固收增强一年定开1号理财产品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FSAE50003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民生理财贵竹固收增强半年定开3号理财产品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FSAE50002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民生理财贵竹固收增强半年定开2号理财产品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FSAE53002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民生理财贵竹固收增强一年半定开2号理财产品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FSAE55003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民生理财贵竹固收增强两年定开3号理财产品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FSAE55004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民生理财贵竹固收增强两年定开4号理财产品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FSAE73002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民生理财荣竹平衡FOF混合一年半定开2号理财产品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FSAE72001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民生理财荣竹平衡FOF混合一年定开1号理财产品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FSAE52002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民生理财贵竹固收增强一年定开2号理财产品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FSAE52003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民生理财贵竹固收增强一年定开3号理财产品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FSAE52004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民生理财贵竹固收增强一年定开4号理财产品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FSAE52005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民生理财贵竹固收增强一年定开5号理财产品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FSAE52006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民生理财贵竹固收增强一年定开6号理财产品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FSAE55001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民生理财贵竹固收增强两年定开1号理财产品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FSAE55002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民生理财贵竹固收增强两年定开2号理财产品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FSAE58001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民生理财贵竹固收增强月月发1号理财产品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FSAE58003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民生理财贵竹固收增强月月发3号理财产品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FSAE06001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民生理财贵竹慧赢添利固收增强半年定开1号理财产品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FSAE06003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民生理财贵竹慧赢添利固收增强半年定开3号理财产品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FSAE06004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民生理财贵竹慧赢添利固收增强半年定开4号理财产品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FSAE58002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民生理财贵竹固收增强月月发2号理财产品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FSAE25010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民生理财贵竹慧赢添利固收增强一年定开10号理财产品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FSAE50004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民生理财贵竹固收增强半年定开4号理财产品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FSAE52007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民生理财贵竹固收增强一年定开7号理财产品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FSAE25001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民生理财贵竹慧赢添利固收增强一年定开1号理财产品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FSAE66101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民生理财荣竹大金融优选半年定开1号理财产品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FSAE72003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民生理财荣竹平衡FOF混合一年定开3号理财产品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FSAE06005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民生理财贵竹慧赢添利固收增强半年定开5号理财产品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FSAE06009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民生理财贵竹慧赢添利固收增强半年定开9号理财产品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FSAE06010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民生理财贵竹慧赢添利固收增强半年定开10号理财产品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FSAE25007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民生理财贵竹慧赢添利固收增强一年定开7号理财产品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FSAE25008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民生理财贵竹慧赢添利固收增强一年定开8号理财产品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FSAE25009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民生理财贵竹慧赢添利固收增强一年定开9号理财产品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FSAE25011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民生理财贵竹慧赢添利固收增强一年定开11号理财产品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FGAE68012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民生理财贵竹固收增利天天盈2号机构款理财产品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FSAE52008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民生理财贵竹固收增强一年定开8号理财产品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FSAE50005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民生理财贵竹固收增强半年定开5号理财产品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FSAF20168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民生理财天天增利现金管理新享款理财产品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FSAE68013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FSAE06006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民生理财贵竹慧赢添利固收增强半年定开6号理财产品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FSAE06007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民生理财贵竹慧赢添利固收增强半年定开7号理财产品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FSAE25002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民生理财贵竹慧赢添利固收增强一年定开2号理财产品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FSAE50006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民生理财贵竹固收增强半年定开6号理财产品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FSAE66102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民生理财荣竹大金融优选半年定开2号理财产品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FSAE72004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民生理财荣竹平衡FOF混合一年定开4号理财产品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FSAE72005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民生理财荣竹平衡FOF混合一年定开5号理财产品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FSAE73006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民生理财荣竹平衡FOF混合一年半定开6号理财产品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FSAE73007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民生理财荣竹平衡FOF混合一年半定开7号理财产品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FSAE06008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民生理财贵竹慧赢添利固收增强半年定开8号理财产品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FSAE72006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民生理财荣竹平衡FOF混合一年定开6号理财产品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FSAE72007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民生理财荣竹平衡FOF混合一年定开7号理财产品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FGAF18168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民生理财天天增利现金管理机构款理财产品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FSAF19168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民生理财天天增利现金管理悠享款理财产品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FSAE52541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民生理财贵竹固收增强低碳领先一年定开理财产品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FSAF19189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民生理财天天增利现金管理灵动款理财产品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FSAF18178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FSAF19188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民生理财天天增利现金管理私享款理财产品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FSAE61003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民生理财富竹纯债91天持有期自动续期2号理财产品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FSAE68014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FSAE68016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FBAE68616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民生理财贵竹固收增利一年持有期1号理财产品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FSAE68015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FBAE68207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FBAE68018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FBAE68022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FBAE61104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FBAE68017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FBAE68024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FBAE61103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FBAE68019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FBAE81001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FBAE68617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民生理财贵竹固收增利一年持有期2号理财产品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FBAE61203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民生理财富竹纯债一年持有期1号理财产品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FBAE68618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FBAE68020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FBAE68021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FSAF19012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FSAF19013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FSAF19014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FSAF19015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FSAF19016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FSAF19017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FSAF19018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FSAF19019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FSAF19020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FSAF19021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FSAF19022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FSAF19023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FSAF19024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FSAF19025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FBAE67001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民生理财贵竹固收增利周周发7天持有期1号理财产品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FBAE67101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民生理财贵竹固收增利月月发30天持有期1号理财产品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FBAF19035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民生理财天天增利现金管理31号理财产品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FBAF19034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民生理财天天增利现金管理30号理财产品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FBAF19033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FBAF19032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FBAF19031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FBAF19030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FSAF19029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FSAF19028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FSAF19027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FSAF19026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FBAE67201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民生理财贵竹固收增利季季发90天持有期1号理财产品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FBAE67301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民生理财贵竹固收增利半年发180天持有期1号理财产品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FBAE68619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FBAE68104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FBAF19036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民生理财天天增利现金管理32号理财产品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FBAE61105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FBAE67202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民生理财贵竹固收增利季季发90天持有期2号理财产品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FBAF19037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FBAE68023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FBAE68028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FBAE68029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FBAE68025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FBAE68620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FBAE68105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FBAE71801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FBAF19047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民生理财天天增利现金管理43号理财产品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FBAE61106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FBAF19048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民生理财天天增利现金管理44号理财产品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FBAF19038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FBAE68621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FBAF19050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民生理财天天增利现金管理46号理财产品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FBAF19049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FBAE61107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FBAF19055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民生理财天天增利现金管理51号理财产品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FBAF19056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民生理财天天增利现金管理52号理财产品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FBAF19039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FBAE68026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FBAE41018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FBAE41019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FBAE41021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FBAF19053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民生理财天天增利现金管理49号理财产品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FBAF19059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民生理财天天增利现金管理55号理财产品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FBAE68622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FBAF19051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民生理财天天增利现金管理47号理财产品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FBAF19089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民生理财天天增利现金管理89号理财产品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FBAE61108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FBAE41020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民生理财贵竹固收增利天天盈20号理财产品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FBAF19046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民生理财天天增利现金管理42号理财产品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FBAF19086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民生理财天天增利现金管理86号理财产品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FBAE61009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FBAF19052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民生理财天天增利现金管理48号理财产品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民生理财茂竹双息策略3个月持有期1号理财产品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FBAF19057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民生理财天天增利现金管理53号理财产品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FBAE61010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FBAE61017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FBAF19091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民生理财天天增利现金管理91号理财产品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FBAF19058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民生理财天天增利现金管理54号理财产品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FBAF19096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民生理财天天增利现金管理96号理财产品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FBAE43301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民生理财茂竹双息策略1个月持有期1号理财产品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FBAF19061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民生理财天天增利现金管理57号理财产品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FBAF19062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民生理财天天增利现金管理58号理财产品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FBAF19063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民生理财天天增利现金管理59号理财产品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FBAF19064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民生理财天天增利现金管理60号理财产品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FBAF19097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民生理财天天增利现金管理97号理财产品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FBAF19067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民生理财天天增利现金管理63号理财产品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FBAF19066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民生理财天天增利现金管理62号理财产品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FBAF19065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民生理财天天增利现金管理61号理财产品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FBAF19060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民生理财天天增利现金管理56号理财产品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FBAE61109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FBAE81202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FBAE32501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民生理财富竹固收90天持有期1号理财产品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FBAF19125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民生理财天天增利现金管理125号理财产品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FBAF19126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FBAF19127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FBAF19128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FBAF19071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民生理财天天增利现金管理67号理财产品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FBAF19070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民生理财天天增利现金管理66号理财产品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FBAF19069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民生理财天天增利现金管理65号理财产品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FBAF19068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民生理财天天增利现金管理64号理财产品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FBAF19072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民生理财天天增利现金管理68号理财产品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FBAF19073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民生理财天天增利现金管理69号理财产品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FBAF19074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民生理财天天增利现金管理70号理财产品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FBAE41112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FBAE44501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民生理财贵竹固收增利双息策略3个月持有期1号理财产品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FBAE44301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民生理财贵竹固收增利双息策略1个月持有期1号理财产品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FBAE41027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FBAF19092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民生理财天天增利现金管理92号理财产品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FBAE61110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民生理财茂竹双息策略3个月持有期2号理财产品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FBAE71701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民生理财荣竹混合高股息策略半年持有期理财产品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FBAE71702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民生理财荣竹混合抗通胀策略半年持有期理财产品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FBAE32101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FBAE41109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FBAF19099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民生理财天天增利现金管理99号理财产品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FBAE41310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FBAE61011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FBAE43601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民生理财茂竹全球固收精选半年持有期1号理财产品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FBAE32301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民生理财富竹固收30天持有期1号理财产品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FBAE41029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民生理财贵竹固收增利天天盈29号理财产品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FBAE41030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民生理财贵竹固收增利天天盈30号理财产品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FBAE41028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FBAE61115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FBAE60211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FBAF19100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民生理财天天增利现金管理100号理财产品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FBAE41022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FBAE61205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民生理财富竹纯债一年持有期2号理财产品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FBAE41025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民生理财贵竹固收增利天天盈25号理财产品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民生理财天天增利现金管理101号理财产品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FBAE43901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民生理财茂竹固收黄金增强半年持有期理财产品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FBAE61014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FBAE68623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FBAE24101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民生理财富竹纯债日申季赎1号理财产品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FBAE43621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FBAE32201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民生理财富竹固收14天持有期1号理财产品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FBAE72805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民生理财荣竹混合行业龙头策略一年持有期理财产品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FBAE41402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民生理财贵竹固收增利双月盈60天持有期2号理财产品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FBAE46971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民生理财贵竹固收增强全球精选378天持有期自动续期理财产品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FBAE41017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民生理财天天增利现金管理106号理财产品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FBAE60615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FBAE43622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FBAE61012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FBAE61016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FBAE61111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民生理财天天增利现金管理107号理财产品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FBAF19093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民生理财天天增利现金管理93号理财产品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FBAE72806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民生理财荣竹混合高股息策略369天持有期理财产品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FBAE47601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民生理财贵竹固收增利369天持有期1号理财产品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FBAE41026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FBAE60516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FBAF19132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民生理财天天增利现金管理132号理财产品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FBAF19133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民生理财天天增利现金管理105号理财产品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FBAE41309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FBAF19118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FBAF19117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民生理财天天增利现金管理108号理财产品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FBAF19134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FBAE41032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民生理财贵竹固收增利天天盈32号理财产品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FBAE41033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FBAE60801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民生理财富竹纯债369天持有期1号理财产品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FBAE61015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FBAE41110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FBAE71802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FBAE41038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民生理财贵竹固收增利天天盈38号理财产品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FBAE60117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FBAE60113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FBAE60616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FBAF19136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民生理财天天增利现金管理136号理财产品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FBAF19141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民生理财天天增利现金管理141号理财产品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FBAF19078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民生理财天天增利现金管理74号理财产品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FBAE60310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FBAF19090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民生理财天天增利现金管理90号理财产品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FBAE41123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民生理财贵竹固收增利周周盈7天持有期23号理财产品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民生理财天天增利现金管理104号理财产品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FBAE44502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民生理财贵竹固收增利双息策略3个月持有期2号理财产品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FBAE41034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FBAE41312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FBAE43302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民生理财茂竹双息策略1个月持有期2号理财产品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FBAF19094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民生理财天天增利现金管理94号理财产品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FBAF19079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民生理财天天增利现金管理75号理财产品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FBAE60802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民生理财富竹纯债369天持有期2号理财产品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FBAE43623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FBAE41041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民生理财贵竹固收增利天天盈41号理财产品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FBAE41035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FBAE60213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FBAE60118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FBAE60520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民生理财富竹纯债91天持有期20号理财产品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FBAE32103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FBAE41036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民生理财贵竹固收增利天天盈36号理财产品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FBAE67003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民生理财贵竹固收增利周周发7天持有期3号理财产品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FBAE88001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民生理财贵竹固收增利天天发1号理财产品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FBAE67401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民生理财贵竹固收增利双周发14天持有期1号理财产品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FBAE67103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民生理财贵竹固收增利月月发30天持有期3号理财产品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FBAE67203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民生理财贵竹固收增利季季发90天持有期3号理财产品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FBAE41311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FBAE41116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FBAE41117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FBAE41111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FBAE41039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民生理财贵竹固收增利天天盈39号理财产品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FBAE60311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FBAE71803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民生理财茂竹双息策略3个月持有期3号理财产品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FBAF19080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民生理财天天增利现金管理76号理财产品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民生理财天天增利现金管理102号理财产品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FBAE71501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民生理财荣竹混合行业龙头策略3个月持有期1号理财产品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民生理财茂竹双息策略3个月持有期4号理财产品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FBAE41037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民生理财贵竹固收增利天天盈37号理财产品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FBAF19150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民生理财天天增利现金管理150号理财产品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FBAE41313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FBAE41042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民生理财贵竹固收增利天天盈42号理财产品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民生理财茂竹双息策略3个月持有期5号理财产品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FBAE41314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FBAF19081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民生理财天天增利现金管理77号理财产品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FBAE41052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民生理财贵竹固收增利天天盈52号理财产品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FBAE41113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FBAE32102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FBAE60518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FBAE24201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民生理财富竹纯债日申半年赎1号理财产品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FBAE24102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民生理财富竹纯债日申季赎2号理财产品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FBAE68624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FBAF19082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民生理财天天增利现金管理78号理财产品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FBAE60522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FBAF19151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民生理财天天增利现金管理151号理财产品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FBAE43624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民生理财茂竹双债增强半年持有期4号理财产品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FBAE60124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民生理财富竹纯债7天持有期24号理财产品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FBAE67303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民生理财贵竹固收增利半年发180天持有期3号理财产品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FBAE41315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FBAE60312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FBAE67204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民生理财贵竹固收增利季季发90天持有期4号理财产品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FBAF19135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FBAF19137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民生理财天天增利现金管理137号理财产品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FBAE71502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民生理财荣竹混合行业龙头策略3个月持有期2号理财产品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FBAE60517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FBAF19083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民生理财天天增利现金管理79号理财产品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FBAE46831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民生理财贵竹固收增强全球精选369天持有期1号理财产品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FBAE41053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民生理财贵竹固收增利天天盈53号理财产品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FBAE60701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民生理财富竹纯债118天持有期1号理财产品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FBAE41321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FBAF19145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FBAF19161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民生理财天天增利现金管理161号理财产品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FBAE41514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FBAE47510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FBAE41118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FBAE32401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民生理财富竹固收60天持有期1号理财产品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FBAE41318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FBAE60521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FBAF19084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民生理财天天增利现金管理80号理财产品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FBAE41046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民生理财贵竹固收增利天天盈46号理财产品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FBAE41054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民生理财贵竹固收增利天天盈54号理财产品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FBAE60114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FBAE41322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FBAE41043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民生理财贵竹固收增利天天盈43号理财产品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FBAE88002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民生理财贵竹固收增利天天发2号理财产品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FBAE88003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民生理财贵竹固收增利天天发3号理财产品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FBAE47602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民生理财贵竹固收增利369天持有期2号理财产品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FBAE41056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民生理财贵竹固收增利天天盈56号理财产品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FBAE41055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民生理财贵竹固收增利天天盈55号理财产品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FBAE41124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民生理财贵竹固收增利周周盈7天持有期24号理财产品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FBAE67004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民生理财贵竹固收增利周周发7天持有期4号理财产品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FBAE67402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民生理财贵竹固收增利双周发14天持有期2号理财产品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FBAE67104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民生理财贵竹固收增利月月发30天持有期4号理财产品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FBAE60120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民生理财富竹纯债7天持有期20号理财产品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FBAE60214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FBAE41127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FBAE60119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FBAE60217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FBAE60315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FBAE60523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民生理财富竹纯债91天持有期23号理财产品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FBAF19138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民生理财天天增利现金管理138号理财产品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FBAF19163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民生理财天天增利现金管理163号理财产品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FBAF19162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民生理财天天增利现金管理162号理财产品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FBAE70801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FBAE46301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FBAE41515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FBAE41319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FBAE41516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FBAE41131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民生理财贵竹固收增利周周盈7天持有期31号理财产品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FBAF19075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民生理财天天增利现金管理71号理财产品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FBAE41059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民生理财贵竹固收增利天天盈59号理财产品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FBAF19164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民生理财天天增利现金管理164号理财产品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FBAE60526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FBAF19165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民生理财天天增利现金管理165号理财产品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FBAE41212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FBAE41517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FBAE32351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民生理财富竹固收28天持有期1号理财产品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FBAE32551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民生理财富竹固收91天持有期1号理财产品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FBAE32155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FBAE41044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民生理财贵竹固收增利天天盈44号理财产品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FBAE71521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民生理财荣竹混合指数轮动3个月持有期1号理财产品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FBAE48501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FBAE67205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民生理财贵竹固收增利季季发90天持有期5号理财产品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FBAE49531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民生理财茂竹纯债金融债策略3个月持有期1号理财产品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FBAF19076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民生理财天天增利现金管理72号理财产品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FBAF19171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民生理财天天增利现金管理171号理财产品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FBAE41128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FBAE41058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民生理财贵竹固收增利天天盈58号理财产品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FBAE41057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民生理财贵竹固收增利天天盈57号理财产品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FBAE70802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民生理财荣竹混合3个月持有期2号理财产品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FBAE41320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民生理财贵竹固收增利月月盈30天持有期20号理财产品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FBAF19172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民生理财天天增利现金管理172号理财产品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FBAE67304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民生理财贵竹固收增利半年发180天持有期4号理财产品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FBAE67501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民生理财贵竹固收增利年年发360天持有期1号理财产品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FBAE41045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FBAE41518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FBAE88004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民生理财贵竹固收增利天天发4号理财产品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FBAE88005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民生理财贵竹固收增利天天发5号理财产品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FBAF19077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民生理财天天增利现金管理73号理财产品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FBAE60527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FBAE67105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民生理财贵竹固收增利月月发30天持有期5号理财产品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FBAE60618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FBAE46406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FBAF19166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民生理财天天增利现金管理166号理财产品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FBAE41069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民生理财贵竹固收增利天天盈69号理财产品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FBAE41070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民生理财贵竹固收增利天天盈70号理财产品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FBAE88007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民生理财贵竹固收增利天天发7号理财产品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FBAE88006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民生理财贵竹固收增利天天发6号理财产品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FBAE60219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FBAF19152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民生理财天天增利现金管理152号理财产品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FBAE41325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民生理财贵竹固收增利月月盈30天持有期25号理财产品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FBAE46407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FBAE60316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FBAE60121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FBAE41132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民生理财贵竹固收增利周周盈7天持有期32号理财产品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FBAE31202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民生理财富竹固收双周盈14天持有期2号理财产品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FBAE60528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FBAE60317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FBAF19173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民生理财天天增利现金管理173号理财产品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FBAE60222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民生理财茂竹双息策略3个月持有期6号理财产品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FBAE41061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民生理财贵竹固收增利天天盈61号理财产品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FBAF19174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民生理财天天增利现金管理174号理财产品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FBAE60130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民生理财富竹纯债7天持有期30号理财产品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FBAE60220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民生理财富竹纯债14天持有期20号理财产品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FBAE49501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民生理财茂竹纯债3个月持有期1号理财产品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FBAE60122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FBAF19175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民生理财天天增利现金管理175号理财产品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FBAE41213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FBAE46408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FBAE32179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FBAE32573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民生理财富竹固收91天持有期3号理财产品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FBAE60321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FBAE60322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FBAE60619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FBAE41076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民生理财贵竹固收增利天天盈76号理财产品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FBAE46731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民生理财贵竹固收增强红利价值半年持有期1号理财产品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FBAE46101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民生理财贵竹固收增强1个月持有期1号理财产品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FBAF19176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民生理财天天增利现金管理176号理财产品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FBAE41519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FBAE41326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FBAE60227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FBAE46751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民生理财贵竹固收增强行业龙头策略半年持有期1号理财产品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FBAE47511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FBAF19177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民生理财天天增利现金管理177号理财产品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FBAE24601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民生理财富竹固收日申季赎1号理财产品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FBAE24501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民生理财富竹固收日申月赎1号理财产品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FBAE32205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民生理财富竹固收14天持有期5号理财产品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FBAF19181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民生理财天天增利现金管理181号理财产品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FBAF19159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民生理财天天增利现金管理159号理财产品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FBAE41129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民生理财贵竹固收增利周周盈7天持有期29号理财产品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FBAE41403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民生理财贵竹固收增利双月盈60天持有期3号理财产品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FBAE60228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FBAE60131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民生理财富竹纯债7天持有期31号理财产品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FBAE41077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民生理财贵竹固收增利天天盈77号理财产品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FBAE41323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民生理财贵竹固收增利月月盈30天持有期23号理财产品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FBAE49571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民生理财茂竹纯债稳健3个月持有期1号理财产品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FBAE67206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民生理财贵竹固收增利季季发90天持有期6号理财产品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FBAE67207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民生理财贵竹固收增利季季发90天持有期7号理财产品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FBAE41210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FBAE41125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民生理财贵竹固收增利周周盈7天持有期25号理财产品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FBAE67106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民生理财贵竹固收增利月月发30天持有期6号理财产品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FBAE67107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民生理财贵竹固收增利月月发30天持有期7号理财产品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FBAE24602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民生理财富竹固收日申季赎2号理财产品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FBAE60318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FBAE41126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FBAE41211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FBAE41316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FBAE46302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民生理财贵竹固收增强3个月持有期2号理财产品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FBAF19182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民生理财天天增利现金管理182号理财产品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FBAE41521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FBAE36011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FBAE41216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FBAE23771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民生理财富竹优债稳健182天持有期1号理财产品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FBAE34304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民生理财富竹固收28天持有期4号理财产品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FBAE23571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民生理财富竹优债稳健91天持有期1号理财产品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FBAE41317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FBAE41130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民生理财贵竹固收增利周周盈7天持有期30号理财产品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FBAE41327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FBAE41133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FBAE46409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FBAE34305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民生理财富竹固收28天持有期5号理财产品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FBAE71541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民生理财荣竹混合内需驱动3个月持有期1号理财产品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FBAE34208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民生理财富竹固收14天持有期8号理财产品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FBAE60128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FBAE60225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民生理财富竹纯债14天持有期25号理财产品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FBAE60125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民生理财富竹纯债7天持有期25号理财产品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FBAE46771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民生理财贵竹固收增强指数轮动半年持有期1号理财产品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FBAE49271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民生理财茂竹纯债稳健14天持有期1号理财产品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FBAE31104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民生理财富竹固收周周盈7天持有期4号理财产品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FBAE32303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民生理财富竹固收30天持有期3号理财产品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FBAE31303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民生理财富竹固收月月盈30天持有期3号理财产品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FBAE32206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民生理财富竹固收14天持有期6号理财产品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FBAE67007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民生理财贵竹固收增利周周发7天持有期7号理财产品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FBAE67006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民生理财贵竹固收增利周周发7天持有期6号理财产品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FBAE23701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民生理财富竹优债半年持有期1号理财产品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FBAE41060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民生理财贵竹固收增利天天盈60号理财产品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FBAE41067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民生理财贵竹固收增利天天盈67号理财产品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FBAE47604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民生理财贵竹固收增利369天持有期4号理财产品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FBAE32651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民生理财富竹固收182天持有期1号理财产品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FBAE32253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民生理财富竹固收14天持有期3号理财产品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FBAE32156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FBAE32552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民生理财富竹固收91天持有期2号理财产品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FBAF19158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民生理财天天增利现金管理158号理财产品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FBAE43521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FBAE41141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民生理财贵竹固收增利周周盈7天持有期41号理财产品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FBAE41324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民生理财贵竹固收增利月月盈30天持有期24号理财产品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FBAF19157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民生理财天天增利现金管理157号理财产品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FBAE67008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民生理财贵竹固收增利周周发7天持有期8号理财产品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FBAF19160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民生理财天天增利现金管理160号理财产品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FBAE67108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民生理财贵竹固收增利月月发30天持有期8号理财产品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FBAE67208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民生理财贵竹固收增利季季发90天持有期8号理财产品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FBAE49372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民生理财茂竹纯债稳健1个月持有期2号理财产品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FBAE41140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民生理财贵竹固收增利周周盈7天持有期40号理财产品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FBAE41333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FBAE41138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民生理财贵竹固收增利周周盈7天持有期38号理财产品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FBAE41139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民生理财贵竹固收增利周周盈7天持有期39号理财产品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FBAE41078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民生理财贵竹固收增利天天盈78号理财产品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FBAE60226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FBAE60129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民生理财富竹纯债7天持有期29号理财产品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FBAE41065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民生理财贵竹固收增利天天盈65号理财产品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FBAE47605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民生理财贵竹固收增利369天持有期5号理财产品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FBAE60132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民生理财富竹纯债7天持有期32号理财产品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FBAE41135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FBAE41329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民生理财贵竹固收增利月月盈30天持有期29号理财产品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FBAE46721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民生理财贵竹固收增强基础设施主题半年持有期1号理财产品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FBAE23371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民生理财富竹优债稳健28天持有期1号理财产品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FBAE46741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民生理财贵竹固收增强科技创新半年持有期1号理财产品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FBAE41079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民生理财贵竹固收增利天天盈79号理财产品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FBAE41071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民生理财贵竹固收增利天天盈71号理财产品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FBAE46761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民生理财贵竹固收增强周期驱动半年持有期1号理财产品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FBAE34306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民生理财富竹固收28天持有期6号理财产品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FBAF19187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民生理财天天增利现金管理187号理财产品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FBAF19186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民生理财天天增利现金管理186号理财产品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FBAF19191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民生理财天天增利现金管理191号理财产品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FBAE41072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民生理财贵竹固收增利天天盈72号理财产品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FBAF19193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民生理财天天增利现金管理193号理财产品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FBAF19194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民生理财天天增利现金管理194号理财产品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FBAE46303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民生理财贵竹固收增强3个月持有期3号理财产品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FBAE41520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民生理财贵竹固收增利季季盈90天持有期20号理财产品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FBAE47412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民生理财贵竹固收增利红利半年持有期2号理财产品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FBAE60323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民生理财富竹纯债28天持有期23号理财产品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FBAE41073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民生理财贵竹固收增利天天盈73号理财产品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FBAE60233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FBAE47513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FBAE46304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民生理财贵竹固收增强3个月持有期4号理财产品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FBAE46504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FBAE60229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民生理财富竹纯债14天持有期29号理财产品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FBAE41137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民生理财贵竹固收增利周周盈7天持有期37号理财产品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FBAE41330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民生理财贵竹固收增利月月盈30天持有期30号理财产品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FBAE60529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民生理财富竹纯债91天持有期29号理财产品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FBAE32503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民生理财富竹固收90天持有期3号理财产品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FBAE67502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民生理财贵竹固收增利年年发360天持有期2号理财产品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FBAE41074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民生理财贵竹固收增利天天盈74号理财产品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FBAE46102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民生理财贵竹固收增强1个月持有期2号理财产品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FBAE60533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FBAE60622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FBAE41328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FBAE41080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民生理财贵竹固收增利天天盈80号理财产品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FBAE43629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民生理财茂竹双债增强半年持有期9号理财产品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FBAE41214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FBAE41408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民生理财贵竹固收增利双月盈60天持有期8号理财产品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FBAE36009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FBAE47606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民生理财贵竹固收增利369天持有期6号理财产品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FBAE46410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FBAE60623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民生理财富竹纯债182天持有期23号理财产品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FBAE60806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民生理财富竹纯债369天持有期6号理财产品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FBAE48701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FBAE43611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民生理财茂竹全球固收精选3个月持有期1号理财产品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FBAE72807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民生理财荣竹混合沪港深精选一年持有期1号理财产品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FBAE36010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FBAE42109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FBAE46505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FBAE36013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FBAE41215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FBAE41148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民生理财贵竹固收增利周周盈7天持有期48号理财产品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FBAE60807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民生理财富竹纯债369天持有期7号理财产品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民生理财天天增利现金管理204号理财产品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FBAE67306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民生理财贵竹固收增利半年发180天持有期6号理财产品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FBAE67601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民生理财贵竹固收增利双月发60天持有期1号理财产品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FBAE47607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民生理财贵竹固收增利369天持有期7号理财产品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FBAE46781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民生理财贵竹固收增强新利半年持有期1号理财产品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民生理财天天增利现金管理203号理财产品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FBAE41075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民生理财贵竹固收增利天天盈75号理财产品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FBAE41089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民生理财贵竹固收增利天天盈89号理财产品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FBAE67209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民生理财贵竹固收增利季季发90天持有期9号理财产品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FBAE67503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民生理财贵竹固收增利年年发360天持有期3号理财产品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FBAE41336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民生理财贵竹固收增利月月盈30天持有期36号理财产品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FBAE41409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民生理财贵竹固收增利双月盈60天持有期9号理财产品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FBAE48504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民生理财茂竹固收3个月持有期4号理财产品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FBAE42110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民生理财天天增利现金管理202号理财产品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FBAE60901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民生理财富竹纯债278天持有期1号理财产品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FBAE60534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FBAE47608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民生理财贵竹固收增利369天持有期8号理财产品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FBAE43604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民生理财茂竹全球固收精选半年持有期4号理财产品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FBAE67109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民生理财贵竹固收增利月月发30天持有期9号理财产品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FBAE41525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民生理财贵竹固收增利季季盈90天持有期25号理财产品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FBAF19178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民生理财天天增利现金管理178号理财产品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FBAF19210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FBAE28001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民生理财富竹固收灵活计划1号理财产品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FBAE47609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民生理财贵竹固收增利369天持有期9号理财产品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FBAF19180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民生理财天天增利现金管理180号理财产品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FBAE48309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FBAF19179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民生理财天天增利现金管理179号理财产品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FBAE31009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FBAE31010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FBAE43522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民生理财茂竹双债增强3个月持有期2号理财产品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FBAF19192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民生理财天天增利现金管理192号理财产品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FBAF19211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FBAF19196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民生理财天天增利现金管理196号理财产品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FBAF19197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民生理财天天增利现金管理197号理财产品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FBAE41094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民生理财贵竹固收增利天天盈94号理财产品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FBAE41090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民生理财贵竹固收增利天天盈90号理财产品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FBAE42111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FBAF19198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民生理财天天增利现金管理198号理财产品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FBAF19200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民生理财天天增利现金管理200号理财产品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FBAE34110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FBAE46813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民生理财贵竹固收增强全球精选半年持有期3号理财产品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民生理财天天增利现金管理201号理财产品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民生理财贵竹固收增利全球精选半年持有期2号理财产品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FBAF19209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民生理财天天增利现金管理209号理财产品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FBAE60234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FBAF19199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民生理财天天增利现金管理199号理财产品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FBAE60328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FBAE41091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民生理财贵竹固收增利天天盈91号理财产品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FBAE41217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FBAE60626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FBAE60143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民生理财富竹纯债7天持有期43号理财产品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FBAE34210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民生理财富竹固收14天持有期10号理财产品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FBAF19217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FBAF19219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民生理财天天增利现金管理205号理财产品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FBAE41601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民生理财贵竹固收增利半年盈180天持有期1号理财产品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FBAE48310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FBAE46121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民生理财贵竹固收增强超利30天持有期1号理财产品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FBAE41522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FBAF19212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FBAE32605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民生理财富竹固收182天持有期5号理财产品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FBAF19188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民生理财天天增利现金管理188号理财产品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FBAF19190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民生理财天天增利现金管理190号理财产品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FBAF19189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民生理财天天增利现金管理189号理财产品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FBAF19195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民生理财天天增利现金管理195号理财产品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FBAE60541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民生理财富竹纯债91天持有期41号理财产品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FBAE48311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FBAE41146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民生理财贵竹固收增利周周盈7天持有期46号理财产品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FBAE41222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FBAE41218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FBAE46151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民生理财贵竹固收增强之江科技创新半年持有期理财产品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FBAE46152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民生理财贵竹固收增强金陵高质量增长半年持有期理财产品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民生理财天天增利现金管理208号理财产品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FBAE49805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民生理财茂竹纯债7天定开周三款理财产品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FBAF19220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民生理财天天增利现金管理220号理财产品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FBAE42112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FBAE41085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民生理财贵竹固收增利天天盈85号理财产品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FBAE46122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民生理财贵竹固收增强超利30天持有期2号理财产品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FBAE48505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民生理财茂竹固收3个月持有期5号理财产品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FBAE46123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民生理财贵竹固收增强超利30天持有期3号理财产品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FBAE42171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民生理财贵竹固收稳利红利半年持有期1号理财产品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FBAE41530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民生理财贵竹固收增利季季盈90天持有期30号理财产品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FBAE41149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民生理财贵竹固收增利周周盈7天持有期49号理财产品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FBAE42201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民生理财贵竹固收稳利9个月持有期1号理财产品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FBAE41145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FBAE47610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民生理财贵竹固收增利369天持有期10号理财产品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民生理财天天增利现金管理207号理财产品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民生理财天天增利现金管理206号理财产品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FBAE34111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FBAE60326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FBAE31011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FBAF19221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FBAE41147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民生理财贵竹固收增利周周盈7天持有期47号理财产品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FBAE41407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民生理财贵竹固收增利双月盈60天持有期7号理财产品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FBAE41335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FBAE41334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FBAE67210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民生理财贵竹固收增利季季发90天持有期10号理财产品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FBAE31013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FBAE41092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民生理财贵竹固收增利天天盈92号理财产品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FBAE47411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民生理财贵竹固收增利红利半年持有期1号理财产品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FBAE46714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民生理财贵竹固收增强量化策略3个月持有期1号理财产品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FBAE42151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民生理财贵竹固收稳利全球精选半年持有期1号理财产品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FBAE41086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民生理财贵竹固收增利天天盈86号理财产品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FBAE46411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FBAE47413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民生理财贵竹固收增利红利一年持有期1号理财产品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FBAE41144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民生理财贵竹固收增利周周盈7天持有期44号理财产品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FBAE41602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民生理财贵竹固收增利半年盈180天持有期2号理财产品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FBAE41531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民生理财贵竹固收增利季季盈90天持有期31号理财产品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FBAE46506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FBAE43524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民生理财茂竹双债增强3个月持有期4号理财产品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民生理财贵竹固收增利全球精选一年持有期1号理财产品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FBAF19213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FBAE41337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民生理财贵竹固收增利月月盈30天持有期37号理财产品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FBAE41093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民生理财贵竹固收增利天天盈93号理财产品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FBAE42113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FBAE43523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民生理财茂竹双债增强3个月持有期3号理财产品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FBAE47514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FBAE24401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民生理财富竹固收日申周赎1号理财产品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FBAE24402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民生理财富竹固收日申周赎2号理财产品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FBAE24403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民生理财富竹固收日申周赎3号理财产品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FBAE24404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民生理财富竹固收日申周赎4号理财产品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FBAE24405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民生理财富竹固收日申周赎5号理财产品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FBAE46704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民生理财贵竹固收增强量化精选6个月持有期1号理财产品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FBAE60235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FBAE41087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民生理财贵竹固收增利天天盈87号理财产品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FBAE60136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民生理财富竹纯债7天持有期36号理财产品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FBAE36016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830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FBAE51211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民生理财贵竹固收增强多策略半年持有期1号理财产品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831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FBAE41161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民生理财贵竹固收增利周周盈7天持有期61号理财产品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832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FBAE41228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833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FBAF19235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834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FBAE69001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民生理财金竹量化增强半年持有期1号理财产品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835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FBAE46124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民生理财贵竹固收增强超利30天持有期4号理财产品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836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FBAE42303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民生理财贵竹固收稳利一年持有期3号理财产品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837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FBAE34307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民生理财富竹固收28天持有期7号理财产品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838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FBAE41537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民生理财贵竹固收增利季季盈90天持有期37号理财产品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839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FBAF19237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民生理财天天增利现金管理237号理财产品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840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FBAE42172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民生理财贵竹固收稳利红利半年持有期2号理财产品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841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FBAE42152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民生理财贵竹固收稳利全球精选半年持有期2号理财产品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842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FBAE41227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843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FBAE51221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民生理财贵竹固收增强多策略3个月持有期1号理财产品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844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FBAE49104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民生理财茂竹纯债7天持有期4号理财产品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845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FBAE42114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846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FBAE36021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847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FBAE41604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民生理财贵竹固收增利半年盈180天持有期4号理财产品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848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FBAE60537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民生理财富竹纯债91天持有期37号理财产品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849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FBAE60627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850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FBAE46701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民生理财贵竹固收增强量化精选3个月持有期1号理财产品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851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FBAE41162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民生理财贵竹固收增利周周盈7天持有期62号理财产品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852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FBAE60412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853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854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855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FBAE41605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民生理财贵竹固收增利半年盈180天持有期5号理财产品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856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FBAE47515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857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FBAE41150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民生理财贵竹固收增利周周盈7天持有期50号理财产品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858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FBAE31014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859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FBAE41096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民生理财贵竹固收增利天天盈96号理财产品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860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FBAE60628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861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FBAE46814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民生理财贵竹固收增强全球精选半年持有期4号理财产品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862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FBAE42153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民生理财贵竹固收稳利全球精选半年持有期3号理财产品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863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FBAE42173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民生理财贵竹固收稳利红利半年持有期3号理财产品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864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865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FBAF19247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民生理财天天增利现金管理247号理财产品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866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FBAF19248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民生理财天天增利现金管理248号理财产品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867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FBAF19236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民生理财天天增利现金管理236号理财产品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868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FBAF19233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869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FBAF19214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870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FBAE41088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民生理财贵竹固收增利天天盈88号理财产品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871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FBAE36017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872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FBAF19228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873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874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FBAE43525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民生理财茂竹双债增强3个月持有期5号理财产品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875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FBAE41223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民生理财贵竹固收增利双周盈14天持有期23号理财产品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876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FBAE47414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民生理财贵竹固收增利红利半年持有期3号理财产品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877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FBAE47421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民生理财贵竹固收增利双债增强半年持有期1号理财产品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878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FBAE38401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民生理财贵竹固收丰益半年持有期1号理财产品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879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FBAE41338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民生理财贵竹固收增利月月盈30天持有期38号理财产品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880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FBAE41339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民生理财贵竹固收增利月月盈30天持有期39号理财产品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881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民生理财贵竹固收增利全球精选半年持有期1号理财产品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882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FBAE60332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民生理财富竹纯债28天持有期32号理财产品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883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FBAE41154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民生理财贵竹固收增利周周盈7天持有期54号理财产品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884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FBAE41153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民生理财贵竹固收增利周周盈7天持有期53号理财产品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885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FBAE41231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民生理财贵竹固收增利双周盈14天持有期31号理财产品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886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FBAE67212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民生理财贵竹固收增利季季发90天持有期12号理财产品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887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FBAE41232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民生理财贵竹固收增利双周盈14天持有期32号理财产品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888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FBAF19229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民生理财天天增利现金管理229号理财产品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889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FBAF19222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890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FBAF19234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891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FBAE60134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892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893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894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FBAE41411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民生理财贵竹固收增利双月盈60天持有期11号理财产品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895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FBAE60334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896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FBAE42202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民生理财贵竹固收稳利9个月持有期2号理财产品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897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FBAE36018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898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FBAF19232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民生理财天天增利现金管理232号理财产品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899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FBAE60414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FBAF19230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民生理财天天增利现金管理230号理财产品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FBAE38301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民生理财贵竹固收丰益3个月持有期1号理财产品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FBAE60231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民生理财富竹纯债14天持有期31号理财产品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FBAE41340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民生理财贵竹固收增利月月盈30天持有期40号理财产品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民生理财贵竹固收增利天天盈101号理财产品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FBAE47516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FBAE47416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民生理财贵竹固收增利红利1个月持有期1号理财产品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FBAE41538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民生理财贵竹固收增利季季盈90天持有期38号理财产品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FBAE41157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民生理财贵竹固收增利周周盈7天持有期57号理财产品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910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911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FBAE48312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912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FBAE41166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民生理财贵竹固收增利周周盈7天持有期66号理财产品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913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民生理财贵竹固收增利全球精选半年持有期3号理财产品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914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FBAE41345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915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FBAE41097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民生理财贵竹固收增利天天盈97号理财产品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916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FBAE38402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民生理财贵竹固收丰益半年持有期2号理财产品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917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FBAF19243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民生理财天天增利现金管理243号理财产品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918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FBAE60232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民生理财富竹纯债14天持有期32号理财产品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919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FBAE47517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FBAE41233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FBAE42174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民生理财贵竹固收稳利红利半年持有期4号理财产品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FBAE46125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民生理财贵竹固收增强超利30天持有期5号理财产品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FBAE60538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民生理财富竹纯债91天持有期38号理财产品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FBAF19242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民生理财天天增利现金管理242号理财产品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FBAF19231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民生理财天天增利现金管理231号理财产品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FBAE47423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民生理财贵竹固收增利双债增强1个月持有期1号理财产品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FBAE41100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民生理财贵竹固收增利天天盈100号理财产品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FBAE41099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民生理财贵竹固收增利天天盈99号理财产品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930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FBAE41346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民生理财贵竹固收增利月月盈30天持有期46号理财产品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931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FBAE42401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民生理财贵竹固收稳利1个月持有期1号理财产品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932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FBAE32114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933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FBAE36022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934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FBAE41098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民生理财贵竹固收增利天天盈98号理财产品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935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FBAE41347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民生理财贵竹固收增利月月盈30天持有期47号理财产品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936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FBAE32214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民生理财富竹固收14天持有期14号理财产品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937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FBAF19249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民生理财天天增利现金管理249号理财产品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938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FBAE42501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939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FBAE42502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民生理财贵竹固收稳利3个月持有期2号理财产品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940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FBAE60413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941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FBAE32608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民生理财富竹固收182天持有期8号理财产品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942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FBAE60333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943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FBAE41534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944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FBAE38451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民生理财贵竹固收丰益科创智选进取策略半年持有期1号理财产品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945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FBAE37451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民生理财贵竹固收添益科创智选稳健策略半年持有期1号理财产品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946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FBAE60629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民生理财富竹纯债182天持有期29号理财产品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947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FBAE34312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民生理财富竹固收28天持有期12号理财产品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948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FBAE60415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949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FBAE60951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民生理财富竹纯债科创智选稳健策略半年持有期1号理财产品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950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FBAF19244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民生理财天天增利现金管理244号理财产品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951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FBAF19250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民生理财天天增利现金管理250号理财产品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952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FBAF19246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民生理财天天增利现金管理246号理财产品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953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FBAF19245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954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FBAE60544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民生理财富竹纯债91天持有期44号理财产品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955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FBAE46308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民生理财贵竹固收增强3个月持有期8号理财产品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956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FBAE42402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民生理财贵竹固收稳利1个月持有期2号理财产品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957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FBAE60539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民生理财富竹纯债91天持有期39号理财产品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958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FBAE47461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民生理财贵竹固收增利多策略半年持有期1号理财产品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959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FBAE48315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960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民生理财贵竹固收增利天天盈105号理财产品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961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民生理财贵竹固收增利天天盈106号理财产品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962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民生理财贵竹固收增利天天盈107号理财产品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963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FBAE35505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民生理财富竹固收90天持有期5号理财产品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964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FBAE37452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民生理财贵竹固收添益科创智选稳健策略半年持有期2号理财产品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965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FBAE38452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民生理财贵竹固收丰益科创智选进取策略半年持有期2号理财产品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966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FBAE47518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967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FBAE60417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968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FBAE41542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民生理财贵竹固收增利季季盈90天持有期42号理财产品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969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FBAE36025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民生理财贵竹固收增利天天鑫25号理财产品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970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971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FBAE42503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民生理财贵竹固收稳利3个月持有期3号理财产品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972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FBAE99511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民生理财金竹汇星聚芒科技创新1个月持有期1号理财产品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973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FBAE99431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民生理财银竹汇星聚芒全市场轮动3个月持有期1号理财产品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974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FBAE99261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民生理财贵竹固收增利汇星聚芒全市场轮动6个月持有期1号理财产品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975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FBAE47415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民生理财贵竹固收增利红利半年持有期4号理财产品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976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FBAE38601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民生理财贵竹固收丰益一年持有期1号理财产品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977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FBAE60545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978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FBAE48507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民生理财茂竹固收3个月持有期7号理财产品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979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FBAE36026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980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FBAE41351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民生理财贵竹固收增利月月盈30天持有期51号理财产品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981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FBAE47540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民生理财贵竹固收增利28天持有期1号理财产品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982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FBAE48316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983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FBAE43526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民生理财茂竹双债增强3个月持有期6号理财产品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984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FBAE43500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民生理财茂竹双债增强2个月持有期1号理财产品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985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986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FBAF19252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民生理财天天增利现金管理252号理财产品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987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FBAF19251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民生理财天天增利现金管理251号理财产品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988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FBAF19255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民生理财天天增利现金管理255号理财产品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989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FBAF19254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民生理财天天增利现金管理254号理财产品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990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FBAE41352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民生理财贵竹固收增利月月盈30天持有期52号理财产品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991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FBAE37309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992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FBAE48317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993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994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FBAE41234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995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FBAE41235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996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997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FBAE42504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民生理财贵竹固收稳利3个月持有期4号理财产品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998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FBAE41911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999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民生理财贵竹固收增利天天盈103号理财产品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FBAF19240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民生理财天天增利现金管理240号理财产品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FBAE37310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FBAE46161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民生理财贵竹固收增强超利3个月持有期1号理财产品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FBAE41167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民生理财贵竹固收增利周周盈7天持有期67号理财产品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FBAE60547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民生理财富竹纯债91天持有期47号理财产品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FBAE60336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民生理财富竹纯债28天持有期36号理财产品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FBAE41540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民生理财贵竹固收增利季季盈90天持有期40号理财产品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民生理财贵竹固收增利天天盈104号理财产品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民生理财贵竹固收增利天天盈102号理财产品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FBAE41168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民生理财贵竹固收增利周周盈7天持有期68号理财产品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1010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FBAE37311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1011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FBAF19261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民生理财天天增利现金管理261号理财产品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1012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FBAE47561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1013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FBAE47519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1014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FBAE99361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民生理财贵竹固收增强汇星聚芒多资产轮动6个月持有期1号理财产品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1015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FBAE42403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民生理财贵竹固收稳利1个月持有期3号理财产品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1016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FBAE42505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民生理财贵竹固收稳利3个月持有期5号理财产品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1017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FBAE41348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民生理财贵竹固收增利月月盈30天持有期48号理财产品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1018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FBAE47562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1019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FBAE42305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民生理财贵竹固收稳利一年持有期5号理财产品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1020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FBAE41170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民生理财贵竹固收增利周周盈7天持有期70号理财产品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1021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FBAE41169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民生理财贵竹固收增利周周盈7天持有期69号理财产品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1022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FBAE21501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民生理财富竹纯债周开1号（91天持有期）理财产品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1023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FBAF19257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民生理财天天增利现金管理257号理财产品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1024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FBAE32115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1025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FBAE48318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1026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1027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FBAE22501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民生理财贵竹固收稳利周开1号（91天持有期）理财产品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1028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FBAE37312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1029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FBAF19256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民生理财天天增利现金管理256号理财产品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1030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FBAF19253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民生理财天天增利现金管理253号理财产品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1031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FBAE41541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民生理财贵竹固收增利季季盈90天持有期41号理财产品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1032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FBAE41355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民生理财贵竹固收增利月月盈30天持有期55号理财产品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1033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FBAE41173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民生理财贵竹固收增利周周盈7天持有期73号理财产品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1034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FBAF19262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民生理财天天增利现金管理262号理财产品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1035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FBAE42506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民生理财贵竹固收稳利3个月持有期6号理财产品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1036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FBAE47565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1037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FBAE41539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民生理财贵竹固收增利季季盈90天持有期39号理财产品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1038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FBAE46507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1039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FBAE47463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民生理财贵竹固收增利多策略半年持有期2号理财产品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1040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FBAE47566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1041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FBAE32306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民生理财富竹固收30天持有期6号理财产品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1042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FBAF19258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民生理财天天增利现金管理258号理财产品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1043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1044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FBAE42118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1045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FBAE42507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民生理财贵竹固收稳利3个月持有期7号理财产品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1046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FBAE41350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民生理财贵竹固收增利月月盈30天持有期50号理财产品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1047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FBAE41349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民生理财贵竹固收增利月月盈30天持有期49号理财产品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1048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FBAE47524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民生理财贵竹固收增利半年持有期24号理财产品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1049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FBAE46413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1050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FBAE36028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1051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FBAE37101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民生理财贵竹固收添益7天持有期1号理财产品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1052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FBAE36027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1053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FBAE49105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民生理财茂竹纯债7天持有期5号理财产品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1054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FBAE47520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民生理财贵竹固收增利半年持有期20号理财产品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1055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FBAE43528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民生理财茂竹双债增强3个月持有期8号理财产品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1056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FBAE46412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1057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FBAF19265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民生理财天天增利现金管理265号理财产品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1058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FBAF19264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民生理财天天增利现金管理264号理财产品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1059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FBAE46000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民生理财贵竹固收增强恒享一年持有期1号（量化增强）理财产品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1060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FBAE46011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民生理财贵竹固收增强14天持有期1号理财产品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1061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FBAF19263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民生理财天天增利现金管理263号理财产品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1062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FBAE41356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民生理财贵竹固收增利月月盈30天持有期56号理财产品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1063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FBAE37201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民生理财贵竹固收添益28天持有期1号理财产品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1064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FBAE37313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1065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FBAE31015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1066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FBAE32217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民生理财富竹固收14天持有期17号理财产品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1067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FBAE42122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1068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FBAF19277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民生理财天天增利现金管理277号理财产品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1069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FBAF19281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民生理财天天增利现金管理281号理财产品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FBAF19280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民生理财天天增利现金管理280号理财产品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FBAF19279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民生理财天天增利现金管理279号理财产品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FBAF19278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民生理财天天增利现金管理278号理财产品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FBAE47543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民生理财贵竹固收增利1个月持有期3号理财产品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FBAE34313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民生理财富竹固收28天持有期13号理财产品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FBAE32610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民生理财富竹固收182天持有期10号理财产品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FBAE32215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民生理财富竹固收14天持有期15号理财产品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FBAE47570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FBAE41910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FBAE41357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民生理财贵竹固收增利月月盈30天持有期57号理财产品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1080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FBAF19259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民生理财天天增利现金管理259号理财产品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1081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FBAF19267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民生理财天天增利现金管理267号理财产品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1082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FBAE47568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1083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FBAE47569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1084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FBAE22502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民生理财贵竹固收稳利周开2号（91天持有期）理财产品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1085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FBAF19260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民生理财天天增利现金管理260号理财产品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1086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FBAE41913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1087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FBAE41174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民生理财贵竹固收增利周周盈7天持有期74号理财产品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1088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FBAE46508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1089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民生理财贵竹固收增利天天盈108号理财产品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1090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FBAE41341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民生理财贵竹固收增利月月盈30天持有期41号理财产品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1091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FBAE60338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民生理财富竹纯债28天持有期38号理财产品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1092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FBAE41353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民生理财贵竹固收增利月月盈30天持有期53号理财产品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1093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FBAE41914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1094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FBAE41606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民生理财贵竹固收增利半年盈180天持有期6号理财产品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1095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FBAE41543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民生理财贵竹固收增利季季盈90天持有期43号理财产品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1096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FBAE31017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1097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FBAE41238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民生理财贵竹固收增利双周盈14天持有期38号理财产品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1098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FBAE41171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民生理财贵竹固收增利周周盈7天持有期71号理财产品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1099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1100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FBAE32611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民生理财富竹固收182天持有期11号理财产品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1101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FBAE41915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1102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FBAE41916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1103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FBAE60149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民生理财富竹纯债7天持有期49号理财产品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1104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FBAE60340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民生理财富竹纯债28天持有期40号理财产品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1105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FBAE41172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民生理财贵竹固收增利周周盈7天持有期72号理财产品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1106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FBAE47471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民生理财贵竹固收增利量化精选3个月持有期1号理财产品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1107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FBAE60416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1108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FBAE41547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民生理财贵竹固收增利季季盈90天持有期47号理财产品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1109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FBAE31018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1110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FBAE47573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1111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FBAE60339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民生理财富竹纯债28天持有期39号理财产品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1112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FBAE42124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民生理财贵竹固收稳利半年持有期24号理财产品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1113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FBAE99963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民生理财贵竹固收增利磐石半年持有期3号理财产品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1114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FBAE47529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民生理财贵竹固收增利半年持有期29号理财产品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1115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FBAE32407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民生理财富竹固收60天持有期7号理财产品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1116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FBAE32117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1117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FBAE42119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1118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FBAE20501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民生理财贵竹固收添益周开1号（91天持有期）理财产品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1119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FBAE47576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1120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FBAE46415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1121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FBAE47577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1122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FBAE41358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民生理财贵竹固收增利月月盈30天持有期58号理财产品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1123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FBAE41239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民生理财贵竹固收增利双周盈14天持有期39号理财产品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1124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FBAE41354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民生理财贵竹固收增利月月盈30天持有期54号理财产品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1125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FBAE31019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1126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FBAE41545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1127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FBAE41175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民生理财贵竹固收增利周周盈7天持有期75号理财产品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1128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FBAE69003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民生理财金竹量化红利增强半年持有期1号理财产品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1129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FBAE98201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民生理财慧竹稳利3个月持有期1号理财产品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1130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FBAE46509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1131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FBAE41361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民生理财贵竹固收增利月月盈30天持有期61号理财产品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1132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FBAE41241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民生理财贵竹固收增利双周盈14天持有期41号理财产品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1133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FBAE60635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1134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FBAE71531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民生理财荣竹混合量化增强3个月持有期1号理财产品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1135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FBAE41416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民生理财贵竹固收增利双月盈60天持有期16号理财产品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1136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FBAE37409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1137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FBAE60342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民生理财富竹纯债28天持有期42号理财产品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1138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FBAE41362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民生理财贵竹固收增利月月盈30天持有期62号理财产品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1139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FBAE41177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民生理财贵竹固收增利周周盈7天持有期77号理财产品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FBAE98301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民生理财慧竹增利3个月持有期1号理财产品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FBAE26801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民生理财富竹固收安盈天天快线1号理财产品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FBAE41607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民生理财贵竹固收增利半年盈180天持有期7号理财产品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FBAE41917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FBAE41178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民生理财贵竹固收增利周周盈7天持有期78号理财产品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FBAE47522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FBAE60343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民生理财富竹纯债28天持有期43号理财产品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FBAE42123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民生理财贵竹固收稳利半年持有期23号理财产品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FBAE41179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民生理财贵竹固收增利周周盈7天持有期79号理财产品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FBAE41244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民生理财贵竹固收增利双周盈14天持有期44号理财产品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1150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FBAE37491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民生理财贵竹固收添益多元策略半年持有期1号理财产品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1151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FBAE47530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民生理财贵竹固收增利半年持有期30号理财产品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1152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FBAE31021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1153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FBAE41366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民生理财贵竹固收增利月月盈30天持有期66号理财产品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1154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FBAE41182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民生理财贵竹固收增利周周盈7天持有期82号理财产品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1155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FBAE41247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民生理财贵竹固收增利双周盈14天持有期47号理财产品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1156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FBAE60147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民生理财富竹纯债7天持有期47号理财产品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1157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FBAE42125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民生理财贵竹固收稳利半年持有期25号理财产品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1158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FBAE42508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民生理财贵竹固收稳利3个月持有期8号理财产品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1159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FBAE47578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1160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FBAE47574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1161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FBAE37410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1162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FBAE37411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1163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FBAE41363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民生理财贵竹固收增利月月盈30天持有期63号理财产品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1164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FBAE32505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民生理财富竹固收91天持有期5号理财产品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1165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FBAE42404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民生理财贵竹固收稳利1个月持有期4号理财产品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1166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FBAE37316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1167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FBAE41548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民生理财贵竹固收增利季季盈90天持有期48号理财产品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1168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FBAE41920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民生理财贵竹固收增利天天盈120号理财产品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1169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FBAE41181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民生理财贵竹固收增利周周盈7天持有期81号理财产品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1170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FBAE37202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民生理财贵竹固收添益28天持有期2号理财产品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1171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FBAE98401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民生理财慧竹增强3个月持有期1号理财产品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1172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FBAE71704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民生理财荣竹混合多资产半年持有期1号理财产品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1173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FBAE60550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民生理财富竹纯债91天持有期50号理财产品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1174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FBAE41183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民生理财贵竹固收增利周周盈7天持有期83号理财产品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1175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FBAE47501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民生理财贵竹固收增利360天持有期1号理财产品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1176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FBAE41372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民生理财贵竹固收增利月月盈30天持有期72号理财产品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1177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FBAE41921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1178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FBAE24003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民生理财富竹纯债日申月赎3号理财产品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1179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FBAE41370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民生理财贵竹固收增利月月盈30天持有期70号理财产品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1180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FBAE41414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民生理财贵竹固收增利双月盈60天持有期14号理财产品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1181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FBAE41923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民生理财贵竹固收增利天天盈123号理财产品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1182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FBAE41922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1183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FBAE47525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民生理财贵竹固收增利半年持有期25号理财产品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1184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FBAE41243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民生理财贵竹固收增利双周盈14天持有期43号理财产品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1185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FBAE41371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民生理财贵竹固收增利月月盈30天持有期71号理财产品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1186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FBAE41242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民生理财贵竹固收增利双周盈14天持有期42号理财产品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1187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FBAE47575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1188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FBAF19288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民生理财天天增利现金管理288号理财产品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1189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FBAE21502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民生理财富竹纯债周开2号（91天持有期）理财产品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1190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FBAE41367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民生理财贵竹固收增利月月盈30天持有期67号理财产品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1191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FBAE41373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民生理财贵竹固收增利月月盈30天持有期73号理财产品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1192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FBAE41553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民生理财贵竹固收增利季季盈90天持有期53号理财产品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1193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FBAE41245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1194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FBAE47545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民生理财贵竹固收增利1个月持有期5号理财产品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1195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FBAE41546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民生理财贵竹固收增利季季盈90天持有期46号理财产品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1196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FBAE47464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民生理财贵竹固收增利多策略半年持有期3号理财产品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1197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FBAE41369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民生理财贵竹固收增利月月盈30天持有期69号理财产品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1198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FBAE41359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民生理财贵竹固收增利月月盈30天持有期59号理财产品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1199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FBAE32116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FBAE47526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FBAE31022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FBAE41549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民生理财贵竹固收增利季季盈90天持有期49号理财产品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FBAE41364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民生理财贵竹固收增利月月盈30天持有期64号理财产品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FBAE37322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FBAE37321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FBAE60150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民生理财富竹纯债7天持有期50号理财产品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FBAE31016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FBAE41374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民生理财贵竹固收增利月月盈30天持有期74号理财产品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FBAE32504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民生理财富竹固收91天持有期4号理财产品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1210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FBAE41608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民生理财贵竹固收增利半年盈180天持有期8号理财产品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1211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FBAE47571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1212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FBAE41184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民生理财贵竹固收增利周周盈7天持有期84号理财产品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1213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FBAE37412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1214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FBAE60341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民生理财富竹纯债28天持有期41号理财产品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1215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FBAE41185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民生理财贵竹固收增利周周盈7天持有期85号理财产品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1216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FBAE36029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民生理财贵竹固收增利天天鑫29号理财产品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1217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FBAE41924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民生理财贵竹固收增利天天盈124号理财产品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1218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FBAE36030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民生理财贵竹固收增利天天鑫30号理财产品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1219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FBAF19266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民生理财天天增利现金管理266号理财产品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1220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FBAE41376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民生理财贵竹固收增利月月盈30天持有期76号理财产品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1221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FBAE32119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1222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FBAE41550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民生理财贵竹固收增利季季盈90天持有期50号理财产品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1223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FBAE34314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民生理财富竹固收28天持有期14号理财产品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1224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FBAE32118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1225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FBAE32218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民生理财富竹固收14天持有期18号理财产品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1226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FBAE41929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民生理财贵竹固收增利天天盈129号理财产品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1227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FBAE41930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民生理财贵竹固收增利天天盈130号理财产品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1228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FBAE47579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1229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FBAE41375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民生理财贵竹固收增利月月盈30天持有期75号理财产品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1230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FBAE41382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民生理财贵竹固收增利月月盈30天持有期82号理财产品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1231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FBAE41381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民生理财贵竹固收增利月月盈30天持有期81号理财产品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1232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FBAE41928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1233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FBAE47527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1234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FBAE37323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民生理财贵竹固收添益3个月持有期23号理财产品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1235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FBAE32408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民生理财富竹固收60天持有期8号理财产品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1236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FBAE32307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民生理财富竹固收30天持有期7号理财产品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1237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FBAE41191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民生理财贵竹固收增利周周盈7天持有期91号理财产品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1238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FBAE37416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1239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FBAE37317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1240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FBAE37419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1241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FBAE47567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1242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FBAE47523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民生理财贵竹固收增利半年持有期23号理财产品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1243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FBAE41250</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民生理财贵竹固收增利双周盈14天持有期50号理财产品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1244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FBAE21503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民生理财富竹纯债周开3号（91天持有期）理财产品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1245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FBAE60148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民生理财富竹纯债7天持有期48号理财产品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1246</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FBAE41377</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民生理财贵竹固收增利月月盈30天持有期77号理财产品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1247</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FBAE41378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民生理财贵竹固收增利月月盈30天持有期78号理财产品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1248</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FBAE99969</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民生理财贵竹固收增利磐石半年持有期9号理财产品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1249</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FBAE60555</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民生理财富竹纯债91天持有期55号理财产品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1250</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FBAE41556</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民生理财贵竹固收增利季季盈90天持有期56号理财产品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1251</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FBAE41384</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民生理财贵竹固收增利月月盈30天持有期84号理财产品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1252</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FBAE41422</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民生理财贵竹固收增利双月盈60天持有期22号理财产品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1253</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FBAE41421</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民生理财贵竹固收增利双月盈60天持有期21号理财产品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1254</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FBAE41258</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民生理财贵竹固收增利双周盈14天持有期58号理财产品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1255</w:t>
            </w:r>
          </w:p>
        </w:tc>
        <w:tc>
          <w:tcPr>
            <w:tcW w:w="7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FBAE26903</w:t>
            </w:r>
          </w:p>
        </w:tc>
        <w:tc>
          <w:tcPr>
            <w:tcW w:w="37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民生理财富竹固收安盈天天快线理财产品</w:t>
            </w:r>
          </w:p>
        </w:tc>
      </w:tr>
    </w:tbl>
    <w:p>
      <w:pPr>
        <w:pStyle w:val="10"/>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cs="Times New Roman"/>
          <w:kern w:val="2"/>
          <w:szCs w:val="22"/>
        </w:rPr>
      </w:pPr>
    </w:p>
    <w:p>
      <w:pPr>
        <w:pStyle w:val="10"/>
        <w:keepNext w:val="0"/>
        <w:keepLines w:val="0"/>
        <w:pageBreakBefore w:val="0"/>
        <w:widowControl/>
        <w:kinsoku/>
        <w:wordWrap/>
        <w:overflowPunct/>
        <w:topLinePunct w:val="0"/>
        <w:autoSpaceDE/>
        <w:autoSpaceDN/>
        <w:bidi w:val="0"/>
        <w:adjustRightInd/>
        <w:snapToGrid/>
        <w:spacing w:line="240" w:lineRule="auto"/>
        <w:jc w:val="left"/>
        <w:textAlignment w:val="auto"/>
        <w:rPr>
          <w:rFonts w:ascii="宋体" w:hAnsi="宋体" w:cs="Times New Roman"/>
          <w:kern w:val="2"/>
          <w:szCs w:val="22"/>
        </w:rPr>
      </w:pPr>
    </w:p>
    <w:p>
      <w:pPr>
        <w:rPr>
          <w:rFonts w:cs="Times New Roman" w:asciiTheme="minorEastAsia" w:hAnsiTheme="minorEastAsia" w:eastAsiaTheme="minorEastAsia"/>
          <w:kern w:val="2"/>
          <w:sz w:val="28"/>
          <w:szCs w:val="28"/>
        </w:rPr>
      </w:pPr>
      <w:r>
        <w:rPr>
          <w:rFonts w:cs="Times New Roman" w:asciiTheme="minorEastAsia" w:hAnsiTheme="minorEastAsia" w:eastAsiaTheme="minorEastAsia"/>
          <w:kern w:val="2"/>
          <w:sz w:val="28"/>
          <w:szCs w:val="28"/>
        </w:rPr>
        <w:br w:type="page"/>
      </w:r>
    </w:p>
    <w:p>
      <w:pPr>
        <w:pStyle w:val="10"/>
        <w:spacing w:line="540" w:lineRule="atLeast"/>
        <w:jc w:val="left"/>
        <w:rPr>
          <w:rFonts w:hint="eastAsia" w:ascii="宋体" w:hAnsi="宋体" w:cs="Times New Roman"/>
          <w:kern w:val="2"/>
          <w:szCs w:val="22"/>
          <w:lang w:val="en-US" w:eastAsia="zh-CN"/>
        </w:rPr>
      </w:pPr>
      <w:r>
        <w:rPr>
          <w:rFonts w:hint="eastAsia" w:ascii="宋体" w:hAnsi="宋体" w:cs="Times New Roman"/>
          <w:kern w:val="2"/>
          <w:szCs w:val="22"/>
          <w:lang w:val="en-US" w:eastAsia="zh-CN"/>
        </w:rPr>
        <w:t>附件3：理财产品清单</w:t>
      </w:r>
    </w:p>
    <w:p>
      <w:pPr>
        <w:pStyle w:val="10"/>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cs="Times New Roman"/>
          <w:kern w:val="2"/>
          <w:szCs w:val="22"/>
        </w:rPr>
      </w:pPr>
      <w:r>
        <w:rPr>
          <w:rFonts w:hint="eastAsia" w:ascii="宋体" w:hAnsi="宋体" w:cs="Times New Roman"/>
          <w:kern w:val="2"/>
          <w:szCs w:val="22"/>
        </w:rPr>
        <w:t xml:space="preserve"> </w:t>
      </w:r>
    </w:p>
    <w:tbl>
      <w:tblPr>
        <w:tblStyle w:val="7"/>
        <w:tblW w:w="5410" w:type="pct"/>
        <w:tblInd w:w="-44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65"/>
        <w:gridCol w:w="1378"/>
        <w:gridCol w:w="68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序号</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产品代码</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产品名称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FSAE61001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民生理财富竹纯债91天持有期自动续期1号理财产品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FGAE61101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民生理财富竹纯债182天持有期自动续期1号机构款理财产品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FSAE61101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民生理财富竹纯债182天持有期自动续期1号理财产品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FSAE61201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民生理财富竹纯债一年持有期自动续期1号理财产品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FSAE68201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民生理财贵竹固收增强一年持有期自动续期1号理财产品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FGAE68031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民生理财贵竹固收增强季季发持有期自动续期机构款理财产品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FSAE68202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FSAE68032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民生理财贵竹固收增强季季发持有期自动续期理财产品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民生理财贵竹固收增利双月持有期自动续期1号理财产品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FSAE68901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民生理财贵竹固收增利半年持有期自动续期上海畅享款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民生理财贵竹固收增利单月持有期自动续期1号理财产品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民生理财贵竹固收增利3个月持有期自动续期1号理财产品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民生理财贵竹固收增利3个月持有期自动续期2号理财产品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FBAE68902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民生理财贵竹固收增利9个月持有期自动续期北京专属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FBAE68906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民生理财贵竹固收增利9个月持有期自动续期成都专属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FBAE68203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民生理财贵竹固收增强一年持有期长三角畅享款理财产品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FBAE68402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民生理财贵竹固收增利季初定开理财产品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FBAE68403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民生理财贵竹固收增利周周盈7天定开周二款理财产品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FBAE68407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民生理财贵竹固收增利9个月定开长三角畅享款1号理财产品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FSAE68606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民生理财贵竹固收增利91天持有期自动续期1号理财产品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FBAE68103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FBAE68608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民生理财贵竹固收增利单月持有期自动续期2号理财产品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FBAE68607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民生理财贵竹固收增利双月持有期自动续期2号理财产品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FBAE68609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民生理财贵竹固收增利182天持有期自动续期1号理财产品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FBAE68610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民生理财贵竹固收增利一年持有期自动续期1号理财产品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FSAE68410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民生理财贵竹固收增利周周盈7天定开周一款理财产品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FGAE68411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民生理财贵竹固收增利周周盈7天定开周一款机构理财产品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FSAE68412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民生理财贵竹固收增利周周盈7天定开周三款理财产品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FGAE68413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民生理财贵竹固收增利周周盈7天定开周三款机构理财产品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FBAE68611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民生理财贵竹固收增利6个月持有期自动续期1号理财产品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FBAE68612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民生理财贵竹固收增利6个月持有期自动续期2号理财产品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FSAE68205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FGAE68002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民生理财贵竹固收增利周周盈7天持有期1号机构款理财产品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FBAE68615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民生理财贵竹固收增利3个月持有期自动续期3号理财产品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FBAE68613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民生理财贵竹固收增利91天持有期自动续期2号理财产品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FBAE68614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民生理财贵竹固收增利182天持有期自动续期2号理财产品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FSAE68415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民生理财贵竹固收增利周周盈7天定开周四款理财产品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FSAE68416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民生理财贵竹固收增利周周盈7天定开周五款理财产品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民生理财贵竹固收增利双月盈60天持有期1号理财产品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FGAE61002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民生理财富竹纯债91天持有期1号机构款理财产品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FSAE61002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FSAE61102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FGAE68009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民生理财贵竹固收增利天天盈1号机构款理财产品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FSAE68007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民生理财贵竹固收增利月月盈30天持有期悠享款理财产品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FSAE68008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民生理财贵竹固收增利季季盈90天持有期悠享款理财产品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FSAE25003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民生理财贵竹慧赢添利固收增强一年定开3号理财产品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FSAE25004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民生理财贵竹慧赢添利固收增强一年定开4号理财产品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FSAE25005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民生理财贵竹慧赢添利固收增强一年定开5号理财产品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FSAE25006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民生理财贵竹慧赢添利固收增强一年定开6号理财产品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FSAE68010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FSAE68011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FSAE50001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民生理财贵竹固收增强半年定开1号理财产品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FSAE52010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民生理财贵竹固收增强一年定开10号理财产品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FSAE52001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民生理财贵竹固收增强一年定开1号理财产品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FSAE50003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民生理财贵竹固收增强半年定开3号理财产品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FSAE50002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民生理财贵竹固收增强半年定开2号理财产品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FSAE53002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民生理财贵竹固收增强一年半定开2号理财产品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FSAE55003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民生理财贵竹固收增强两年定开3号理财产品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FSAE55004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民生理财贵竹固收增强两年定开4号理财产品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FSAE52002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民生理财贵竹固收增强一年定开2号理财产品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FSAE52003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民生理财贵竹固收增强一年定开3号理财产品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FSAE52004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民生理财贵竹固收增强一年定开4号理财产品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FSAE52005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民生理财贵竹固收增强一年定开5号理财产品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FSAE52006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民生理财贵竹固收增强一年定开6号理财产品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FSAE55001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民生理财贵竹固收增强两年定开1号理财产品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FSAE55002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民生理财贵竹固收增强两年定开2号理财产品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FSAE58001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民生理财贵竹固收增强月月发1号理财产品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FSAE58003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民生理财贵竹固收增强月月发3号理财产品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FSAE06001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民生理财贵竹慧赢添利固收增强半年定开1号理财产品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FSAE06003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民生理财贵竹慧赢添利固收增强半年定开3号理财产品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FSAE06004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民生理财贵竹慧赢添利固收增强半年定开4号理财产品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FSAE58002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民生理财贵竹固收增强月月发2号理财产品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FSAE25010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民生理财贵竹慧赢添利固收增强一年定开10号理财产品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FSAE50004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民生理财贵竹固收增强半年定开4号理财产品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FSAE52007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民生理财贵竹固收增强一年定开7号理财产品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FSAE25001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民生理财贵竹慧赢添利固收增强一年定开1号理财产品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FSAE06005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民生理财贵竹慧赢添利固收增强半年定开5号理财产品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FSAE06009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民生理财贵竹慧赢添利固收增强半年定开9号理财产品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FSAE06010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民生理财贵竹慧赢添利固收增强半年定开10号理财产品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FSAE25007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民生理财贵竹慧赢添利固收增强一年定开7号理财产品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FSAE25008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民生理财贵竹慧赢添利固收增强一年定开8号理财产品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FSAE25009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民生理财贵竹慧赢添利固收增强一年定开9号理财产品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FSAE25011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民生理财贵竹慧赢添利固收增强一年定开11号理财产品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FGAE68012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民生理财贵竹固收增利天天盈2号机构款理财产品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FSAE52008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民生理财贵竹固收增强一年定开8号理财产品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FSAE50005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民生理财贵竹固收增强半年定开5号理财产品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FSAE06006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民生理财贵竹慧赢添利固收增强半年定开6号理财产品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FSAE06007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民生理财贵竹慧赢添利固收增强半年定开7号理财产品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FSAE25002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民生理财贵竹慧赢添利固收增强一年定开2号理财产品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FSAE50006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民生理财贵竹固收增强半年定开6号理财产品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FSAE06008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民生理财贵竹慧赢添利固收增强半年定开8号理财产品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FSAE52541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民生理财贵竹固收增强低碳领先一年定开理财产品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FSAE61003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民生理财富竹纯债91天持有期自动续期2号理财产品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FSAE68014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FSAE68016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FBAE68616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民生理财贵竹固收增利一年持有期1号理财产品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FBAE68207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FBAE68018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FBAE68022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FBAE61104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FBAE68017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FBAE68024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FBAE61103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FBAE68019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FBAE81001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FBAE68617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民生理财贵竹固收增利一年持有期2号理财产品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FBAE61203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民生理财富竹纯债一年持有期1号理财产品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FBAE50101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民生理财贵竹固收增强灵活申赎1号理财产品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FBAE60001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民生理财富竹纯债灵活申赎1号理财产品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FBAE68618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FBAE68020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FBAE68021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FBAE67001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民生理财贵竹固收增利周周发7天持有期1号理财产品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FBAE67101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民生理财贵竹固收增利月月发30天持有期1号理财产品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FBAE67201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民生理财贵竹固收增利季季发90天持有期1号理财产品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FBAE67301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民生理财贵竹固收增利半年发180天持有期1号理财产品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FBAE68619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FBAE68104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FBAE61105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FBAE67202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民生理财贵竹固收增利季季发90天持有期2号理财产品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FBAE68023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FBAE68028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FBAE68025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FBAE68620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FBAE68105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FBAE41107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FBAE61106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FBAE68621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FBAE41108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FBAE61007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FBAE61107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FBAE41019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FBAE41021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FBAE61008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FBAE81202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FBAE68622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FBAE61108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FBAE61009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民生理财茂竹双息策略3个月持有期1号理财产品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FBAE61010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FBAE61017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FBAE41022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FBAE60108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FBAE41308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FBAE43301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民生理财茂竹双息策略1个月持有期1号理财产品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FBAE60002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民生理财富竹纯债灵活申赎2号理财产品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FBAE61109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FBAE32501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民生理财富竹固收90天持有期1号理财产品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FBAE41112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FBAE44501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民生理财贵竹固收增利双息策略3个月持有期1号理财产品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FBAE44301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民生理财贵竹固收增利双息策略1个月持有期1号理财产品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FBAE41027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FBAE61110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民生理财茂竹双息策略3个月持有期2号理财产品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FBAE32101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FBAE41109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FBAE41310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FBAE61011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FBAE43601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民生理财茂竹全球固收精选半年持有期1号理财产品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FBAE32301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民生理财富竹固收30天持有期1号理财产品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FBAE41030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民生理财贵竹固收增利天天盈30号理财产品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FBAE41028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FBAE61115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FBAE60211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FBAE61205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民生理财富竹纯债一年持有期2号理财产品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FBAE60207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FBAE43901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民生理财茂竹固收黄金增强半年持有期理财产品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FBAE61014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FBAE68623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FBAE68029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FBAE24101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民生理财富竹纯债日申季赎1号理财产品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FBAE43621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FBAE32201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民生理财富竹固收14天持有期1号理财产品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FBAE41402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民生理财贵竹固收增利双月盈60天持有期2号理财产品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FBAE46971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民生理财贵竹固收增强全球精选378天持有期自动续期理财产品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FBAE41017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FBAE60107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FBAE60615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FBAE43622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FBAE61012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FBAE61016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FBAE60208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FBAE61111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FBAE47601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民生理财贵竹固收增利369天持有期1号理财产品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FBAE41026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FBAE60516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FBAE41309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FBAE41032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民生理财贵竹固收增利天天盈32号理财产品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FBAE60801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民生理财富竹纯债369天持有期1号理财产品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FBAE61015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FBAE41110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FBAE41038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民生理财贵竹固收增利天天盈38号理财产品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FBAE60117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FBAE60113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FBAE60308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FBAE60616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FBAE60310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FBAE51001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民生理财贵竹固收增强多策略日开1号理财产品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FBAE41123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民生理财贵竹固收增利周周盈7天持有期23号理财产品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FBAE44502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民生理财贵竹固收增利双息策略3个月持有期2号理财产品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FBAE41034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FBAE41312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FBAE43302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民生理财茂竹双息策略1个月持有期2号理财产品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FBAE60802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民生理财富竹纯债369天持有期2号理财产品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FBAE43623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FBAE41041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民生理财贵竹固收增利天天盈41号理财产品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FBAE60213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FBAE60118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FBAE60520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民生理财富竹纯债91天持有期20号理财产品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FBAE32103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FBAE41036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民生理财贵竹固收增利天天盈36号理财产品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FBAE67003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民生理财贵竹固收增利周周发7天持有期3号理财产品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FBAE88001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民生理财贵竹固收增利天天发1号理财产品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FBAE67401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民生理财贵竹固收增利双周发14天持有期1号理财产品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FBAE67103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民生理财贵竹固收增利月月发30天持有期3号理财产品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FBAE67203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民生理财贵竹固收增利季季发90天持有期3号理财产品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FBAE41311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FBAE41116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FBAE41117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FBAE41111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FBAE41039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民生理财贵竹固收增利天天盈39号理财产品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FBAE60311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民生理财茂竹双息策略3个月持有期3号理财产品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民生理财茂竹双息策略3个月持有期4号理财产品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FBAE41207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FBAE41313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民生理财茂竹双息策略3个月持有期5号理财产品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FBAE41507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FBAE41314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FBAE41508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FBAE41208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FBAE41052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民生理财贵竹固收增利天天盈52号理财产品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FBAE41113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FBAE32102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FBAE60518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FBAE23001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民生理财富竹优债日开1号理财产品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FBAE24201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民生理财富竹纯债日申半年赎1号理财产品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FBAE24102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民生理财富竹纯债日申季赎2号理财产品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FBAE68624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FBAE43021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民生理财茂竹双债增强灵活申赎1号理财产品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FBAE42001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民生理财贵竹固收稳利日开1号理财产品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FBAE60004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民生理财富竹纯债灵活申赎4号理财产品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FBAE60522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FBAE43624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民生理财茂竹双债增强半年持有期4号理财产品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FBAE60124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民生理财富竹纯债7天持有期24号理财产品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FBAE67303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民生理财贵竹固收增利半年发180天持有期3号理财产品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FBAE41315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FBAE60312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FBAE67204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民生理财贵竹固收增利季季发90天持有期4号理财产品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FBAE60517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FBAE46831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民生理财贵竹固收增强全球精选369天持有期1号理财产品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FBAE41053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民生理财贵竹固收增利天天盈53号理财产品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FBAE60701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民生理财富竹纯债118天持有期1号理财产品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FBAE41321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FBAE41514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FBAE47510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FBAE41118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FBAE51002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民生理财贵竹固收增强多策略日开2号理财产品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FBAE32401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民生理财富竹固收60天持有期1号理财产品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FBAE41318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FBAE60521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FBAE41046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民生理财贵竹固收增利天天盈46号理财产品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FBAE60114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FBAE41322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FBAE41043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民生理财贵竹固收增利天天盈43号理财产品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FBAE88002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民生理财贵竹固收增利天天发2号理财产品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FBAE88003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民生理财贵竹固收增利天天发3号理财产品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FBAE47602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民生理财贵竹固收增利369天持有期2号理财产品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FBAE41055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民生理财贵竹固收增利天天盈55号理财产品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FBAE41124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民生理财贵竹固收增利周周盈7天持有期24号理财产品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FBAE67004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民生理财贵竹固收增利周周发7天持有期4号理财产品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FBAE67402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民生理财贵竹固收增利双周发14天持有期2号理财产品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FBAE67104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民生理财贵竹固收增利月月发30天持有期4号理财产品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FBAE60120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民生理财富竹纯债7天持有期20号理财产品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FBAE60214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FBAE41127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FBAE60119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FBAE60217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FBAE60315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FBAE60523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民生理财富竹纯债91天持有期23号理财产品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FBAE46301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FBAE41515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FBAE41319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FBAE41516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FBAE41131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民生理财贵竹固收增利周周盈7天持有期31号理财产品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FBAE60526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FBAE41212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FBAE41517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FBAE41044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民生理财贵竹固收增利天天盈44号理财产品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FBAE48501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FBAE67205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民生理财贵竹固收增利季季发90天持有期5号理财产品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FBAE49531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民生理财茂竹纯债金融债策略3个月持有期1号理财产品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FBAE41128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FBAE41058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民生理财贵竹固收增利天天盈58号理财产品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FBAE41057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民生理财贵竹固收增利天天盈57号理财产品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FBAE41320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民生理财贵竹固收增利月月盈30天持有期20号理财产品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FBAE67304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民生理财贵竹固收增利半年发180天持有期4号理财产品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FBAE67501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民生理财贵竹固收增利年年发360天持有期1号理财产品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FBAE41045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FBAE41518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FBAE88004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民生理财贵竹固收增利天天发4号理财产品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FBAE88005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民生理财贵竹固收增利天天发5号理财产品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FBAE60527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FBAE67105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民生理财贵竹固收增利月月发30天持有期5号理财产品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FBAE60618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FBAE46406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FBAE41070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民生理财贵竹固收增利天天盈70号理财产品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FBAE88007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民生理财贵竹固收增利天天发7号理财产品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FBAE88006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民生理财贵竹固收增利天天发6号理财产品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FBAE60219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FBAE41325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民生理财贵竹固收增利月月盈30天持有期25号理财产品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FBAE46407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FBAE60316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FBAE60121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FBAE41132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民生理财贵竹固收增利周周盈7天持有期32号理财产品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FBAE31202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民生理财富竹固收双周盈14天持有期2号理财产品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FBAE60528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FBAE60317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FBAE60222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民生理财茂竹双息策略3个月持有期6号理财产品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FBAE41061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民生理财贵竹固收增利天天盈61号理财产品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FBAE42107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FBAE60130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民生理财富竹纯债7天持有期30号理财产品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FBAE60220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民生理财富竹纯债14天持有期20号理财产品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FBAE49501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民生理财茂竹纯债3个月持有期1号理财产品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FBAE60122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FBAE41213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FBAE46408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FBAE60321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FBAE60322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FBAE60619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FBAE60407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FBAE46731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民生理财贵竹固收增强红利价值半年持有期1号理财产品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FBAE46101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民生理财贵竹固收增强1个月持有期1号理财产品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FBAE41519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FBAE41326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FBAE60227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FBAE46751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民生理财贵竹固收增强行业龙头策略半年持有期1号理财产品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FBAE42108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FBAE47511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FBAE24601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民生理财富竹固收日申季赎1号理财产品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FBAE24501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民生理财富竹固收日申月赎1号理财产品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FBAE32205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民生理财富竹固收14天持有期5号理财产品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FBAE41129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民生理财贵竹固收增利周周盈7天持有期29号理财产品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FBAE41403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民生理财贵竹固收增利双月盈60天持有期3号理财产品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FBAE60228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FBAE60131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民生理财富竹纯债7天持有期31号理财产品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FBAE41077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民生理财贵竹固收增利天天盈77号理财产品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FBAE41323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民生理财贵竹固收增利月月盈30天持有期23号理财产品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FBAE49571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民生理财茂竹纯债稳健3个月持有期1号理财产品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FBAE67206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民生理财贵竹固收增利季季发90天持有期6号理财产品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FBAE67207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民生理财贵竹固收增利季季发90天持有期7号理财产品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FBAE41210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FBAE41125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民生理财贵竹固收增利周周盈7天持有期25号理财产品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FBAE67106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民生理财贵竹固收增利月月发30天持有期6号理财产品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FBAE67107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民生理财贵竹固收增利月月发30天持有期7号理财产品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FBAE24602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民生理财富竹固收日申季赎2号理财产品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FBAE60318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FBAE41126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FBAE41211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FBAE41316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FBAE46302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民生理财贵竹固收增强3个月持有期2号理财产品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FBAE41521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FBAE41216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FBAE23771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民生理财富竹优债稳健182天持有期1号理财产品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FBAE34304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民生理财富竹固收28天持有期4号理财产品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FBAE23571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民生理财富竹优债稳健91天持有期1号理财产品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FBAE41317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FBAE41130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民生理财贵竹固收增利周周盈7天持有期30号理财产品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FBAE41327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FBAE41133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FBAE46409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FBAE34305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民生理财富竹固收28天持有期5号理财产品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FBAE34208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民生理财富竹固收14天持有期8号理财产品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FBAE60128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FBAE60225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民生理财富竹纯债14天持有期25号理财产品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FBAE60125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民生理财富竹纯债7天持有期25号理财产品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FBAE46771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民生理财贵竹固收增强指数轮动半年持有期1号理财产品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FBAE49271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民生理财茂竹纯债稳健14天持有期1号理财产品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FBAE31104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民生理财富竹固收周周盈7天持有期4号理财产品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FBAE32303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民生理财富竹固收30天持有期3号理财产品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FBAE32206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民生理财富竹固收14天持有期6号理财产品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FBAE67007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民生理财贵竹固收增利周周发7天持有期7号理财产品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FBAE67006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民生理财贵竹固收增利周周发7天持有期6号理财产品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FBAE23701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民生理财富竹优债半年持有期1号理财产品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FBAE47604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民生理财贵竹固收增利369天持有期4号理财产品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FBAE43521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FBAE41141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民生理财贵竹固收增利周周盈7天持有期41号理财产品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FBAE41324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民生理财贵竹固收增利月月盈30天持有期24号理财产品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FBAE67008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民生理财贵竹固收增利周周发7天持有期8号理财产品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FBAE67108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民生理财贵竹固收增利月月发30天持有期8号理财产品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FBAE67208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民生理财贵竹固收增利季季发90天持有期8号理财产品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FBAE49372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民生理财茂竹纯债稳健1个月持有期2号理财产品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FBAE41140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民生理财贵竹固收增利周周盈7天持有期40号理财产品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FBAE41333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FBAE41138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民生理财贵竹固收增利周周盈7天持有期38号理财产品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FBAE41139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民生理财贵竹固收增利周周盈7天持有期39号理财产品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FBAE92001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民生理财贵竹固收增利双债增强日开1号理财产品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FBAE36008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FBAE60226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FBAE60129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民生理财富竹纯债7天持有期29号理财产品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FBAE36007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FBAE41065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民生理财贵竹固收增利天天盈65号理财产品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FBAE47605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民生理财贵竹固收增利369天持有期5号理财产品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FBAE60132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民生理财富竹纯债7天持有期32号理财产品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FBAE41135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FBAE41329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民生理财贵竹固收增利月月盈30天持有期29号理财产品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FBAE46721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民生理财贵竹固收增强基础设施主题半年持有期1号理财产品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FBAE23371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民生理财富竹优债稳健28天持有期1号理财产品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FBAE46741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民生理财贵竹固收增强科技创新半年持有期1号理财产品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FBAE46761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民生理财贵竹固收增强周期驱动半年持有期1号理财产品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FBAE34306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民生理财富竹固收28天持有期6号理财产品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FBAE41072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民生理财贵竹固收增利天天盈72号理财产品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FBAE46303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民生理财贵竹固收增强3个月持有期3号理财产品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FBAE41520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民生理财贵竹固收增利季季盈90天持有期20号理财产品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FBAE47412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民生理财贵竹固收增利红利半年持有期2号理财产品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FBAE60323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民生理财富竹纯债28天持有期23号理财产品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FBAE60233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FBAE47513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FBAE46304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民生理财贵竹固收增强3个月持有期4号理财产品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FBAE46504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FBAE60229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民生理财富竹纯债14天持有期29号理财产品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FBAE41137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民生理财贵竹固收增利周周盈7天持有期37号理财产品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FBAE41330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民生理财贵竹固收增利月月盈30天持有期30号理财产品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FBAE60529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民生理财富竹纯债91天持有期29号理财产品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FBAE67502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民生理财贵竹固收增利年年发360天持有期2号理财产品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FBAE41074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民生理财贵竹固收增利天天盈74号理财产品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FBAE46102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民生理财贵竹固收增强1个月持有期2号理财产品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FBAE51101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民生理财贵竹固收增强日开1号理财产品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FBAE60533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FBAE60622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FBAE41328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FBAE43629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民生理财茂竹双债增强半年持有期9号理财产品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FBAE41214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FBAE41408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民生理财贵竹固收增利双月盈60天持有期8号理财产品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FBAE36009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FBAE48307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FBAE47606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民生理财贵竹固收增利369天持有期6号理财产品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FBAE46410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FBAE60623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民生理财富竹纯债182天持有期23号理财产品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FBAE60806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民生理财富竹纯债369天持有期6号理财产品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FBAE48701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FBAE43611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民生理财茂竹全球固收精选3个月持有期1号理财产品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FBAE36010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FBAE51300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民生理财贵竹固收增强全球精选日开1号理财产品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FBAE42109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FBAE48308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FBAE46505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FBAE36013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FBAE41215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FBAE41148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民生理财贵竹固收增利周周盈7天持有期48号理财产品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FBAE60807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民生理财富竹纯债369天持有期7号理财产品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FBAE67306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民生理财贵竹固收增利半年发180天持有期6号理财产品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FBAE67601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民生理财贵竹固收增利双月发60天持有期1号理财产品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FBAE47607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民生理财贵竹固收增利369天持有期7号理财产品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FBAE46781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民生理财贵竹固收增强新利半年持有期1号理财产品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FBAE41075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民生理财贵竹固收增利天天盈75号理财产品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FBAE67209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民生理财贵竹固收增利季季发90天持有期9号理财产品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FBAE67503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民生理财贵竹固收增利年年发360天持有期3号理财产品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FBAE41336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民生理财贵竹固收增利月月盈30天持有期36号理财产品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FBAE41409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民生理财贵竹固收增利双月盈60天持有期9号理财产品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FBAE48504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民生理财茂竹固收3个月持有期4号理财产品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FBAE42110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FBAE51102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民生理财贵竹固收增强日开2号理财产品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FBAE60901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民生理财富竹纯债278天持有期1号理财产品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FBAE60534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FBAE47608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民生理财贵竹固收增利369天持有期8号理财产品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FBAE43604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民生理财茂竹全球固收精选半年持有期4号理财产品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FBAE67109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民生理财贵竹固收增利月月发30天持有期9号理财产品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FBAE41525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民生理财贵竹固收增利季季盈90天持有期25号理财产品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FBAE51401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民生理财贵竹固收增强量化精选日开1号理财产品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FBAE28001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民生理财富竹固收灵活计划1号理财产品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FBAE47609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民生理财贵竹固收增利369天持有期9号理财产品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FBAE48309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FBAE31009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FBAE31010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FBAE43522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民生理财茂竹双债增强3个月持有期2号理财产品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FBAE42111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FBAE34110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FBAE60408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FBAE46813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民生理财贵竹固收增强全球精选半年持有期3号理财产品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民生理财贵竹固收增利全球精选半年持有期2号理财产品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FBAE60234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FBAE60328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FBAE41217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FBAE60626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FBAE60143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民生理财富竹纯债7天持有期43号理财产品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FBAE34210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民生理财富竹固收14天持有期10号理财产品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FBAE41601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民生理财贵竹固收增利半年盈180天持有期1号理财产品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FBAE48310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FBAE46121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民生理财贵竹固收增强超利30天持有期1号理财产品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FBAE41522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FBAE42003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民生理财贵竹固收稳利日开3号理财产品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FBAE32605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民生理财富竹固收182天持有期5号理财产品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FBAE60541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民生理财富竹纯债91天持有期41号理财产品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FBAE48311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FBAE41146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民生理财贵竹固收增利周周盈7天持有期46号理财产品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FBAE41218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FBAE46151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民生理财贵竹固收增强之江科技创新半年持有期理财产品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FBAE46152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民生理财贵竹固收增强金陵高质量增长半年持有期理财产品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FBAE49805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民生理财茂竹纯债7天定开周三款理财产品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FBAE42112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FBAE41085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民生理财贵竹固收增利天天盈85号理财产品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FBAE46122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民生理财贵竹固收增强超利30天持有期2号理财产品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FBAE48505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民生理财茂竹固收3个月持有期5号理财产品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FBAE46123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民生理财贵竹固收增强超利30天持有期3号理财产品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FBAE42171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民生理财贵竹固收稳利红利半年持有期1号理财产品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FBAE41530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民生理财贵竹固收增利季季盈90天持有期30号理财产品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FBAE41149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民生理财贵竹固收增利周周盈7天持有期49号理财产品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FBAE42201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民生理财贵竹固收稳利9个月持有期1号理财产品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FBAE41145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FBAE47610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民生理财贵竹固收增利369天持有期10号理财产品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FBAE34111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FBAE60326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FBAE51402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民生理财贵竹固收增强量化精选日开2号理财产品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FBAE41147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民生理财贵竹固收增利周周盈7天持有期47号理财产品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FBAE41407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民生理财贵竹固收增利双月盈60天持有期7号理财产品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FBAE41335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FBAE41334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FBAE67210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民生理财贵竹固收增利季季发90天持有期10号理财产品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FBAE31013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FBAE41092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民生理财贵竹固收增利天天盈92号理财产品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FBAE47411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民生理财贵竹固收增利红利半年持有期1号理财产品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FBAE46714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民生理财贵竹固收增强量化策略3个月持有期1号理财产品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FBAE42151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民生理财贵竹固收稳利全球精选半年持有期1号理财产品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FBAE41086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民生理财贵竹固收增利天天盈86号理财产品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FBAE46411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FBAE47413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民生理财贵竹固收增利红利一年持有期1号理财产品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FBAE41144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民生理财贵竹固收增利周周盈7天持有期44号理财产品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FBAE41602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民生理财贵竹固收增利半年盈180天持有期2号理财产品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FBAE41531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民生理财贵竹固收增利季季盈90天持有期31号理财产品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FBAE46506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FBAE43524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民生理财茂竹双债增强3个月持有期4号理财产品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FBAE52001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民生理财贵竹固收增强金利日开1号理财产品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民生理财贵竹固收增利全球精选一年持有期1号理财产品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FBAE41337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民生理财贵竹固收增利月月盈30天持有期37号理财产品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FBAE42113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FBAE43523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民生理财茂竹双债增强3个月持有期3号理财产品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FBAE47514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FBAE46704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民生理财贵竹固收增强量化精选6个月持有期1号理财产品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FBAE60235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FBAE60136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民生理财富竹纯债7天持有期36号理财产品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FBAE51211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民生理财贵竹固收增强多策略半年持有期1号理财产品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FBAE41161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民生理财贵竹固收增利周周盈7天持有期61号理财产品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FBAE46124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民生理财贵竹固收增强超利30天持有期4号理财产品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FBAE42303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民生理财贵竹固收稳利一年持有期3号理财产品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FBAE41537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民生理财贵竹固收增利季季盈90天持有期37号理财产品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FBAE42172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民生理财贵竹固收稳利红利半年持有期2号理财产品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FBAE42152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民生理财贵竹固收稳利全球精选半年持有期2号理财产品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FBAE41227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FBAE51221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民生理财贵竹固收增强多策略3个月持有期1号理财产品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FBAE49104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民生理财茂竹纯债7天持有期4号理财产品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FBAE42114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FBAE36021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FBAE41604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民生理财贵竹固收增利半年盈180天持有期4号理财产品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FBAE60537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民生理财富竹纯债91天持有期37号理财产品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FBAE60627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FBAE46701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民生理财贵竹固收增强量化精选3个月持有期1号理财产品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FBAE41162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民生理财贵竹固收增利周周盈7天持有期62号理财产品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FBAE60412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FBAE41605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民生理财贵竹固收增利半年盈180天持有期5号理财产品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FBAE47515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FBAE41150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民生理财贵竹固收增利周周盈7天持有期50号理财产品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FBAE31014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民生理财富竹固收天天盈14号理财产品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FBAE41096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民生理财贵竹固收增利天天盈96号理财产品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FBAE60628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FBAE46814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民生理财贵竹固收增强全球精选半年持有期4号理财产品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FBAE42153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民生理财贵竹固收稳利全球精选半年持有期3号理财产品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FBAE42173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民生理财贵竹固收稳利红利半年持有期3号理财产品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FBAE41088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民生理财贵竹固收增利天天盈88号理财产品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FBAE43525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民生理财茂竹双债增强3个月持有期5号理财产品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FBAE41223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民生理财贵竹固收增利双周盈14天持有期23号理财产品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FBAE47414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民生理财贵竹固收增利红利半年持有期3号理财产品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FBAE47421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民生理财贵竹固收增利双债增强半年持有期1号理财产品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FBAE38401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民生理财贵竹固收丰益半年持有期1号理财产品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FBAE41338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民生理财贵竹固收增利月月盈30天持有期38号理财产品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FBAE41339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民生理财贵竹固收增利月月盈30天持有期39号理财产品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民生理财贵竹固收增利全球精选半年持有期1号理财产品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FBAE60332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民生理财富竹纯债28天持有期32号理财产品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FBAE41154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民生理财贵竹固收增利周周盈7天持有期54号理财产品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FBAE41153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民生理财贵竹固收增利周周盈7天持有期53号理财产品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FBAE41231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民生理财贵竹固收增利双周盈14天持有期31号理财产品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FBAE67212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民生理财贵竹固收增利季季发90天持有期12号理财产品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FBAE41232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民生理财贵竹固收增利双周盈14天持有期32号理财产品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FBAE60134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民生理财富竹纯债7天持有期34号理财产品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FBAE41411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民生理财贵竹固收增利双月盈60天持有期11号理财产品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FBAE60334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FBAE42202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民生理财贵竹固收稳利9个月持有期2号理财产品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FBAE36018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FBAE60414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FBAE38301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民生理财贵竹固收丰益3个月持有期1号理财产品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FBAE60231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民生理财富竹纯债14天持有期31号理财产品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FBAE41340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民生理财贵竹固收增利月月盈30天持有期40号理财产品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FBAE47516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FBAE47416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民生理财贵竹固收增利红利1个月持有期1号理财产品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FBAE41538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民生理财贵竹固收增利季季盈90天持有期38号理财产品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FBAE41157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民生理财贵竹固收增利周周盈7天持有期57号理财产品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FBAE91001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民生理财贵竹固收增利红利日开1号理财产品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FBAE94001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民生理财贵竹固收增利多策略日开1号理财产品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FBAE48312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FBAE41166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民生理财贵竹固收增利周周盈7天持有期66号理财产品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民生理财贵竹固收增利全球精选半年持有期3号理财产品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FBAE96001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民生理财贵竹固收增利指数轮动日开1号理财产品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FBAE41345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FBAE38402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民生理财贵竹固收丰益半年持有期2号理财产品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FBAE60232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民生理财富竹纯债14天持有期32号理财产品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FBAE47517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FBAE41233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FBAE42174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民生理财贵竹固收稳利红利半年持有期4号理财产品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FBAE46125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民生理财贵竹固收增强超利30天持有期5号理财产品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FBAE60538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民生理财富竹纯债91天持有期38号理财产品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FBAE95001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民生理财贵竹固收增利量化精选日开1号理财产品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FBAE95101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民生理财贵竹固收增利多元资产轮动日开1号理财产品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FBAE47423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民生理财贵竹固收增利双债增强1个月持有期1号理财产品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FBAE37308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FBAE41100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民生理财贵竹固收增利天天盈100号理财产品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FBAE41099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民生理财贵竹固收增利天天盈99号理财产品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FBAE41346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民生理财贵竹固收增利月月盈30天持有期46号理财产品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FBAE42401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民生理财贵竹固收稳利1个月持有期1号理财产品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FBAE36022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FBAE32214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民生理财富竹固收14天持有期14号理财产品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FBAE95201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民生理财贵竹固收增利全球精选日开1号理财产品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FBAE42501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FBAE42502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民生理财贵竹固收稳利3个月持有期2号理财产品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FBAE60413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FBAE60333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FBAE41534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FBAE38451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民生理财贵竹固收丰益科创智选进取策略半年持有期1号理财产品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FBAE37451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民生理财贵竹固收添益科创智选稳健策略半年持有期1号理财产品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FBAE60629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民生理财富竹纯债182天持有期29号理财产品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FBAE60415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FBAE60951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民生理财富竹纯债科创智选稳健策略半年持有期1号理财产品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FBAE60544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民生理财富竹纯债91天持有期44号理财产品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FBAE46308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民生理财贵竹固收增强3个月持有期8号理财产品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FBAE42402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民生理财贵竹固收稳利1个月持有期2号理财产品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FBAE60539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民生理财富竹纯债91天持有期39号理财产品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FBAE47461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民生理财贵竹固收增利多策略半年持有期1号理财产品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FBAE48315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民生理财贵竹固收增利天天盈105号理财产品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民生理财贵竹固收增利天天盈106号理财产品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FBAE41907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民生理财贵竹固收增利天天盈107号理财产品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FBAE35505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民生理财富竹固收90天持有期5号理财产品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FBAE37452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民生理财贵竹固收添益科创智选稳健策略半年持有期2号理财产品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FBAE38452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民生理财贵竹固收丰益科创智选进取策略半年持有期2号理财产品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FBAE47518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FBAE60417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民生理财富竹纯债60天持有期17号理财产品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FBAE41542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民生理财贵竹固收增利季季盈90天持有期42号理财产品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FBAE42503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民生理财贵竹固收稳利3个月持有期3号理财产品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FBAE99261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民生理财贵竹固收增利汇星聚芒全市场轮动6个月持有期1号理财产品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FBAE47415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民生理财贵竹固收增利红利半年持有期4号理财产品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FBAE38601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民生理财贵竹固收丰益一年持有期1号理财产品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FBAE60545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FBAE48507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民生理财茂竹固收3个月持有期7号理财产品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FBAE36026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FBAE41351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民生理财贵竹固收增利月月盈30天持有期51号理财产品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FBAE47540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民生理财贵竹固收增利28天持有期1号理财产品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FBAE48316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FBAE43526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民生理财茂竹双债增强3个月持有期6号理财产品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FBAE43500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民生理财茂竹双债增强2个月持有期1号理财产品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FBAE41352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民生理财贵竹固收增利月月盈30天持有期52号理财产品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FBAE37309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FBAE48317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FBAE37307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FBAE41234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FBAE42504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民生理财贵竹固收稳利3个月持有期4号理财产品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FBAE41911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FBAE37310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FBAE46161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民生理财贵竹固收增强超利3个月持有期1号理财产品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FBAE41167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民生理财贵竹固收增利周周盈7天持有期67号理财产品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FBAE60547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民生理财富竹纯债91天持有期47号理财产品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FBAE60336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民生理财富竹纯债28天持有期36号理财产品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FBAE41540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民生理财贵竹固收增利季季盈90天持有期40号理财产品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FBAE41904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民生理财贵竹固收增利天天盈104号理财产品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民生理财贵竹固收增利天天盈102号理财产品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FBAE41168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民生理财贵竹固收增利周周盈7天持有期68号理财产品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FBAE37311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FBAE47561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FBAE47519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FBAE99361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民生理财贵竹固收增强汇星聚芒多资产轮动6个月持有期1号理财产品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FBAE42403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民生理财贵竹固收稳利1个月持有期3号理财产品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FBAE42505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民生理财贵竹固收稳利3个月持有期5号理财产品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FBAE41348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民生理财贵竹固收增利月月盈30天持有期48号理财产品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FBAE47562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FBAE42305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民生理财贵竹固收稳利一年持有期5号理财产品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FBAE41170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民生理财贵竹固收增利周周盈7天持有期70号理财产品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FBAE41169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民生理财贵竹固收增利周周盈7天持有期69号理财产品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FBAE21501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民生理财富竹纯债周开1号（91天持有期）理财产品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FBAE32115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民生理财富竹固收7天持有期15号理财产品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FBAE48318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民生理财茂竹固收1个月持有期18号理财产品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FBAE22501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民生理财贵竹固收稳利周开1号（91天持有期）理财产品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FBAE37312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FBAE42506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民生理财贵竹固收稳利3个月持有期6号理财产品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FBAE91002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民生理财贵竹固收增利红利日开2号理财产品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FBAE47565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FBAE46507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FBAE47463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民生理财贵竹固收增利多策略半年持有期2号理财产品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FBAE47566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FBAE32306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民生理财富竹固收30天持有期6号理财产品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FBAE42005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民生理财贵竹固收稳利日开5号理财产品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FBAE37407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FBAE42118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民生理财贵竹固收稳利半年持有期18号理财产品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FBAE42507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民生理财贵竹固收稳利3个月持有期7号理财产品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FBAE41350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民生理财贵竹固收增利月月盈30天持有期50号理财产品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FBAE41349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民生理财贵竹固收增利月月盈30天持有期49号理财产品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FBAE47524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民生理财贵竹固收增利半年持有期24号理财产品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FBAE46413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FBAE37101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民生理财贵竹固收添益7天持有期1号理财产品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FBAE36027</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民生理财贵竹固收增利天天鑫27号理财产品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FBAE49105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民生理财茂竹纯债7天持有期5号理财产品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FBAE47520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民生理财贵竹固收增利半年持有期20号理财产品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FBAE43528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民生理财茂竹双债增强3个月持有期8号理财产品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FBAE46412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民生理财贵竹固收增强半年持有期12号理财产品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FBAE41356</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民生理财贵竹固收增利月月盈30天持有期56号理财产品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FBAE37201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民生理财贵竹固收添益28天持有期1号理财产品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FBAE37313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民生理财贵竹固收添益3个月持有期13号理财产品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FBAE47543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民生理财贵竹固收增利1个月持有期3号理财产品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FBAE47570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FBAE41910</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FBAE47568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FBAE47569</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民生理财贵竹固收增利3个月持有期9号理财产品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FBAE22502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民生理财贵竹固收稳利周开2号（91天持有期）理财产品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FBAE41174</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民生理财贵竹固收增利周周盈7天持有期74号理财产品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FBAE46508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民生理财贵竹固收增强一年持有期8号理财产品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FBAE41908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民生理财贵竹固收增利天天盈108号理财产品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FBAE41341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民生理财贵竹固收增利月月盈30天持有期41号理财产品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790</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FBAE60338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民生理财富竹纯债28天持有期38号理财产品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791</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FBAE41353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民生理财贵竹固收增利月月盈30天持有期53号理财产品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792</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FBAE41543</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民生理财贵竹固收增利季季盈90天持有期43号理财产品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793</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FBAE41238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民生理财贵竹固收增利双周盈14天持有期38号理财产品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794</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FBAE41171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民生理财贵竹固收增利周周盈7天持有期71号理财产品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795</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FBAE37408</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民生理财贵竹固收添益半年持有期8号理财产品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796</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FBAE32611</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民生理财富竹固收182天持有期11号理财产品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797</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FBAE41915</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民生理财贵竹固收增利天天盈115号理财产品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798</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FBAE41172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民生理财贵竹固收增利周周盈7天持有期72号理财产品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0" w:hRule="atLeast"/>
        </w:trPr>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799</w:t>
            </w:r>
          </w:p>
        </w:tc>
        <w:tc>
          <w:tcPr>
            <w:tcW w:w="7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FBAE47522</w:t>
            </w:r>
          </w:p>
        </w:tc>
        <w:tc>
          <w:tcPr>
            <w:tcW w:w="37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民生理财贵竹固收增利半年持有期22号理财产品</w:t>
            </w:r>
          </w:p>
        </w:tc>
      </w:tr>
    </w:tbl>
    <w:p>
      <w:pPr>
        <w:pStyle w:val="10"/>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cs="Times New Roman"/>
          <w:kern w:val="2"/>
          <w:szCs w:val="22"/>
        </w:rPr>
      </w:pPr>
    </w:p>
    <w:p>
      <w:pPr>
        <w:pStyle w:val="10"/>
        <w:keepNext w:val="0"/>
        <w:keepLines w:val="0"/>
        <w:pageBreakBefore w:val="0"/>
        <w:widowControl/>
        <w:kinsoku/>
        <w:wordWrap/>
        <w:overflowPunct/>
        <w:topLinePunct w:val="0"/>
        <w:autoSpaceDE/>
        <w:autoSpaceDN/>
        <w:bidi w:val="0"/>
        <w:adjustRightInd/>
        <w:snapToGrid/>
        <w:spacing w:line="240" w:lineRule="auto"/>
        <w:jc w:val="left"/>
        <w:textAlignment w:val="auto"/>
        <w:rPr>
          <w:rFonts w:ascii="宋体" w:hAnsi="宋体" w:cs="Times New Roman"/>
          <w:kern w:val="2"/>
          <w:szCs w:val="22"/>
        </w:rPr>
      </w:pPr>
    </w:p>
    <w:p>
      <w:pPr>
        <w:rPr>
          <w:rFonts w:cs="Times New Roman" w:asciiTheme="minorEastAsia" w:hAnsiTheme="minorEastAsia" w:eastAsiaTheme="minorEastAsia"/>
          <w:kern w:val="2"/>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CF5"/>
    <w:rsid w:val="000476E4"/>
    <w:rsid w:val="000B19A6"/>
    <w:rsid w:val="000D4400"/>
    <w:rsid w:val="000E5420"/>
    <w:rsid w:val="00124084"/>
    <w:rsid w:val="00175344"/>
    <w:rsid w:val="0018467E"/>
    <w:rsid w:val="001C541F"/>
    <w:rsid w:val="001F04D5"/>
    <w:rsid w:val="002A4D89"/>
    <w:rsid w:val="002A5885"/>
    <w:rsid w:val="0031155C"/>
    <w:rsid w:val="00312717"/>
    <w:rsid w:val="003510FC"/>
    <w:rsid w:val="00392524"/>
    <w:rsid w:val="003D1FB8"/>
    <w:rsid w:val="004462E6"/>
    <w:rsid w:val="00476CDA"/>
    <w:rsid w:val="004949EB"/>
    <w:rsid w:val="004A3AB1"/>
    <w:rsid w:val="004B0881"/>
    <w:rsid w:val="004C2E9E"/>
    <w:rsid w:val="004E75B6"/>
    <w:rsid w:val="004F7CDF"/>
    <w:rsid w:val="00513291"/>
    <w:rsid w:val="005174DB"/>
    <w:rsid w:val="0052146F"/>
    <w:rsid w:val="0058463D"/>
    <w:rsid w:val="00594D81"/>
    <w:rsid w:val="005C2D8B"/>
    <w:rsid w:val="005C3BF8"/>
    <w:rsid w:val="005E0BE5"/>
    <w:rsid w:val="0062058E"/>
    <w:rsid w:val="00661481"/>
    <w:rsid w:val="006C0C07"/>
    <w:rsid w:val="006C42DF"/>
    <w:rsid w:val="006C6049"/>
    <w:rsid w:val="00713E00"/>
    <w:rsid w:val="007251F6"/>
    <w:rsid w:val="00731135"/>
    <w:rsid w:val="00764471"/>
    <w:rsid w:val="007E3967"/>
    <w:rsid w:val="007E51E1"/>
    <w:rsid w:val="007F0CF5"/>
    <w:rsid w:val="00801187"/>
    <w:rsid w:val="00873CBE"/>
    <w:rsid w:val="008A0022"/>
    <w:rsid w:val="008B6627"/>
    <w:rsid w:val="009033FA"/>
    <w:rsid w:val="00903B51"/>
    <w:rsid w:val="00922641"/>
    <w:rsid w:val="00953E05"/>
    <w:rsid w:val="0098316C"/>
    <w:rsid w:val="009905D7"/>
    <w:rsid w:val="00A46C30"/>
    <w:rsid w:val="00A664D3"/>
    <w:rsid w:val="00A86E6E"/>
    <w:rsid w:val="00A91956"/>
    <w:rsid w:val="00AA55E6"/>
    <w:rsid w:val="00AC27CA"/>
    <w:rsid w:val="00B009C6"/>
    <w:rsid w:val="00B50CDB"/>
    <w:rsid w:val="00BB3771"/>
    <w:rsid w:val="00BD641F"/>
    <w:rsid w:val="00BF246D"/>
    <w:rsid w:val="00BF3F41"/>
    <w:rsid w:val="00C74771"/>
    <w:rsid w:val="00C7782F"/>
    <w:rsid w:val="00C930F1"/>
    <w:rsid w:val="00CA3DB1"/>
    <w:rsid w:val="00CC6727"/>
    <w:rsid w:val="00D01542"/>
    <w:rsid w:val="00D73E0F"/>
    <w:rsid w:val="00D84D67"/>
    <w:rsid w:val="00DC4310"/>
    <w:rsid w:val="00DE494D"/>
    <w:rsid w:val="00DF26F8"/>
    <w:rsid w:val="00E00FC7"/>
    <w:rsid w:val="00F3260A"/>
    <w:rsid w:val="00F521DE"/>
    <w:rsid w:val="00FC0072"/>
    <w:rsid w:val="019329D2"/>
    <w:rsid w:val="030F09AF"/>
    <w:rsid w:val="05347AD2"/>
    <w:rsid w:val="05CB0295"/>
    <w:rsid w:val="06655073"/>
    <w:rsid w:val="06AF3684"/>
    <w:rsid w:val="071311AA"/>
    <w:rsid w:val="078F2BFF"/>
    <w:rsid w:val="08292453"/>
    <w:rsid w:val="0A2168AE"/>
    <w:rsid w:val="0A6D3AAC"/>
    <w:rsid w:val="0AB822A5"/>
    <w:rsid w:val="0BA00B5F"/>
    <w:rsid w:val="0BE95E9A"/>
    <w:rsid w:val="0C464F2F"/>
    <w:rsid w:val="0C591837"/>
    <w:rsid w:val="0D0C3EA9"/>
    <w:rsid w:val="0D307569"/>
    <w:rsid w:val="0EB12E2A"/>
    <w:rsid w:val="0EE73304"/>
    <w:rsid w:val="0F101C83"/>
    <w:rsid w:val="0F7563EB"/>
    <w:rsid w:val="10B7227A"/>
    <w:rsid w:val="10E85D69"/>
    <w:rsid w:val="11080D80"/>
    <w:rsid w:val="110814DB"/>
    <w:rsid w:val="11DB0D58"/>
    <w:rsid w:val="12833AF0"/>
    <w:rsid w:val="137974FF"/>
    <w:rsid w:val="13D209C0"/>
    <w:rsid w:val="13DF0529"/>
    <w:rsid w:val="145357CE"/>
    <w:rsid w:val="145C6999"/>
    <w:rsid w:val="1513181F"/>
    <w:rsid w:val="15BB2E62"/>
    <w:rsid w:val="15F77FEC"/>
    <w:rsid w:val="175A4F5C"/>
    <w:rsid w:val="17CC230C"/>
    <w:rsid w:val="18453C60"/>
    <w:rsid w:val="185632B7"/>
    <w:rsid w:val="191974BC"/>
    <w:rsid w:val="19581ED8"/>
    <w:rsid w:val="197233CD"/>
    <w:rsid w:val="19D24A40"/>
    <w:rsid w:val="1AA4758C"/>
    <w:rsid w:val="1AB20C44"/>
    <w:rsid w:val="1AFD0956"/>
    <w:rsid w:val="1C241C0D"/>
    <w:rsid w:val="1C2721F1"/>
    <w:rsid w:val="1C85102B"/>
    <w:rsid w:val="1D104B3E"/>
    <w:rsid w:val="1D61025A"/>
    <w:rsid w:val="1D7238DD"/>
    <w:rsid w:val="1F543333"/>
    <w:rsid w:val="1F860F84"/>
    <w:rsid w:val="1FE92264"/>
    <w:rsid w:val="20536FB9"/>
    <w:rsid w:val="20FD3E2F"/>
    <w:rsid w:val="21110DC5"/>
    <w:rsid w:val="223A3836"/>
    <w:rsid w:val="2303547D"/>
    <w:rsid w:val="2361109A"/>
    <w:rsid w:val="23CD03C9"/>
    <w:rsid w:val="240A497C"/>
    <w:rsid w:val="24D1520C"/>
    <w:rsid w:val="24F87EB7"/>
    <w:rsid w:val="25C1601B"/>
    <w:rsid w:val="25D078E2"/>
    <w:rsid w:val="264C248B"/>
    <w:rsid w:val="26C7447F"/>
    <w:rsid w:val="26E304A2"/>
    <w:rsid w:val="27B944B4"/>
    <w:rsid w:val="27C11C87"/>
    <w:rsid w:val="281C5266"/>
    <w:rsid w:val="282947F3"/>
    <w:rsid w:val="287674FB"/>
    <w:rsid w:val="28894890"/>
    <w:rsid w:val="28A11F36"/>
    <w:rsid w:val="28AC2371"/>
    <w:rsid w:val="294A14FA"/>
    <w:rsid w:val="29CE7125"/>
    <w:rsid w:val="2B02041C"/>
    <w:rsid w:val="2B711D54"/>
    <w:rsid w:val="2C6B06D1"/>
    <w:rsid w:val="2CEF7FC7"/>
    <w:rsid w:val="2D104B23"/>
    <w:rsid w:val="2D6A7911"/>
    <w:rsid w:val="2EEA6B08"/>
    <w:rsid w:val="2EEE550E"/>
    <w:rsid w:val="30760793"/>
    <w:rsid w:val="30A714B4"/>
    <w:rsid w:val="31FB7608"/>
    <w:rsid w:val="341B270C"/>
    <w:rsid w:val="34964AD5"/>
    <w:rsid w:val="34E04AD0"/>
    <w:rsid w:val="34E31351"/>
    <w:rsid w:val="35B23FA8"/>
    <w:rsid w:val="36B96F42"/>
    <w:rsid w:val="37085F28"/>
    <w:rsid w:val="37564659"/>
    <w:rsid w:val="376F3EFE"/>
    <w:rsid w:val="3771784D"/>
    <w:rsid w:val="37B75977"/>
    <w:rsid w:val="37CF301E"/>
    <w:rsid w:val="38466C54"/>
    <w:rsid w:val="384E42F0"/>
    <w:rsid w:val="3A2E3E02"/>
    <w:rsid w:val="3AC12021"/>
    <w:rsid w:val="3B512C60"/>
    <w:rsid w:val="3C8F00E9"/>
    <w:rsid w:val="3CD157EA"/>
    <w:rsid w:val="3D4E4889"/>
    <w:rsid w:val="3DBC52D8"/>
    <w:rsid w:val="3DCE1EB9"/>
    <w:rsid w:val="3DD46D58"/>
    <w:rsid w:val="3E81631A"/>
    <w:rsid w:val="3FC221AA"/>
    <w:rsid w:val="3FF25841"/>
    <w:rsid w:val="400F6A26"/>
    <w:rsid w:val="414803DC"/>
    <w:rsid w:val="41582240"/>
    <w:rsid w:val="43505534"/>
    <w:rsid w:val="448C255B"/>
    <w:rsid w:val="454A0FE6"/>
    <w:rsid w:val="46DE7F0B"/>
    <w:rsid w:val="47CA5719"/>
    <w:rsid w:val="493D7EB8"/>
    <w:rsid w:val="496650F0"/>
    <w:rsid w:val="49B45094"/>
    <w:rsid w:val="4AEB0E78"/>
    <w:rsid w:val="4CAA3D66"/>
    <w:rsid w:val="4CB4682F"/>
    <w:rsid w:val="4D817944"/>
    <w:rsid w:val="4E6F1A3E"/>
    <w:rsid w:val="4E8F44F1"/>
    <w:rsid w:val="4F352A81"/>
    <w:rsid w:val="506875FB"/>
    <w:rsid w:val="50DA2DB1"/>
    <w:rsid w:val="50E7594A"/>
    <w:rsid w:val="51666875"/>
    <w:rsid w:val="52441AE7"/>
    <w:rsid w:val="5250749B"/>
    <w:rsid w:val="530B573F"/>
    <w:rsid w:val="536E09A6"/>
    <w:rsid w:val="548D6A45"/>
    <w:rsid w:val="553923E1"/>
    <w:rsid w:val="55542C6A"/>
    <w:rsid w:val="568026F8"/>
    <w:rsid w:val="5808024E"/>
    <w:rsid w:val="584A55DA"/>
    <w:rsid w:val="58A13F6B"/>
    <w:rsid w:val="58F16C7A"/>
    <w:rsid w:val="59A654A4"/>
    <w:rsid w:val="59FE204F"/>
    <w:rsid w:val="5A0F13FE"/>
    <w:rsid w:val="5A436870"/>
    <w:rsid w:val="5A777D7A"/>
    <w:rsid w:val="5B736D19"/>
    <w:rsid w:val="5BA416E6"/>
    <w:rsid w:val="5BEC315F"/>
    <w:rsid w:val="5C0E1115"/>
    <w:rsid w:val="5C3B12A9"/>
    <w:rsid w:val="5CCD537D"/>
    <w:rsid w:val="5CD91AE3"/>
    <w:rsid w:val="5D8764E9"/>
    <w:rsid w:val="5E77028A"/>
    <w:rsid w:val="5F654033"/>
    <w:rsid w:val="5FD36E1B"/>
    <w:rsid w:val="608C237F"/>
    <w:rsid w:val="60D26DE5"/>
    <w:rsid w:val="60D80CEE"/>
    <w:rsid w:val="6142577F"/>
    <w:rsid w:val="61A50442"/>
    <w:rsid w:val="61E60D60"/>
    <w:rsid w:val="62077CBC"/>
    <w:rsid w:val="62C4089A"/>
    <w:rsid w:val="63676EDF"/>
    <w:rsid w:val="641C1EF0"/>
    <w:rsid w:val="649B5961"/>
    <w:rsid w:val="65461FDF"/>
    <w:rsid w:val="6571624E"/>
    <w:rsid w:val="65F364D3"/>
    <w:rsid w:val="661D1C23"/>
    <w:rsid w:val="66A20705"/>
    <w:rsid w:val="673533A0"/>
    <w:rsid w:val="68101B70"/>
    <w:rsid w:val="6A050107"/>
    <w:rsid w:val="6A7070DA"/>
    <w:rsid w:val="6B092C65"/>
    <w:rsid w:val="6B46058E"/>
    <w:rsid w:val="6B52734E"/>
    <w:rsid w:val="6C3B17D0"/>
    <w:rsid w:val="6CC509FF"/>
    <w:rsid w:val="6CEA29ED"/>
    <w:rsid w:val="6D20367C"/>
    <w:rsid w:val="6D3A1056"/>
    <w:rsid w:val="6E391BE5"/>
    <w:rsid w:val="6EC868EA"/>
    <w:rsid w:val="6ED055DC"/>
    <w:rsid w:val="6EDF073E"/>
    <w:rsid w:val="6EDF4F45"/>
    <w:rsid w:val="6F952C46"/>
    <w:rsid w:val="6FBE07A3"/>
    <w:rsid w:val="70CF2B23"/>
    <w:rsid w:val="70E61A7D"/>
    <w:rsid w:val="71D207BD"/>
    <w:rsid w:val="71D63112"/>
    <w:rsid w:val="71DA188E"/>
    <w:rsid w:val="723536EF"/>
    <w:rsid w:val="729F1A9A"/>
    <w:rsid w:val="72B80445"/>
    <w:rsid w:val="74645F02"/>
    <w:rsid w:val="74661472"/>
    <w:rsid w:val="75014172"/>
    <w:rsid w:val="76295A46"/>
    <w:rsid w:val="76635464"/>
    <w:rsid w:val="76790CBE"/>
    <w:rsid w:val="76D24826"/>
    <w:rsid w:val="778830F8"/>
    <w:rsid w:val="778C41B1"/>
    <w:rsid w:val="78827FE6"/>
    <w:rsid w:val="796C7E7C"/>
    <w:rsid w:val="797265CF"/>
    <w:rsid w:val="79B75647"/>
    <w:rsid w:val="7AA90819"/>
    <w:rsid w:val="7B0326A2"/>
    <w:rsid w:val="7B1D67CE"/>
    <w:rsid w:val="7B29241E"/>
    <w:rsid w:val="7B7E60AF"/>
    <w:rsid w:val="7D1D3B52"/>
    <w:rsid w:val="7D395FCA"/>
    <w:rsid w:val="7D805DF5"/>
    <w:rsid w:val="7D9314F5"/>
    <w:rsid w:val="7E0E55E6"/>
    <w:rsid w:val="7F1C1099"/>
    <w:rsid w:val="7F424F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15"/>
    <w:qFormat/>
    <w:uiPriority w:val="99"/>
    <w:rPr>
      <w:rFonts w:ascii="宋体" w:hAnsi="Courier New"/>
    </w:rPr>
  </w:style>
  <w:style w:type="paragraph" w:styleId="3">
    <w:name w:val="Normal Indent"/>
    <w:basedOn w:val="1"/>
    <w:qFormat/>
    <w:uiPriority w:val="0"/>
    <w:pPr>
      <w:ind w:firstLine="420" w:firstLineChars="200"/>
    </w:pPr>
  </w:style>
  <w:style w:type="paragraph" w:styleId="4">
    <w:name w:val="footer"/>
    <w:basedOn w:val="1"/>
    <w:link w:val="12"/>
    <w:qFormat/>
    <w:uiPriority w:val="0"/>
    <w:pPr>
      <w:tabs>
        <w:tab w:val="center" w:pos="4153"/>
        <w:tab w:val="right" w:pos="8306"/>
      </w:tabs>
      <w:snapToGrid w:val="0"/>
      <w:jc w:val="left"/>
    </w:pPr>
    <w:rPr>
      <w:sz w:val="18"/>
      <w:szCs w:val="18"/>
    </w:rPr>
  </w:style>
  <w:style w:type="paragraph" w:styleId="5">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p0"/>
    <w:basedOn w:val="1"/>
    <w:qFormat/>
    <w:uiPriority w:val="0"/>
    <w:pPr>
      <w:widowControl/>
    </w:pPr>
    <w:rPr>
      <w:rFonts w:cs="宋体"/>
      <w:kern w:val="0"/>
      <w:szCs w:val="21"/>
    </w:rPr>
  </w:style>
  <w:style w:type="character" w:customStyle="1" w:styleId="11">
    <w:name w:val="页眉 字符"/>
    <w:basedOn w:val="9"/>
    <w:link w:val="5"/>
    <w:qFormat/>
    <w:uiPriority w:val="0"/>
    <w:rPr>
      <w:rFonts w:ascii="Calibri" w:hAnsi="Calibri" w:eastAsia="宋体" w:cs="Times New Roman"/>
      <w:kern w:val="2"/>
      <w:sz w:val="18"/>
      <w:szCs w:val="18"/>
    </w:rPr>
  </w:style>
  <w:style w:type="character" w:customStyle="1" w:styleId="12">
    <w:name w:val="页脚 字符"/>
    <w:basedOn w:val="9"/>
    <w:link w:val="4"/>
    <w:qFormat/>
    <w:uiPriority w:val="0"/>
    <w:rPr>
      <w:rFonts w:ascii="Calibri" w:hAnsi="Calibri" w:eastAsia="宋体" w:cs="Times New Roman"/>
      <w:kern w:val="2"/>
      <w:sz w:val="18"/>
      <w:szCs w:val="18"/>
    </w:rPr>
  </w:style>
  <w:style w:type="character" w:styleId="13">
    <w:name w:val="Placeholder Text"/>
    <w:basedOn w:val="9"/>
    <w:semiHidden/>
    <w:qFormat/>
    <w:uiPriority w:val="99"/>
    <w:rPr>
      <w:color w:val="808080"/>
    </w:rPr>
  </w:style>
  <w:style w:type="paragraph" w:customStyle="1" w:styleId="14">
    <w:name w:val="Revision"/>
    <w:hidden/>
    <w:semiHidden/>
    <w:qFormat/>
    <w:uiPriority w:val="99"/>
    <w:rPr>
      <w:rFonts w:ascii="Calibri" w:hAnsi="Calibri" w:eastAsia="宋体" w:cs="Times New Roman"/>
      <w:kern w:val="2"/>
      <w:sz w:val="21"/>
      <w:szCs w:val="22"/>
      <w:lang w:val="en-US" w:eastAsia="zh-CN" w:bidi="ar-SA"/>
    </w:rPr>
  </w:style>
  <w:style w:type="character" w:customStyle="1" w:styleId="15">
    <w:name w:val="纯文本 字符"/>
    <w:basedOn w:val="9"/>
    <w:link w:val="2"/>
    <w:qFormat/>
    <w:uiPriority w:val="99"/>
    <w:rPr>
      <w:rFonts w:ascii="宋体" w:hAnsi="Courier New" w:eastAsia="宋体" w:cs="Times New Roman"/>
      <w:kern w:val="2"/>
      <w:sz w:val="21"/>
      <w:szCs w:val="22"/>
    </w:rPr>
  </w:style>
  <w:style w:type="paragraph" w:customStyle="1" w:styleId="16">
    <w:name w:val="msonormal"/>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font01"/>
    <w:basedOn w:val="9"/>
    <w:uiPriority w:val="0"/>
    <w:rPr>
      <w:rFonts w:hint="default" w:ascii="Arial" w:hAnsi="Arial" w:cs="Arial"/>
      <w:color w:val="000000"/>
      <w:sz w:val="20"/>
      <w:szCs w:val="20"/>
      <w:u w:val="none"/>
    </w:rPr>
  </w:style>
  <w:style w:type="character" w:customStyle="1" w:styleId="18">
    <w:name w:val="font11"/>
    <w:basedOn w:val="9"/>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6656E7-2805-45E7-9A23-ABCCF205E480}">
  <ds:schemaRefs/>
</ds:datastoreItem>
</file>

<file path=docProps/app.xml><?xml version="1.0" encoding="utf-8"?>
<Properties xmlns="http://schemas.openxmlformats.org/officeDocument/2006/extended-properties" xmlns:vt="http://schemas.openxmlformats.org/officeDocument/2006/docPropsVTypes">
  <Template>Normal.dotm</Template>
  <Pages>33</Pages>
  <Words>88</Words>
  <Characters>505</Characters>
  <Lines>4</Lines>
  <Paragraphs>1</Paragraphs>
  <TotalTime>2</TotalTime>
  <ScaleCrop>false</ScaleCrop>
  <LinksUpToDate>false</LinksUpToDate>
  <CharactersWithSpaces>592</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cmbc</dc:creator>
  <cp:lastModifiedBy>cmbc</cp:lastModifiedBy>
  <cp:lastPrinted>2026-07-30T01:34:00Z</cp:lastPrinted>
  <dcterms:modified xsi:type="dcterms:W3CDTF">2026-08-17T08:44:38Z</dcterms:modified>
  <cp:revision>80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_KSOProductBuildMID">
    <vt:lpwstr>SKWMQ6GH79TA00HG9GR8QL0S7ZQ0OYYREF0XLJDXXGHRTDWTZ8BJQCJ7FSVHPC6RXNM6EOZGZH078LJJQFFARFFV8RZ0WIWBBSODPHB370F99C75F283EAF0B45A49C0E78BB8F1</vt:lpwstr>
  </property>
  <property fmtid="{D5CDD505-2E9C-101B-9397-08002B2CF9AE}" pid="4" name="_KSOProductBuildSID">
    <vt:lpwstr>SYWMR6BV79VQ0THGRGRNRL0C7NMMOAYR9F0XWJEPXGI8TFCTZMBRPCJ6FYYHP86RXFM69OZMZIA78IJJROFA0F8D8RM0WLLB8JODPHB32FEC3F1663522278B6D7F317A2F21F9E</vt:lpwstr>
  </property>
  <property fmtid="{D5CDD505-2E9C-101B-9397-08002B2CF9AE}" pid="5" name="ICV">
    <vt:lpwstr>0C0BABE89C3F4762A998CFA42A98F07F</vt:lpwstr>
  </property>
</Properties>
</file>