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http://schemas.openxmlformats.org/wordprocessingml/2006/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10="urn:schemas-microsoft-com:office:word" xmlns:w14="http://schemas.microsoft.com/office/word/2010/wordml" xmlns:w15="http://schemas.microsoft.com/office/word/2012/wordml"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14:paraId="087C63C3" w14:textId="77777777" w:rsidR="00041061" w:rsidRDefault="006D0D3E">
      <w:pPr>
        <w:pStyle w:val="affa"/>
        <w:ind w:left="420"/>
        <w:rPr>
          <w:rFonts w:hint="eastAsia"/>
        </w:rPr>
      </w:pPr>
      <w:r>
        <w:rPr>
          <w:rFonts w:hint="eastAsia"/>
        </w:rPr>
        <w:t>宁银理财宁欣固定收益类封闭式理财3425号（丰利款）</w:t>
      </w:r>
      <w:r>
        <w:t>说明书</w:t>
      </w:r>
    </w:p>
    <w:p w14:paraId="2CB67530" w14:textId="67FB7AE5" w:rsidR="00041061" w:rsidRDefault="006D0D3E">
      <w:pPr>
        <w:spacing w:line="312" w:lineRule="auto"/>
        <w:jc w:val="center"/>
        <w:rPr>
          <w:rFonts w:ascii="黑体" w:hAnsi="黑体" w:hint="eastAsia"/>
          <w:sz w:val="44"/>
          <w:szCs w:val="44"/>
        </w:rPr>
      </w:pPr>
      <w:r>
        <w:rPr>
          <w:rFonts w:ascii="黑体" w:hAnsi="黑体" w:hint="eastAsia"/>
          <w:sz w:val="24"/>
        </w:rPr>
        <w:t>（202</w:t>
      </w:r>
      <w:r>
        <w:rPr>
          <w:rFonts w:ascii="黑体" w:hAnsi="黑体" w:hint="eastAsia"/>
          <w:sz w:val="24"/>
          <w:lang w:eastAsia="zh"/>
        </w:rPr>
        <w:t>60</w:t>
      </w:r>
      <w:r w:rsidR="003D4AF9">
        <w:rPr>
          <w:rFonts w:ascii="黑体" w:hAnsi="黑体" w:hint="eastAsia"/>
          <w:sz w:val="24"/>
        </w:rPr>
        <w:t>4</w:t>
      </w:r>
      <w:r>
        <w:rPr>
          <w:rFonts w:ascii="黑体" w:hAnsi="黑体" w:hint="eastAsia"/>
          <w:sz w:val="24"/>
        </w:rPr>
        <w:t>版/适用于封闭式净值型理财产品）</w:t>
      </w:r>
    </w:p>
    <w:p w14:paraId="1BC69A56" w14:textId="77777777" w:rsidR="00041061" w:rsidRDefault="00041061">
      <w:pPr>
        <w:spacing w:line="312" w:lineRule="auto"/>
        <w:jc w:val="center"/>
        <w:rPr>
          <w:rFonts w:ascii="黑体" w:cs="宋体" w:hAnsi="黑体" w:hint="eastAsia"/>
          <w:sz w:val="44"/>
          <w:szCs w:val="44"/>
        </w:rPr>
      </w:pPr>
    </w:p>
    <w:p w14:paraId="4CE31B16" w14:textId="77777777" w:rsidR="00041061" w:rsidRDefault="006D0D3E">
      <w:pPr>
        <w:jc w:val="left"/>
        <w:rPr>
          <w:rFonts w:ascii="黑体" w:cs="黑体" w:hAnsi="黑体" w:hint="eastAsia"/>
          <w:b/>
          <w:szCs w:val="20"/>
        </w:rPr>
      </w:pPr>
      <w:r>
        <w:rPr>
          <w:rFonts w:ascii="黑体" w:cs="黑体" w:hAnsi="黑体" w:hint="eastAsia"/>
          <w:b/>
          <w:szCs w:val="20"/>
        </w:rPr>
        <w:t>一、重要说明</w:t>
      </w:r>
    </w:p>
    <w:p w14:paraId="6E287909" w14:textId="77777777" w:rsidR="00041061" w:rsidRDefault="006D0D3E">
      <w:pPr>
        <w:pStyle w:val="afff"/>
        <w:rPr>
          <w:rFonts w:hint="eastAsia"/>
        </w:rPr>
      </w:pPr>
      <w:r>
        <w:t>1、《</w:t>
      </w:r>
      <w:r>
        <w:rPr>
          <w:rFonts w:hint="eastAsia"/>
        </w:rPr>
        <w:t>宁银理财宁欣固定收益类封闭式理财3425号（丰利款）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14:textId="77777777" w:rsidR="00041061" w:rsidRDefault="006D0D3E">
      <w:pPr>
        <w:pStyle w:val="aff7"/>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14:textId="77777777" w:rsidR="00041061" w:rsidRDefault="006D0D3E">
      <w:pPr>
        <w:pStyle w:val="aff7"/>
        <w:ind w:firstLine="420"/>
        <w:rPr>
          <w:rFonts w:hint="eastAsia"/>
        </w:rPr>
      </w:pPr>
      <w:r>
        <w:rPr>
          <w:rFonts w:hint="eastAsia"/>
        </w:rPr>
        <w:t>3、产品管理人对本说明书具有解释权。</w:t>
      </w:r>
    </w:p>
    <w:p w14:paraId="39F3EF0B" w14:textId="77777777" w:rsidR="00041061" w:rsidRDefault="006D0D3E">
      <w:pPr>
        <w:ind w:firstLine="422"/>
        <w:jc w:val="left"/>
        <w:rPr>
          <w:rFonts w:ascii="黑体" w:cs="黑体" w:hAnsi="黑体" w:hint="eastAsia"/>
          <w:b/>
          <w:szCs w:val="21"/>
        </w:rPr>
      </w:pPr>
      <w:r>
        <w:rPr>
          <w:rFonts w:ascii="黑体" w:cs="黑体" w:hAnsi="黑体"/>
          <w:b/>
          <w:szCs w:val="21"/>
        </w:rPr>
        <w:t>4、理财产品过往业绩不代表其未来表现，不等于理财产品实际收益，投资须谨慎。</w:t>
      </w:r>
    </w:p>
    <w:p w14:paraId="1A5471F0" w14:textId="77777777" w:rsidR="00041061" w:rsidRDefault="00041061">
      <w:pPr>
        <w:ind w:firstLine="420"/>
        <w:jc w:val="left"/>
        <w:rPr>
          <w:rFonts w:ascii="黑体" w:cs="黑体" w:hAnsi="黑体" w:hint="eastAsia"/>
          <w:szCs w:val="21"/>
        </w:rPr>
      </w:pPr>
    </w:p>
    <w:p w14:paraId="4CEB0C1E" w14:textId="77777777" w:rsidR="00041061" w:rsidRDefault="006D0D3E">
      <w:pPr>
        <w:jc w:val="left"/>
        <w:rPr>
          <w:rFonts w:ascii="黑体" w:cs="黑体" w:hAnsi="黑体" w:hint="eastAsia"/>
          <w:b/>
          <w:szCs w:val="21"/>
        </w:rPr>
      </w:pPr>
      <w:r>
        <w:rPr>
          <w:rFonts w:ascii="黑体" w:cs="黑体" w:hAnsi="黑体" w:hint="eastAsia"/>
          <w:b/>
          <w:szCs w:val="21"/>
        </w:rPr>
        <w:t>二</w:t>
      </w:r>
      <w:r>
        <w:rPr>
          <w:rFonts w:ascii="黑体" w:cs="黑体" w:hAnsi="黑体"/>
          <w:b/>
          <w:szCs w:val="21"/>
        </w:rPr>
        <w:t>、</w:t>
      </w:r>
      <w:r>
        <w:rPr>
          <w:rFonts w:ascii="黑体" w:cs="黑体" w:hAnsi="黑体" w:hint="eastAsia"/>
          <w:b/>
          <w:szCs w:val="21"/>
        </w:rPr>
        <w:t>产品要素</w:t>
      </w:r>
    </w:p>
    <w:tbl>
      <w:tblPr>
        <w:tblStyle w:val="affc"/>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1C42FC1" w14:textId="77777777" w:rsidR="00041061">
        <w:tc>
          <w:tcPr>
            <w:tcW w:type="dxa" w:w="1838"/>
          </w:tcPr>
          <w:p w14:paraId="4EC2D51C" w14:textId="77777777" w:rsidR="00041061" w:rsidRDefault="006D0D3E">
            <w:pPr>
              <w:pStyle w:val="aff7"/>
              <w:rPr>
                <w:rFonts w:hint="eastAsia"/>
              </w:rPr>
            </w:pPr>
            <w:r>
              <w:rPr>
                <w:rFonts w:hint="eastAsia"/>
              </w:rPr>
              <w:t>产品代码</w:t>
            </w:r>
          </w:p>
        </w:tc>
        <w:tc>
          <w:tcPr>
            <w:tcW w:type="dxa" w:w="6458"/>
          </w:tcPr>
          <w:p w14:paraId="4380A483" w14:textId="77777777" w:rsidR="00041061" w:rsidRDefault="006D0D3E">
            <w:pPr>
              <w:pStyle w:val="affd"/>
              <w:rPr>
                <w:rFonts w:hint="eastAsia"/>
              </w:rPr>
            </w:pPr>
            <w:r>
              <w:rPr>
                <w:rFonts w:hint="eastAsia"/>
              </w:rPr>
              <w:t>ZGN2613425</w:t>
            </w:r>
          </w:p>
        </w:tc>
      </w:tr>
      <w:tr w14:paraId="0A939018" w14:textId="77777777" w:rsidR="00041061">
        <w:tc>
          <w:tcPr>
            <w:tcW w:type="dxa" w:w="1838"/>
          </w:tcPr>
          <w:p w14:paraId="70A827CD" w14:textId="77777777" w:rsidR="00041061" w:rsidRDefault="006D0D3E">
            <w:pPr>
              <w:pStyle w:val="aff7"/>
              <w:rPr>
                <w:rFonts w:hint="eastAsia"/>
              </w:rPr>
            </w:pPr>
            <w:r>
              <w:rPr>
                <w:rFonts w:hint="eastAsia"/>
              </w:rPr>
              <w:t>全国银行业信息登记系统编码</w:t>
            </w:r>
          </w:p>
        </w:tc>
        <w:tc>
          <w:tcPr>
            <w:tcW w:type="dxa" w:w="6458"/>
          </w:tcPr>
          <w:p w14:paraId="2520ADCA" w14:textId="77777777" w:rsidR="00041061" w:rsidRDefault="006D0D3E">
            <w:pPr>
              <w:pStyle w:val="aff7"/>
              <w:rPr>
                <w:rFonts w:cs="黑体" w:hint="eastAsia"/>
              </w:rPr>
            </w:pPr>
            <w:r>
              <w:rPr>
                <w:rFonts w:cs="黑体"/>
              </w:rPr>
              <w:t>Z7002126000526</w:t>
            </w:r>
          </w:p>
          <w:p w14:paraId="68B656EA" w14:textId="77777777" w:rsidR="00041061" w:rsidRDefault="006D0D3E">
            <w:pPr>
              <w:pStyle w:val="aff7"/>
              <w:rPr>
                <w:rFonts w:hint="eastAsia"/>
              </w:rPr>
            </w:pPr>
            <w:r>
              <w:rPr>
                <w:rFonts w:hint="eastAsia"/>
              </w:rPr>
              <w:t>凭此编码可在“中国理财网（www.chinawealth.com.cn）”上查询本产品信息</w:t>
            </w:r>
          </w:p>
        </w:tc>
      </w:tr>
      <w:tr w14:paraId="3A6EC8D1" w14:textId="77777777" w:rsidR="00041061">
        <w:tc>
          <w:tcPr>
            <w:tcW w:type="dxa" w:w="1838"/>
          </w:tcPr>
          <w:p w14:paraId="2C3F49FA" w14:textId="77777777" w:rsidR="00041061" w:rsidRDefault="006D0D3E">
            <w:pPr>
              <w:pStyle w:val="aff7"/>
              <w:rPr>
                <w:rFonts w:hint="eastAsia"/>
              </w:rPr>
            </w:pPr>
            <w:r>
              <w:rPr>
                <w:rFonts w:hint="eastAsia"/>
              </w:rPr>
              <w:t>产品名称</w:t>
            </w:r>
          </w:p>
        </w:tc>
        <w:tc>
          <w:tcPr>
            <w:tcW w:type="dxa" w:w="6458"/>
          </w:tcPr>
          <w:p w14:paraId="27DF81C9" w14:textId="77777777" w:rsidR="00041061" w:rsidRDefault="006D0D3E">
            <w:pPr>
              <w:pStyle w:val="affd"/>
              <w:rPr>
                <w:rFonts w:hint="eastAsia"/>
              </w:rPr>
            </w:pPr>
            <w:r>
              <w:rPr>
                <w:rFonts w:hint="eastAsia"/>
              </w:rPr>
              <w:t>宁银理财宁欣固定收益类封闭式理财3425号（丰利款）</w:t>
            </w:r>
          </w:p>
        </w:tc>
      </w:tr>
    </w:tbl>
    <w:tbl>
      <w:tblPr>
        <w:tblStyle w:val="af8"/>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0" w:lastRow="0" w:noHBand="0" w:noVBand="1" w:val="04A0"/>
      </w:tblPr>
      <w:tblGrid>
        <w:gridCol w:w="1838"/>
        <w:gridCol w:w="6458"/>
      </w:tblGrid>
      <w:tr w14:paraId="2EB33D22" w14:textId="77777777" w:rsidR="00041061">
        <w:trPr>
          <w:trHeight w:val="285"/>
        </w:trPr>
        <w:tc>
          <w:tcPr>
            <w:tcW w:type="dxa" w:w="1838"/>
            <w:tcBorders>
              <w:top w:color="auto" w:space="0" w:sz="4" w:val="single"/>
            </w:tcBorders>
          </w:tcPr>
          <w:p w14:paraId="62CA796A" w14:textId="77777777" w:rsidR="00041061" w:rsidRDefault="006D0D3E">
            <w:pPr>
              <w:pStyle w:val="aff7"/>
              <w:rPr>
                <w:rFonts w:hint="eastAsia"/>
              </w:rPr>
            </w:pPr>
            <w:r>
              <w:rPr>
                <w:rFonts w:hint="eastAsia"/>
              </w:rPr>
              <w:t>产品类型</w:t>
            </w:r>
          </w:p>
        </w:tc>
        <w:tc>
          <w:tcPr>
            <w:tcW w:type="dxa" w:w="6458"/>
            <w:tcBorders>
              <w:top w:color="auto" w:space="0" w:sz="4" w:val="single"/>
            </w:tcBorders>
          </w:tcPr>
          <w:p w14:paraId="0E38C82B" w14:textId="77777777" w:rsidR="00041061" w:rsidRDefault="006D0D3E">
            <w:pPr>
              <w:pStyle w:val="aff7"/>
              <w:rPr>
                <w:rFonts w:hint="eastAsia"/>
                <w:b/>
                <w:bCs/>
              </w:rPr>
            </w:pPr>
            <w:r>
              <w:rPr>
                <w:rFonts w:hint="eastAsia"/>
                <w:b/>
                <w:bCs/>
              </w:rPr>
              <w:t>固定收益类、非保本浮动收益型</w:t>
            </w:r>
          </w:p>
        </w:tc>
      </w:tr>
      <w:tr w14:paraId="48978B7F" w14:textId="77777777" w:rsidR="00041061">
        <w:tc>
          <w:tcPr>
            <w:tcW w:type="dxa" w:w="1838"/>
          </w:tcPr>
          <w:p w14:paraId="487EDBD0" w14:textId="77777777" w:rsidR="00041061" w:rsidRDefault="006D0D3E">
            <w:pPr>
              <w:pStyle w:val="aff7"/>
              <w:rPr>
                <w:rFonts w:hint="eastAsia"/>
              </w:rPr>
            </w:pPr>
            <w:r>
              <w:rPr>
                <w:rFonts w:hint="eastAsia"/>
              </w:rPr>
              <w:t>募集方式</w:t>
            </w:r>
          </w:p>
        </w:tc>
        <w:tc>
          <w:tcPr>
            <w:tcW w:type="dxa" w:w="6458"/>
          </w:tcPr>
          <w:p w14:paraId="4108CA85" w14:textId="77777777" w:rsidR="00041061" w:rsidRDefault="006D0D3E">
            <w:pPr>
              <w:pStyle w:val="aff7"/>
              <w:rPr>
                <w:rFonts w:hint="eastAsia"/>
                <w:b/>
                <w:bCs/>
              </w:rPr>
            </w:pPr>
            <w:r>
              <w:rPr>
                <w:rFonts w:hint="eastAsia"/>
                <w:b/>
                <w:bCs/>
              </w:rPr>
              <w:t>公募</w:t>
            </w:r>
          </w:p>
        </w:tc>
      </w:tr>
      <w:tr w14:paraId="16AD45AE" w14:textId="77777777" w:rsidR="00041061">
        <w:tc>
          <w:tcPr>
            <w:tcW w:type="dxa" w:w="1838"/>
          </w:tcPr>
          <w:p w14:paraId="3FD3717E" w14:textId="77777777" w:rsidR="00041061" w:rsidRDefault="006D0D3E">
            <w:pPr>
              <w:pStyle w:val="aff7"/>
              <w:rPr>
                <w:rFonts w:hint="eastAsia"/>
              </w:rPr>
            </w:pPr>
            <w:r>
              <w:rPr>
                <w:rFonts w:hint="eastAsia"/>
              </w:rPr>
              <w:t>产品评级</w:t>
            </w:r>
          </w:p>
        </w:tc>
        <w:tc>
          <w:tcPr>
            <w:tcW w:type="dxa" w:w="6458"/>
          </w:tcPr>
          <w:p w14:paraId="6E66DFF4" w14:textId="77777777" w:rsidR="00041061" w:rsidRDefault="006D0D3E">
            <w:pPr>
              <w:pStyle w:val="aff7"/>
              <w:rPr>
                <w:rFonts w:hint="eastAsia"/>
                <w:b/>
                <w:bCs/>
              </w:rPr>
            </w:pPr>
            <w:r>
              <w:rPr>
                <w:rFonts w:hint="eastAsia"/>
                <w:b/>
                <w:bCs/>
              </w:rPr>
              <w:t>PR2</w:t>
            </w:r>
          </w:p>
          <w:p w14:paraId="51DC0BCF" w14:textId="77777777" w:rsidR="00041061" w:rsidRDefault="006D0D3E">
            <w:pPr>
              <w:autoSpaceDE w:val="0"/>
              <w:autoSpaceDN w:val="0"/>
              <w:adjustRightInd w:val="0"/>
              <w:jc w:val="left"/>
              <w:rPr>
                <w:rFonts w:ascii="黑体" w:cs="黑体" w:hAnsi="黑体" w:hint="eastAsia"/>
                <w:b/>
                <w:szCs w:val="21"/>
              </w:rPr>
            </w:pPr>
            <w:r>
              <w:rPr>
                <w:rFonts w:ascii="黑体" w:cs="黑体" w:hAnsi="黑体" w:hint="eastAsia"/>
                <w:b/>
                <w:szCs w:val="21"/>
                <w:lang w:bidi="ar"/>
              </w:rPr>
              <w:t>在产品存续期间，当市场环境等因素发生变化时，产品管理人可能对产品风险评级进行调整，具体以届时信息披露公告为准。</w:t>
            </w:r>
          </w:p>
          <w:p w14:paraId="5A157542" w14:textId="77777777" w:rsidR="00041061" w:rsidRDefault="006D0D3E">
            <w:pPr>
              <w:pStyle w:val="aff7"/>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14:textId="77777777" w:rsidR="00041061">
        <w:tc>
          <w:tcPr>
            <w:tcW w:type="dxa" w:w="1838"/>
          </w:tcPr>
          <w:p w14:paraId="793867DC" w14:textId="77777777" w:rsidR="00041061" w:rsidRDefault="006D0D3E">
            <w:pPr>
              <w:pStyle w:val="aff7"/>
              <w:rPr>
                <w:rFonts w:hint="eastAsia"/>
              </w:rPr>
            </w:pPr>
            <w:r>
              <w:rPr>
                <w:rFonts w:hint="eastAsia"/>
              </w:rPr>
              <w:t>目标投资者</w:t>
            </w:r>
          </w:p>
        </w:tc>
        <w:tc>
          <w:tcPr>
            <w:tcW w:type="dxa" w:w="6458"/>
          </w:tcPr>
          <w:p w14:paraId="03141C92" w14:textId="77777777" w:rsidR="00041061" w:rsidRDefault="006D0D3E">
            <w:pPr>
              <w:pStyle w:val="aff7"/>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t/>
              <w:br/>
              <w:t>其中A份额（销售代码:ZGN2613425A）面向秦皇岛银行渠道客户、河北银行渠道客户、绍兴银行渠道客户、宁银理财渠道客户，C份额（销售代码:ZGN2613425C）面向江南农商银行渠道客户，D份额（销售代码:ZGN2613425D）面向云南红塔银行渠道客户、贵阳银行渠道客户、常熟农商银行渠道客户、中山农商银行渠道客户、天津农商银行渠道客户，F份额（销售代码:ZGN2613425F）面向沧州银行渠道客户，J份额（销售代码:ZGN2613425J）面向张家港农商银行渠道客户、江南农商银行代发薪及新资金客户、常熟农商银行渠道重点客户，W份额（销售代码:ZGN2613425W）面向温州银行渠道客户，X份额（销售代码:ZGN2613425X）面向桂林银行渠道客户，Y份额（销售代码:ZGN2613425Y）面向桂林银行潜力客户</w:t>
            </w:r>
          </w:p>
          <w:p w14:paraId="5A15B7FC" w14:textId="77777777" w:rsidR="00041061" w:rsidRDefault="006D0D3E">
            <w:pPr>
              <w:pStyle w:val="aff7"/>
              <w:rPr>
                <w:rFonts w:hint="eastAsia"/>
                <w:b/>
              </w:rPr>
            </w:pPr>
            <w:r>
              <w:rPr>
                <w:b/>
              </w:rPr>
              <w:t>(上述规则具体以销售机构定义的规则为准)</w:t>
            </w:r>
          </w:p>
        </w:tc>
      </w:tr>
      <w:tr w14:paraId="4C32C8A1" w14:textId="77777777" w:rsidR="00041061">
        <w:tc>
          <w:tcPr>
            <w:tcW w:type="dxa" w:w="1838"/>
          </w:tcPr>
          <w:p w14:paraId="7BCA9F29" w14:textId="77777777" w:rsidR="00041061" w:rsidRDefault="006D0D3E">
            <w:pPr>
              <w:pStyle w:val="aff7"/>
              <w:rPr>
                <w:rFonts w:hint="eastAsia"/>
              </w:rPr>
            </w:pPr>
            <w:r>
              <w:rPr>
                <w:rFonts w:hint="eastAsia"/>
              </w:rPr>
              <w:t>本金及收益币种</w:t>
            </w:r>
          </w:p>
        </w:tc>
        <w:tc>
          <w:tcPr>
            <w:tcW w:type="dxa" w:w="6458"/>
          </w:tcPr>
          <w:p w14:paraId="6604B03F" w14:textId="77777777" w:rsidR="00041061" w:rsidRDefault="006D0D3E">
            <w:pPr>
              <w:pStyle w:val="aff7"/>
              <w:rPr>
                <w:rFonts w:hint="eastAsia"/>
                <w:b/>
                <w:bCs/>
              </w:rPr>
            </w:pPr>
            <w:r>
              <w:rPr>
                <w:b/>
                <w:bCs/>
              </w:rPr>
              <w:t>人民币</w:t>
            </w:r>
          </w:p>
        </w:tc>
      </w:tr>
      <w:tr w14:paraId="29C624A9" w14:textId="77777777" w:rsidR="00041061">
        <w:tc>
          <w:tcPr>
            <w:tcW w:type="dxa" w:w="1838"/>
          </w:tcPr>
          <w:p w14:paraId="5AE26A11" w14:textId="77777777" w:rsidR="00041061" w:rsidRDefault="006D0D3E">
            <w:pPr>
              <w:pStyle w:val="aff7"/>
              <w:rPr>
                <w:rFonts w:hint="eastAsia"/>
              </w:rPr>
            </w:pPr>
            <w:r>
              <w:rPr>
                <w:rFonts w:hint="eastAsia"/>
              </w:rPr>
              <w:t>业绩比较基准</w:t>
            </w:r>
          </w:p>
        </w:tc>
        <w:tc>
          <w:tcPr>
            <w:tcW w:type="dxa" w:w="6458"/>
          </w:tcPr>
          <w:p w14:paraId="6F535E4E" w14:textId="77777777" w:rsidR="00041061" w:rsidRDefault="006D0D3E">
            <w:pPr>
              <w:pStyle w:val="aff7"/>
              <w:rPr>
                <w:rFonts w:hint="eastAsia"/>
                <w:b/>
                <w:bCs/>
              </w:rPr>
            </w:pPr>
            <w:r>
              <w:rPr>
                <w:b/>
                <w:bCs/>
              </w:rPr>
              <w:t>A份额：2.65%-2.95%</w:t>
              <w:br/>
              <w:t>C份额：2.6%-2.9%</w:t>
              <w:br/>
              <w:t>D份额：2.55%-2.85%</w:t>
              <w:br/>
              <w:t>F份额：2.7%-3%</w:t>
              <w:br/>
              <w:t>J份额：2.7%-3%</w:t>
              <w:br/>
              <w:t>W份额：2.55%-2.85%</w:t>
              <w:br/>
              <w:t>X份额：2.5%-2.8%</w:t>
              <w:br/>
              <w:t>Y份额：2.55%-2.85%</w:t>
            </w:r>
          </w:p>
          <w:p w14:paraId="35183CE7" w14:textId="35A6989B" w:rsidR="00041061" w:rsidRDefault="006D0D3E">
            <w:pPr>
              <w:pStyle w:val="aff7"/>
              <w:rPr>
                <w:rFonts w:hint="eastAsia"/>
                <w:b/>
                <w:bCs/>
              </w:rPr>
            </w:pPr>
            <w:r>
              <w:rPr>
                <w:rFonts w:hint="eastAsia"/>
                <w:b/>
                <w:bCs/>
              </w:rPr>
              <w:t>业绩比较基准不是预期收益率，不代表产品的未来表现和实际收益，不构成对产品收益的承诺，仅供投资者参考。</w:t>
            </w:r>
          </w:p>
          <w:p w14:paraId="5D0F73E5" w14:textId="77777777" w:rsidP="003D4AF9" w:rsidR="003D4AF9" w:rsidRDefault="003D4AF9">
            <w:pPr>
              <w:jc w:val="left"/>
              <w:rPr>
                <w:rFonts w:ascii="黑体" w:cs="黑体" w:hAnsi="黑体" w:hint="eastAsia"/>
                <w:b/>
                <w:szCs w:val="21"/>
              </w:rPr>
            </w:pPr>
            <w:r w:rsidRPr="00070AF1">
              <w:rPr>
                <w:rFonts w:ascii="黑体" w:cs="黑体" w:hAnsi="黑体"/>
                <w:b/>
                <w:szCs w:val="21"/>
              </w:rPr>
              <w:t>业绩比较基准历次调整情况（如有）详见产品说明书尾页。</w:t>
            </w:r>
          </w:p>
          <w:p w14:paraId="7B6737A4" w14:textId="77777777" w:rsidR="00041061" w:rsidRDefault="00041061" w:rsidRPr="003D4AF9">
            <w:pPr>
              <w:pStyle w:val="aff7"/>
              <w:rPr>
                <w:rFonts w:hint="eastAsia"/>
              </w:rPr>
            </w:pPr>
          </w:p>
          <w:p w14:paraId="12021426" w14:textId="77777777" w:rsidR="00041061" w:rsidRDefault="006D0D3E">
            <w:pPr>
              <w:pStyle w:val="aff6"/>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14:textId="77777777" w:rsidR="00041061" w:rsidRDefault="00041061">
            <w:pPr>
              <w:rPr>
                <w:rFonts w:ascii="黑体" w:hAnsi="黑体" w:hint="eastAsia"/>
              </w:rPr>
            </w:pPr>
          </w:p>
          <w:p w14:paraId="60CC2E98" w14:textId="70DD0E04" w:rsidR="00041061" w:rsidRDefault="006D0D3E" w:rsidRPr="008F191A">
            <w:pPr>
              <w:pStyle w:val="af3"/>
              <w:pBdr>
                <w:top w:color="000000" w:space="0" w:sz="0" w:val="none"/>
                <w:left w:color="000000" w:space="0" w:sz="0" w:val="none"/>
                <w:bottom w:color="000000" w:space="0" w:sz="0" w:val="none"/>
                <w:right w:color="000000" w:space="0" w:sz="0" w:val="none"/>
                <w:between w:color="000000" w:space="0" w:sz="0" w:val="none"/>
              </w:pBdr>
              <w:spacing w:afterAutospacing="0" w:beforeAutospacing="0"/>
              <w:rPr>
                <w:rFonts w:ascii="黑体" w:cs="黑体" w:hAnsi="黑体" w:hint="eastAsia"/>
                <w:sz w:val="21"/>
                <w:szCs w:val="18"/>
              </w:rPr>
            </w:pPr>
            <w:r w:rsidRPr="008F191A">
              <w:rPr>
                <w:rFonts w:ascii="黑体" w:cs="黑体" w:hAnsi="黑体" w:hint="eastAsia"/>
                <w:b/>
                <w:sz w:val="21"/>
                <w:szCs w:val="18"/>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14:textId="77777777" w:rsidR="00041061" w:rsidRDefault="006D0D3E">
            <w:pPr>
              <w:pStyle w:val="aff6"/>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14:textId="5212E243" w:rsidR="00041061" w:rsidRDefault="009804BB">
            <w:pPr>
              <w:pStyle w:val="aff7"/>
              <w:rPr>
                <w:rFonts w:hint="eastAsia"/>
              </w:rPr>
            </w:pPr>
            <w:r w:rsidRPr="00271B5E">
              <w:rPr>
                <w:rFonts w:hint="eastAsia"/>
              </w:rPr>
              <w:t>本产品为净值型产品，业绩表现将随市场情况波动，具有不确定性。当监管政策调整或产品投资策略、投资范围发生重大变化，导</w:t>
            </w:r>
            <w:r w:rsidRPr="00271B5E">
              <w:rPr>
                <w:rFonts w:hint="eastAsia"/>
              </w:rPr>
              <w:lastRenderedPageBreak/>
              <w:t>致理财产品的业绩比较基准需要调整时，产品管理人将至少于调整日之前</w:t>
            </w:r>
            <w:r w:rsidRPr="00271B5E">
              <w:t>3</w:t>
            </w:r>
            <w:r w:rsidRPr="00271B5E">
              <w:rPr>
                <w:rFonts w:hint="eastAsia"/>
              </w:rPr>
              <w:t>个工作日通过宁银理财及代理销售机构官方渠道、行业统一信息披露渠道（中国理财网）或与投资者约定的其他渠道公布调整情况和调整原因。</w:t>
            </w:r>
          </w:p>
        </w:tc>
      </w:tr>
      <w:tr w14:paraId="65AF5284" w14:textId="77777777" w:rsidR="00041061">
        <w:tc>
          <w:tcPr>
            <w:tcW w:type="dxa" w:w="1838"/>
          </w:tcPr>
          <w:p w14:paraId="2F519D21" w14:textId="77777777" w:rsidR="00041061" w:rsidRDefault="006D0D3E">
            <w:pPr>
              <w:pStyle w:val="aff7"/>
              <w:rPr>
                <w:rFonts w:hint="eastAsia"/>
              </w:rPr>
            </w:pPr>
            <w:r>
              <w:rPr>
                <w:rFonts w:hint="eastAsia"/>
              </w:rPr>
              <w:lastRenderedPageBreak/>
              <w:t>产品</w:t>
            </w:r>
            <w:r>
              <w:t>募集期</w:t>
            </w:r>
          </w:p>
        </w:tc>
        <w:tc>
          <w:tcPr>
            <w:tcW w:type="dxa" w:w="6458"/>
          </w:tcPr>
          <w:p w14:paraId="74A2F204" w14:textId="77777777" w:rsidR="00041061" w:rsidRDefault="006D0D3E">
            <w:pPr>
              <w:pStyle w:val="aff7"/>
              <w:rPr>
                <w:rFonts w:hint="eastAsia"/>
                <w:b/>
                <w:bCs/>
              </w:rPr>
            </w:pPr>
            <w:r>
              <w:rPr>
                <w:rFonts w:hint="eastAsia"/>
                <w:b/>
                <w:bCs/>
              </w:rPr>
              <w:t>2026年9月2日至2026年9月8日</w:t>
            </w:r>
          </w:p>
          <w:p w14:paraId="53D429BC" w14:textId="77777777" w:rsidR="00041061" w:rsidRDefault="006D0D3E">
            <w:pPr>
              <w:pStyle w:val="aff7"/>
              <w:numPr>
                <w:ilvl w:val="0"/>
                <w:numId w:val="11"/>
              </w:numPr>
              <w:rPr>
                <w:rFonts w:hint="eastAsia"/>
              </w:rPr>
            </w:pPr>
            <w:r>
              <w:rPr>
                <w:rFonts w:hint="eastAsia"/>
              </w:rPr>
              <w:t>在本产品募集期内，产品管理人有权根据产品实际募集情况调整产品募集结束日，调整前将进行相关信息披露。</w:t>
            </w:r>
            <w:r>
              <w:rPr>
                <w:rFonts w:hint="eastAsia"/>
                <w:b/>
                <w:bCs/>
              </w:rPr>
              <w:t/>
            </w:r>
          </w:p>
        </w:tc>
      </w:tr>
      <w:tr w14:paraId="06D8FFA5" w14:textId="77777777" w:rsidR="00041061">
        <w:tc>
          <w:tcPr>
            <w:tcW w:type="dxa" w:w="1838"/>
          </w:tcPr>
          <w:p w14:paraId="50926CB7" w14:textId="77777777" w:rsidR="00041061" w:rsidRDefault="006D0D3E">
            <w:pPr>
              <w:pStyle w:val="aff7"/>
              <w:rPr>
                <w:rFonts w:hint="eastAsia"/>
              </w:rPr>
            </w:pPr>
            <w:r>
              <w:rPr>
                <w:rFonts w:hint="eastAsia"/>
              </w:rPr>
              <w:t>产品</w:t>
            </w:r>
            <w:r>
              <w:t>成立日</w:t>
            </w:r>
          </w:p>
        </w:tc>
        <w:tc>
          <w:tcPr>
            <w:tcW w:type="dxa" w:w="6458"/>
          </w:tcPr>
          <w:p w14:paraId="40201AEB" w14:textId="77777777" w:rsidR="00041061" w:rsidRDefault="006D0D3E">
            <w:pPr>
              <w:pStyle w:val="aff7"/>
              <w:rPr>
                <w:rFonts w:hint="eastAsia"/>
                <w:b/>
                <w:bCs/>
                <w:u w:val="single"/>
              </w:rPr>
            </w:pPr>
            <w:r>
              <w:rPr>
                <w:b/>
                <w:bCs/>
              </w:rPr>
              <w:t>本产品成立日为</w:t>
            </w:r>
            <w:r>
              <w:rPr>
                <w:rFonts w:hint="eastAsia"/>
                <w:b/>
                <w:bCs/>
              </w:rPr>
              <w:t>2026年9月9日</w:t>
            </w:r>
          </w:p>
          <w:p w14:paraId="1F9A2F09" w14:textId="77777777" w:rsidR="00041061" w:rsidRDefault="006D0D3E">
            <w:pPr>
              <w:pStyle w:val="aff7"/>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14:textId="64D37296" w:rsidR="00041061" w:rsidRDefault="006D0D3E">
            <w:pPr>
              <w:pStyle w:val="aff7"/>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sidR="00E32426" w:rsidRPr="00E32426">
              <w:rPr>
                <w:b/>
              </w:rPr>
              <w:t>，产品管理人不向投资者计付利息，销售机构是否计付利息以销售机构为准。</w:t>
            </w:r>
          </w:p>
        </w:tc>
      </w:tr>
      <w:tr w14:paraId="44EB1EA8" w14:textId="77777777" w:rsidR="00041061">
        <w:tc>
          <w:tcPr>
            <w:tcW w:type="dxa" w:w="1838"/>
          </w:tcPr>
          <w:p w14:paraId="623A8EB3" w14:textId="77777777" w:rsidR="00041061" w:rsidRDefault="006D0D3E">
            <w:pPr>
              <w:pStyle w:val="aff7"/>
              <w:rPr>
                <w:rFonts w:hint="eastAsia"/>
                <w:b/>
              </w:rPr>
            </w:pPr>
            <w:r>
              <w:rPr>
                <w:rFonts w:hint="eastAsia"/>
              </w:rPr>
              <w:t>产品</w:t>
            </w:r>
            <w:r>
              <w:t>期限</w:t>
            </w:r>
          </w:p>
        </w:tc>
        <w:tc>
          <w:tcPr>
            <w:tcW w:type="dxa" w:w="6458"/>
          </w:tcPr>
          <w:p w14:paraId="75B9A05C" w14:textId="77777777" w:rsidR="00041061" w:rsidRDefault="006D0D3E">
            <w:pPr>
              <w:pStyle w:val="aff7"/>
              <w:rPr>
                <w:rFonts w:hint="eastAsia"/>
                <w:b/>
              </w:rPr>
            </w:pPr>
            <w:r>
              <w:rPr>
                <w:rFonts w:hint="eastAsia"/>
                <w:b/>
              </w:rPr>
              <w:t>762</w:t>
            </w:r>
            <w:r>
              <w:rPr>
                <w:b/>
              </w:rPr>
              <w:t>天</w:t>
            </w:r>
          </w:p>
        </w:tc>
      </w:tr>
      <w:tr w14:paraId="34294203" w14:textId="77777777" w:rsidR="00041061">
        <w:tc>
          <w:tcPr>
            <w:tcW w:type="dxa" w:w="1838"/>
          </w:tcPr>
          <w:p w14:paraId="52C32DB6" w14:textId="77777777" w:rsidR="00041061" w:rsidRDefault="006D0D3E">
            <w:pPr>
              <w:pStyle w:val="aff7"/>
              <w:rPr>
                <w:rFonts w:hint="eastAsia"/>
              </w:rPr>
            </w:pPr>
            <w:r>
              <w:rPr>
                <w:rFonts w:hint="eastAsia"/>
              </w:rPr>
              <w:t>产品</w:t>
            </w:r>
            <w:r>
              <w:t>到期</w:t>
            </w:r>
            <w:r>
              <w:rPr>
                <w:rFonts w:hint="eastAsia"/>
              </w:rPr>
              <w:t>日</w:t>
            </w:r>
          </w:p>
        </w:tc>
        <w:tc>
          <w:tcPr>
            <w:tcW w:type="dxa" w:w="6458"/>
          </w:tcPr>
          <w:p w14:paraId="6B011B0D" w14:textId="77777777" w:rsidR="00041061" w:rsidRDefault="006D0D3E">
            <w:pPr>
              <w:pStyle w:val="aff6"/>
              <w:rPr>
                <w:rFonts w:hint="eastAsia"/>
              </w:rPr>
            </w:pPr>
            <w:r>
              <w:rPr>
                <w:rFonts w:hint="eastAsia"/>
              </w:rPr>
              <w:t>2028年10月10日</w:t>
            </w:r>
          </w:p>
          <w:p w14:paraId="35AB25E7" w14:textId="77777777" w:rsidR="00041061" w:rsidRDefault="006D0D3E">
            <w:pPr>
              <w:pStyle w:val="aff6"/>
              <w:rPr>
                <w:rFonts w:hint="eastAsia"/>
              </w:rPr>
            </w:pPr>
            <w:r>
              <w:rPr>
                <w:rFonts w:hint="eastAsia"/>
              </w:rPr>
              <w:t>产品成立日至产品到期日期间为产品存续期。详见本产品说明书第七部分理财产品到期与终止。</w:t>
            </w:r>
          </w:p>
        </w:tc>
      </w:tr>
      <w:tr w14:paraId="0C0AAB6F" w14:textId="77777777" w:rsidR="00041061">
        <w:tc>
          <w:tcPr>
            <w:tcW w:type="dxa" w:w="1838"/>
            <w:vAlign w:val="center"/>
          </w:tcPr>
          <w:p w14:paraId="028141CB" w14:textId="77777777" w:rsidR="00041061" w:rsidRDefault="006D0D3E">
            <w:pPr>
              <w:pStyle w:val="aff7"/>
              <w:rPr>
                <w:rFonts w:hint="eastAsia"/>
              </w:rPr>
            </w:pPr>
            <w:r>
              <w:rPr>
                <w:rFonts w:hint="eastAsia"/>
              </w:rPr>
              <w:t>认购及撤单时间</w:t>
            </w:r>
          </w:p>
        </w:tc>
        <w:tc>
          <w:tcPr>
            <w:tcW w:type="dxa" w:w="6458"/>
          </w:tcPr>
          <w:p w14:paraId="0B8EF6DF" w14:textId="77777777" w:rsidR="00041061" w:rsidRDefault="006D0D3E">
            <w:pPr>
              <w:pStyle w:val="aff7"/>
              <w:rPr>
                <w:rFonts w:hint="eastAsia"/>
              </w:rPr>
            </w:pPr>
            <w:r>
              <w:rPr>
                <w:rFonts w:hint="eastAsia"/>
              </w:rPr>
              <w:t>产品募集期第一日08:30至最后一日17:30投资者可以提交或撤销认购申请。具体交易规则见后文四、产品交易相关规则。</w:t>
            </w:r>
          </w:p>
          <w:p w14:paraId="4871AE83" w14:textId="77777777" w:rsidR="00041061" w:rsidRDefault="006D0D3E">
            <w:pPr>
              <w:pStyle w:val="aff7"/>
              <w:rPr>
                <w:rFonts w:hint="eastAsia"/>
              </w:rPr>
            </w:pPr>
            <w:r>
              <w:rPr>
                <w:rFonts w:hint="eastAsia"/>
              </w:rPr>
              <w:t>产品实际认购及撤单时间具体以销售渠道展示为准。</w:t>
            </w:r>
          </w:p>
        </w:tc>
      </w:tr>
      <w:tr w14:paraId="416D8842" w14:textId="77777777" w:rsidR="00041061">
        <w:tc>
          <w:tcPr>
            <w:tcW w:type="dxa" w:w="1838"/>
            <w:vAlign w:val="center"/>
          </w:tcPr>
          <w:p w14:paraId="0E7E1E45" w14:textId="77777777" w:rsidR="00041061" w:rsidRDefault="006D0D3E">
            <w:pPr>
              <w:pStyle w:val="aff7"/>
              <w:rPr>
                <w:rFonts w:hint="eastAsia"/>
              </w:rPr>
            </w:pPr>
            <w:r>
              <w:rPr>
                <w:rFonts w:hint="eastAsia"/>
              </w:rPr>
              <w:t>产品</w:t>
            </w:r>
            <w:r>
              <w:t>最低成立规模</w:t>
            </w:r>
          </w:p>
        </w:tc>
        <w:tc>
          <w:tcPr>
            <w:tcW w:type="dxa" w:w="6458"/>
          </w:tcPr>
          <w:p w14:paraId="4AB49869" w14:textId="77777777" w:rsidR="00041061" w:rsidRDefault="006D0D3E">
            <w:pPr>
              <w:pStyle w:val="aff7"/>
              <w:rPr>
                <w:rFonts w:hint="eastAsia"/>
              </w:rPr>
            </w:pPr>
            <w:r>
              <w:rPr>
                <w:rFonts w:hint="eastAsia"/>
              </w:rPr>
              <w:t>1亿元</w:t>
            </w:r>
          </w:p>
        </w:tc>
      </w:tr>
      <w:tr w14:paraId="56C11280" w14:textId="77777777" w:rsidR="00041061">
        <w:tc>
          <w:tcPr>
            <w:tcW w:type="dxa" w:w="1838"/>
            <w:vAlign w:val="center"/>
          </w:tcPr>
          <w:p w14:paraId="55CD9414" w14:textId="77777777" w:rsidR="00041061" w:rsidRDefault="006D0D3E">
            <w:pPr>
              <w:pStyle w:val="aff7"/>
              <w:rPr>
                <w:rFonts w:hint="eastAsia"/>
              </w:rPr>
            </w:pPr>
            <w:r>
              <w:t>产品规模上限</w:t>
            </w:r>
          </w:p>
        </w:tc>
        <w:tc>
          <w:tcPr>
            <w:tcW w:type="dxa" w:w="6458"/>
          </w:tcPr>
          <w:p w14:paraId="3D0BE96F" w14:textId="77777777" w:rsidR="00041061" w:rsidRDefault="006D0D3E">
            <w:pPr>
              <w:pStyle w:val="aff6"/>
              <w:rPr>
                <w:rFonts w:hint="eastAsia"/>
              </w:rPr>
            </w:pPr>
            <w:r>
              <w:t>产品规模上限为</w:t>
            </w:r>
            <w:r>
              <w:rPr>
                <w:rFonts w:hint="eastAsia"/>
              </w:rPr>
              <w:t>50亿元</w:t>
            </w:r>
          </w:p>
          <w:p w14:paraId="1169D7F0" w14:textId="77777777" w:rsidR="00041061" w:rsidRDefault="006D0D3E">
            <w:pPr>
              <w:pStyle w:val="aff6"/>
              <w:rPr>
                <w:rFonts w:hint="eastAsia"/>
              </w:rPr>
            </w:pPr>
            <w:r>
              <w:rPr>
                <w:rFonts w:hint="eastAsia"/>
              </w:rPr>
              <w:t>产品管理人可根据市场情况等调整产品规模的上限，调整前将进行相关信息披露。</w:t>
            </w:r>
          </w:p>
        </w:tc>
      </w:tr>
      <w:tr w14:paraId="39EA96F0" w14:textId="77777777" w:rsidR="00041061">
        <w:tc>
          <w:tcPr>
            <w:tcW w:type="dxa" w:w="1838"/>
            <w:vAlign w:val="center"/>
          </w:tcPr>
          <w:p w14:paraId="6D54E5A8" w14:textId="77777777" w:rsidR="00041061" w:rsidRDefault="006D0D3E">
            <w:pPr>
              <w:pStyle w:val="aff7"/>
              <w:rPr>
                <w:rFonts w:hint="eastAsia"/>
              </w:rPr>
            </w:pPr>
            <w:r>
              <w:rPr>
                <w:rFonts w:hint="eastAsia"/>
              </w:rPr>
              <w:t>首次</w:t>
            </w:r>
            <w:r>
              <w:t>购买起点金额</w:t>
            </w:r>
          </w:p>
        </w:tc>
        <w:tc>
          <w:tcPr>
            <w:tcW w:type="dxa" w:w="6458"/>
            <w:vAlign w:val="center"/>
          </w:tcPr>
          <w:p w14:paraId="6C8959A7" w14:textId="77777777" w:rsidR="00041061" w:rsidRDefault="006D0D3E">
            <w:pPr>
              <w:pStyle w:val="aff7"/>
              <w:rPr>
                <w:rFonts w:hint="eastAsia"/>
              </w:rPr>
            </w:pPr>
            <w:r>
              <w:rPr>
                <w:rFonts w:hint="eastAsia"/>
              </w:rPr>
              <w:t>A份额：个人投资者1元起售，机构投资者10元起售；C份额：个人投资者1元起售，机构投资者10元起售；D份额：个人投资者1元起售，机构投资者10元起售；F份额：个人投资者1元起售，机构投资者10元起售；J份额：个人投资者1元起售，机构投资者10元起售；W份额：个人投资者1元起售，机构投资者10元起售；X份额：个人投资者1元起售，机构投资者10元起售；Y份额：个人投资者1元起售，机构投资者10元起售；</w:t>
            </w:r>
          </w:p>
          <w:p w14:paraId="16A62EB7" w14:textId="77777777" w:rsidR="00041061" w:rsidRDefault="006D0D3E">
            <w:pPr>
              <w:pStyle w:val="aff7"/>
              <w:rPr>
                <w:rFonts w:hint="eastAsia"/>
              </w:rPr>
            </w:pPr>
            <w:r>
              <w:rPr>
                <w:rFonts w:hint="eastAsia"/>
              </w:rPr>
              <w:t>（销售机构可以不低于上述标准设置起购金额，投资者购买本理财产品时以该销售机构最终要求为准）</w:t>
            </w:r>
          </w:p>
        </w:tc>
      </w:tr>
      <w:tr w14:paraId="608F6556" w14:textId="77777777" w:rsidR="00041061">
        <w:tc>
          <w:tcPr>
            <w:tcW w:type="dxa" w:w="1838"/>
            <w:vAlign w:val="center"/>
          </w:tcPr>
          <w:p w14:paraId="55547947" w14:textId="77777777" w:rsidR="00041061" w:rsidRDefault="006D0D3E">
            <w:pPr>
              <w:pStyle w:val="aff7"/>
              <w:rPr>
                <w:rFonts w:hint="eastAsia"/>
              </w:rPr>
            </w:pPr>
            <w:r>
              <w:rPr>
                <w:rFonts w:hint="eastAsia"/>
              </w:rPr>
              <w:t>追加购买</w:t>
            </w:r>
            <w:r>
              <w:t>金额</w:t>
            </w:r>
          </w:p>
        </w:tc>
        <w:tc>
          <w:tcPr>
            <w:tcW w:type="dxa" w:w="6458"/>
          </w:tcPr>
          <w:p w14:paraId="2E650A29" w14:textId="77777777" w:rsidR="00041061" w:rsidRDefault="006D0D3E">
            <w:pPr>
              <w:pStyle w:val="aff7"/>
              <w:rPr>
                <w:rFonts w:hint="eastAsia"/>
              </w:rPr>
            </w:pPr>
            <w:r>
              <w:rPr>
                <w:rFonts w:hint="eastAsia"/>
              </w:rPr>
              <w:t>A份额：追加金额个人投资者以1元增加，追加购买金额中不足1元的部分，产品管理人有权不确认；追加金额机构投资者以1元增加，追加购买金额中不足1元的部分，产品管理人有权不确认；C份额：追加金额个人投资者以1元增加，追加购买金额中不足1元的部分，产品管理人有权不确认；追加金额机构投资者以1元增加，追加购买金额中不足1元的部分，产品管理人有权不确认；D份额：追加金额个人投资者以1元增加，追加购买金额中不足1元的部分，产品管理人有权不确认；追加金额机构投资者以1元增加，追加购买金额中不足1元的部分，产品管理人有权不确认；F份额：追加金额个人投资者以1元增加，追加购买金额中不足1元的部分，产品管理人有权不确认；追加金额机构投资者以1元增加，追加购买金额中不足1元的部分，产品管理人有权不确认；J份额：追加金额个人投资者以1元增加，追加购买金额中不足1元的部分，产品管理人有权不确认；追加金额机构投资者以1元增加，追加购买金额中不足1元的部分，产品管理人有权不确认；W份额：追加金额个人投资者以1元增加，追加购买金额中不足1元的部分，产品管理人有权不确认；追加金额机构投资者以1元增加，追加购买金额中不足1元的部分，产品管理人有权不确认；X份额：追加金额个人投资者以1元增加，追加购买金额中不足1元的部分，产品管理人有权不确认；追加金额机构投资者以1元增加，追加购买金额中不足1元的部分，产品管理人有权不确认；Y份额：追加金额个人投资者以1元增加，追加购买金额中不足1元的部分，产品管理人有权不确认；追加金额机构投资者以1元增加，追加购买金额中不足1元的部分，产品管理人有权不确认；</w:t>
            </w:r>
          </w:p>
          <w:p w14:paraId="5FCDAA10" w14:textId="77777777" w:rsidR="00041061" w:rsidRDefault="006D0D3E">
            <w:pPr>
              <w:pStyle w:val="aff7"/>
              <w:rPr>
                <w:rFonts w:hint="eastAsia"/>
              </w:rPr>
            </w:pPr>
            <w:r>
              <w:rPr>
                <w:rFonts w:hint="eastAsia"/>
              </w:rPr>
              <w:t>（销售机构可以不低于上述标准设置追加购买金额，投资者购买本理财产品时以该销售机构最终要求为准）</w:t>
            </w:r>
          </w:p>
        </w:tc>
      </w:tr>
      <w:tr w14:paraId="72F06AF0" w14:textId="77777777" w:rsidR="00041061">
        <w:tc>
          <w:tcPr>
            <w:tcW w:type="dxa" w:w="1838"/>
            <w:tcBorders>
              <w:top w:color="auto" w:space="0" w:sz="4" w:val="single"/>
              <w:left w:color="auto" w:space="0" w:sz="4" w:val="single"/>
              <w:bottom w:color="auto" w:space="0" w:sz="4" w:val="single"/>
              <w:right w:color="auto" w:space="0" w:sz="4" w:val="single"/>
            </w:tcBorders>
            <w:vAlign w:val="center"/>
          </w:tcPr>
          <w:p w14:paraId="0EC05A24" w14:textId="77777777" w:rsidR="00041061" w:rsidRDefault="006D0D3E">
            <w:pPr>
              <w:pStyle w:val="aff7"/>
              <w:rPr>
                <w:rFonts w:hint="eastAsia"/>
              </w:rPr>
            </w:pPr>
            <w:r>
              <w:rPr>
                <w:rFonts w:hint="eastAsia"/>
              </w:rPr>
              <w:t>单户限额</w:t>
            </w:r>
          </w:p>
        </w:tc>
        <w:tc>
          <w:tcPr>
            <w:tcW w:type="dxa" w:w="6458"/>
            <w:tcBorders>
              <w:top w:color="auto" w:space="0" w:sz="4" w:val="single"/>
              <w:left w:color="auto" w:space="0" w:sz="4" w:val="single"/>
              <w:bottom w:color="auto" w:space="0" w:sz="4" w:val="single"/>
              <w:right w:color="auto" w:space="0" w:sz="4" w:val="single"/>
            </w:tcBorders>
          </w:tcPr>
          <w:p w14:paraId="07C7342E" w14:textId="77777777" w:rsidR="00041061" w:rsidRDefault="006D0D3E">
            <w:pPr>
              <w:pStyle w:val="aff7"/>
              <w:rPr>
                <w:rFonts w:hint="eastAsia"/>
              </w:rPr>
            </w:pPr>
            <w:r>
              <w:rPr>
                <w:b/>
                <w:bCs/>
              </w:rPr>
              <w:t>单个投资者对本产品持有金额上限为</w:t>
            </w:r>
            <w:r>
              <w:rPr>
                <w:rFonts w:hint="eastAsia"/>
                <w:b/>
                <w:bCs/>
              </w:rPr>
              <w:t>A份额为个人投资者无上限，机构投资者无上限；C份额为个人投资者无上限，机构投资者无上限；D份额为个人投资者无上限，机构投资者无上限；F份额为个人投资者无上限，机构投资者无上限；J份额为个人投资者无上限，机构投资者无上限；W份额为个人投资者无上限，机构投资者无上限；X份额为个人投资者无上限，机构投资者无上限；Y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14:textId="77777777" w:rsidR="00041061" w:rsidRDefault="006D0D3E">
            <w:pPr>
              <w:jc w:val="left"/>
              <w:rPr>
                <w:rFonts w:ascii="黑体" w:cs="黑体" w:hAnsi="黑体" w:hint="eastAsia"/>
                <w:szCs w:val="21"/>
              </w:rPr>
            </w:pPr>
            <w:r>
              <w:rPr>
                <w:rFonts w:ascii="黑体" w:cs="宋体" w:hAnsi="黑体" w:hint="eastAsia"/>
                <w:b/>
                <w:bCs/>
                <w:szCs w:val="21"/>
                <w:u w:val="single"/>
              </w:rPr>
              <w:t>非因产品管理人主观因素导致单一投资者持有份额比例超过总份额的50%（含）时，产品管理人将暂停接受其认（申）购申请。</w:t>
            </w:r>
          </w:p>
        </w:tc>
      </w:tr>
      <w:tr w14:paraId="60E519A9" w14:textId="77777777" w:rsidR="00041061">
        <w:tc>
          <w:tcPr>
            <w:tcW w:type="dxa" w:w="1838"/>
          </w:tcPr>
          <w:p w14:paraId="3A0C5F86" w14:textId="77777777" w:rsidR="00041061" w:rsidRDefault="006D0D3E">
            <w:pPr>
              <w:pStyle w:val="aff7"/>
              <w:rPr>
                <w:rFonts w:hint="eastAsia"/>
              </w:rPr>
            </w:pPr>
            <w:r>
              <w:rPr>
                <w:rFonts w:hint="eastAsia"/>
              </w:rPr>
              <w:t>销售</w:t>
            </w:r>
            <w:r>
              <w:t>区域</w:t>
            </w:r>
          </w:p>
        </w:tc>
        <w:tc>
          <w:tcPr>
            <w:tcW w:type="dxa" w:w="6458"/>
          </w:tcPr>
          <w:p w14:paraId="0DC796B5" w14:textId="77777777" w:rsidR="00041061" w:rsidRDefault="006D0D3E">
            <w:pPr>
              <w:pStyle w:val="aff7"/>
              <w:rPr>
                <w:rFonts w:hint="eastAsia"/>
              </w:rPr>
            </w:pPr>
            <w:r>
              <w:rPr>
                <w:rFonts w:hint="eastAsia"/>
              </w:rPr>
              <w:t>全国（不含港澳台地区）</w:t>
            </w:r>
          </w:p>
        </w:tc>
      </w:tr>
      <w:tr w14:paraId="24DD0A30" w14:textId="77777777" w:rsidR="00041061">
        <w:tc>
          <w:tcPr>
            <w:tcW w:type="dxa" w:w="1838"/>
            <w:vAlign w:val="center"/>
          </w:tcPr>
          <w:p w14:paraId="2F8D209C" w14:textId="77777777" w:rsidR="00041061" w:rsidRDefault="006D0D3E">
            <w:pPr>
              <w:pStyle w:val="aff7"/>
              <w:rPr>
                <w:rFonts w:hint="eastAsia"/>
              </w:rPr>
            </w:pPr>
            <w:r>
              <w:rPr>
                <w:rFonts w:hint="eastAsia"/>
              </w:rPr>
              <w:t>管理机构/产品管理人</w:t>
            </w:r>
          </w:p>
        </w:tc>
        <w:tc>
          <w:tcPr>
            <w:tcW w:type="dxa" w:w="6458"/>
            <w:vAlign w:val="center"/>
          </w:tcPr>
          <w:p w14:paraId="68E73A11" w14:textId="77777777" w:rsidR="00041061" w:rsidRDefault="006D0D3E">
            <w:pPr>
              <w:pStyle w:val="aff7"/>
              <w:rPr>
                <w:rFonts w:hint="eastAsia"/>
              </w:rPr>
            </w:pPr>
            <w:r>
              <w:rPr>
                <w:rFonts w:hint="eastAsia"/>
              </w:rPr>
              <w:t>宁银理财</w:t>
            </w:r>
            <w:r>
              <w:t>有限责任公司</w:t>
            </w:r>
          </w:p>
        </w:tc>
      </w:tr>
      <w:tr w14:paraId="3E074933" w14:textId="77777777" w:rsidR="00041061">
        <w:tc>
          <w:tcPr>
            <w:tcW w:type="dxa" w:w="1838"/>
            <w:vAlign w:val="center"/>
          </w:tcPr>
          <w:p w14:paraId="2693BA20" w14:textId="77777777" w:rsidR="00041061" w:rsidRDefault="006D0D3E">
            <w:pPr>
              <w:pStyle w:val="aff7"/>
              <w:rPr>
                <w:rFonts w:hint="eastAsia"/>
              </w:rPr>
            </w:pPr>
            <w:r>
              <w:rPr>
                <w:rFonts w:hint="eastAsia"/>
              </w:rPr>
              <w:t>销售</w:t>
            </w:r>
            <w:r>
              <w:t>机构</w:t>
            </w:r>
          </w:p>
        </w:tc>
        <w:tc>
          <w:tcPr>
            <w:tcW w:type="dxa" w:w="6458"/>
          </w:tcPr>
          <w:p w14:paraId="5E182A18" w14:textId="77777777" w:rsidR="00041061" w:rsidRDefault="006D0D3E">
            <w:pPr>
              <w:pStyle w:val="aff7"/>
              <w:rPr>
                <w:rFonts w:hint="eastAsia"/>
              </w:rPr>
            </w:pPr>
            <w:r>
              <w:rPr>
                <w:rFonts w:hint="eastAsia"/>
              </w:rPr>
              <w:t>秦皇岛银行股份有限公司、河北银行股份有限公司、绍兴银行股份有限公司、宁银理财有限责任公司、天津农村商业银行股份有限公司、贵阳银行股份有限公司、云南红塔银行股份有限公司、江苏常熟农村商业银行股份有限公司、中山农村商业银行股份有限公司、沧州银行股份有限公司、江苏张家港农村商业银行股份有限公司、江苏江南农村商业银行股份有限公司、桂林银行股份有限公司、温州银行股份有限公司</w:t>
            </w:r>
          </w:p>
        </w:tc>
      </w:tr>
      <w:tr w14:paraId="59A6B7F8" w14:textId="77777777" w:rsidR="00041061">
        <w:tc>
          <w:tcPr>
            <w:tcW w:type="dxa" w:w="1838"/>
            <w:vAlign w:val="center"/>
          </w:tcPr>
          <w:p w14:paraId="41CFD733" w14:textId="77777777" w:rsidR="00041061" w:rsidRDefault="006D0D3E">
            <w:pPr>
              <w:pStyle w:val="aff7"/>
              <w:rPr>
                <w:rFonts w:hint="eastAsia"/>
              </w:rPr>
            </w:pPr>
            <w:r>
              <w:rPr>
                <w:rFonts w:hint="eastAsia"/>
              </w:rPr>
              <w:t>托管机构</w:t>
            </w:r>
          </w:p>
        </w:tc>
        <w:tc>
          <w:tcPr>
            <w:tcW w:type="dxa" w:w="6458"/>
          </w:tcPr>
          <w:p w14:paraId="393C2D67" w14:textId="77777777" w:rsidR="00041061" w:rsidRDefault="006D0D3E">
            <w:pPr>
              <w:pStyle w:val="aff7"/>
              <w:rPr>
                <w:rFonts w:hint="eastAsia"/>
              </w:rPr>
            </w:pPr>
            <w:r>
              <w:rPr>
                <w:rFonts w:hint="eastAsia"/>
              </w:rPr>
              <w:t>宁波银行股份有限公司</w:t>
            </w:r>
          </w:p>
        </w:tc>
      </w:tr>
      <w:tr w14:paraId="740C31DE" w14:textId="77777777" w:rsidR="00041061">
        <w:tc>
          <w:tcPr>
            <w:tcW w:type="dxa" w:w="1838"/>
            <w:vAlign w:val="center"/>
          </w:tcPr>
          <w:p w14:paraId="3511FDAC" w14:textId="77777777" w:rsidR="00041061" w:rsidRDefault="006D0D3E">
            <w:pPr>
              <w:pStyle w:val="aff7"/>
              <w:rPr>
                <w:rFonts w:hint="eastAsia"/>
              </w:rPr>
            </w:pPr>
            <w:r>
              <w:rPr>
                <w:rFonts w:hint="eastAsia"/>
              </w:rPr>
              <w:t>投资合作机构</w:t>
            </w:r>
          </w:p>
        </w:tc>
        <w:tc>
          <w:tcPr>
            <w:tcW w:type="dxa" w:w="6458"/>
          </w:tcPr>
          <w:p w14:paraId="7E31B900" w14:textId="77777777" w:rsidR="00041061" w:rsidRDefault="006D0D3E">
            <w:pPr>
              <w:pStyle w:val="aff7"/>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14:textId="77777777" w:rsidR="00041061" w:rsidRDefault="006D0D3E">
            <w:pPr>
              <w:pStyle w:val="aff7"/>
              <w:rPr>
                <w:rFonts w:hint="eastAsia"/>
              </w:rPr>
            </w:pPr>
            <w:r>
              <w:rPr>
                <w:rFonts w:hint="eastAsia"/>
              </w:rPr>
              <w:t>本理财产品投资合作机构可能包括但不限于太平资产管理有限公司,平安证券股份有限公司,中国国际金融股份有限公司等。</w:t>
            </w:r>
          </w:p>
          <w:p w14:paraId="441DB294" w14:textId="77777777" w:rsidR="00041061" w:rsidRDefault="006D0D3E">
            <w:pPr>
              <w:pStyle w:val="aff7"/>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14:textId="77777777" w:rsidR="00041061">
        <w:tc>
          <w:tcPr>
            <w:tcW w:type="dxa" w:w="1838"/>
          </w:tcPr>
          <w:p w14:paraId="36C0AA00" w14:textId="77777777" w:rsidR="00041061" w:rsidRDefault="006D0D3E">
            <w:pPr>
              <w:pStyle w:val="aff7"/>
              <w:rPr>
                <w:rFonts w:hint="eastAsia"/>
              </w:rPr>
            </w:pPr>
            <w:r>
              <w:rPr>
                <w:rFonts w:hint="eastAsia"/>
              </w:rPr>
              <w:t>产品</w:t>
            </w:r>
            <w:r>
              <w:t>费用</w:t>
            </w:r>
            <w:r>
              <w:rPr>
                <w:rFonts w:hint="eastAsia"/>
              </w:rPr>
              <w:t>及</w:t>
            </w:r>
            <w:r>
              <w:t>税收</w:t>
            </w:r>
            <w:r>
              <w:rPr>
                <w:rFonts w:hint="eastAsia"/>
              </w:rPr>
              <w:t>规定</w:t>
            </w:r>
          </w:p>
        </w:tc>
        <w:tc>
          <w:tcPr>
            <w:tcW w:type="dxa" w:w="6458"/>
          </w:tcPr>
          <w:p w14:paraId="26ADE673" w14:textId="77777777" w:rsidR="00041061" w:rsidRDefault="006D0D3E">
            <w:pPr>
              <w:pStyle w:val="aff6"/>
              <w:rPr>
                <w:rFonts w:hint="eastAsia"/>
              </w:rPr>
            </w:pPr>
            <w:r>
              <w:t>本产品收取的费用为</w:t>
            </w:r>
            <w:r>
              <w:rPr>
                <w:rFonts w:hint="eastAsia"/>
              </w:rPr>
              <w:t>固定管理费、托管费、浮动管理费、销售服务费、信息技术服务费</w:t>
            </w:r>
            <w:r>
              <w:t>等。</w:t>
            </w:r>
            <w:r>
              <w:rPr>
                <w:rFonts w:hint="eastAsia"/>
              </w:rPr>
              <w:t>其中:</w:t>
            </w:r>
          </w:p>
          <w:p w14:paraId="1DBE7EC2" w14:textId="77777777" w:rsidR="00041061" w:rsidRDefault="006D0D3E">
            <w:pPr>
              <w:pStyle w:val="aff6"/>
              <w:rPr>
                <w:rFonts w:hint="eastAsia"/>
              </w:rPr>
            </w:pPr>
            <w:r>
              <w:rPr>
                <w:rFonts w:hint="eastAsia"/>
              </w:rPr>
              <w:t xml:space="preserve">1、销售服务费：【A份额】年化费率【0.4%】、【C份额】年化费率【0.4%】、【D份额】年化费率【0.4%】、【F份额】年化费率【0.4%】、【J份额】年化费率【0.4%】、【W份额】年化费率【0.4%】、【X份额】年化费率【0.4%】、【Y份额】年化费率【0.4%】；</w:t>
              <w:br/>
              <w:t>2、固定管理费：【A份额】年化费率【0.35%】、【C份额】年化费率【0.4%】、【D份额】年化费率【0.45%】、【F份额】年化费率【0.3%】、【J份额】年化费率【0.3%】、【W份额】年化费率【0.45%】、【X份额】年化费率【0.5%】、【Y份额】年化费率【0.45%】；</w:t>
              <w:br/>
              <w:t>3、托管费：年化费率【0.01%】</w:t>
              <w:br/>
              <w:t>4、浮动管理费：</w:t>
              <w:br/>
              <w:t>【A份额】：本计提周期年化收益率在【2.65%以上】的部分，管理人按照【55%】的比例收取浮动管理费；</w:t>
              <w:br/>
              <w:t>【C份额】：本计提周期年化收益率在【2.6%以上】的部分，管理人按照【55%】的比例收取浮动管理费；</w:t>
              <w:br/>
              <w:t>【D份额】：本计提周期年化收益率在【2.55%以上】的部分，管理人按照【55%】的比例收取浮动管理费；</w:t>
              <w:br/>
              <w:t>【F份额】：本计提周期年化收益率在【2.7%以上】的部分，管理人按照【55%】的比例收取浮动管理费；</w:t>
              <w:br/>
              <w:t>【J份额】：本计提周期年化收益率在【2.7%以上】的部分，管理人按照【55%】的比例收取浮动管理费；</w:t>
              <w:br/>
              <w:t>【W份额】：本计提周期年化收益率在【2.55%以上】的部分，管理人按照【55%】的比例收取浮动管理费；</w:t>
              <w:br/>
              <w:t>【X份额】：本计提周期年化收益率在【2.5%以上】的部分，管理人按照【55%】的比例收取浮动管理费；</w:t>
              <w:br/>
              <w:t xml:space="preserve">【Y份额】：本计提周期年化收益率在【2.55%以上】的部分，管理人按照【55%】的比例收取浮动管理费； </w:t>
            </w:r>
          </w:p>
          <w:p w14:paraId="61854490" w14:textId="75A7802E" w:rsidR="00041061" w:rsidRDefault="00783003">
            <w:pPr>
              <w:pStyle w:val="aff6"/>
              <w:rPr>
                <w:rFonts w:hint="eastAsia"/>
              </w:rPr>
            </w:pPr>
            <w:r w:rsidRPr="00E63309">
              <w:rPr>
                <w:rFonts w:cs="黑体"/>
              </w:rPr>
              <w:t>针对2026年9月1日（含）后成立的产品，产品将收取信息技术服务费，【信息技术服务费】年化费率【0.002%】，</w:t>
            </w:r>
            <w:r w:rsidRPr="00783003">
              <w:rPr>
                <w:rFonts w:cs="黑体"/>
              </w:rPr>
              <w:t>具体的理财产品费用和税收规则</w:t>
            </w:r>
            <w:r w:rsidR="006D0D3E">
              <w:rPr>
                <w:rFonts w:hint="eastAsia"/>
              </w:rPr>
              <w:t>详见</w:t>
            </w:r>
            <w:r w:rsidR="006D0D3E">
              <w:t>本说明书第</w:t>
            </w:r>
            <w:r w:rsidR="006D0D3E">
              <w:rPr>
                <w:rFonts w:hint="eastAsia"/>
              </w:rPr>
              <w:t>六</w:t>
            </w:r>
            <w:r w:rsidR="006D0D3E">
              <w:t>部分</w:t>
            </w:r>
            <w:r w:rsidR="006D0D3E">
              <w:rPr>
                <w:rFonts w:hint="eastAsia"/>
              </w:rPr>
              <w:t>产品费用、收益及税收说明</w:t>
            </w:r>
            <w:r w:rsidR="006D0D3E">
              <w:t>。</w:t>
            </w:r>
          </w:p>
        </w:tc>
      </w:tr>
      <w:tr w14:paraId="0C1F1348" w14:textId="77777777" w:rsidR="00041061">
        <w:tc>
          <w:tcPr>
            <w:tcW w:type="dxa" w:w="1838"/>
            <w:vAlign w:val="center"/>
          </w:tcPr>
          <w:p w14:paraId="30005A67" w14:textId="77777777" w:rsidR="00041061" w:rsidRDefault="006D0D3E">
            <w:pPr>
              <w:pStyle w:val="aff7"/>
              <w:rPr>
                <w:rFonts w:hint="eastAsia"/>
              </w:rPr>
            </w:pPr>
            <w:r>
              <w:rPr>
                <w:rFonts w:hint="eastAsia"/>
              </w:rPr>
              <w:t>其他</w:t>
            </w:r>
          </w:p>
        </w:tc>
        <w:tc>
          <w:tcPr>
            <w:tcW w:type="dxa" w:w="6458"/>
          </w:tcPr>
          <w:p w14:paraId="5DFFEB92" w14:textId="77777777" w:rsidR="00041061" w:rsidRDefault="006D0D3E">
            <w:pPr>
              <w:pStyle w:val="aff7"/>
              <w:rPr>
                <w:rFonts w:hint="eastAsia"/>
                <w:b/>
                <w:bCs/>
              </w:rPr>
            </w:pPr>
            <w:r>
              <w:rPr>
                <w:b/>
                <w:bCs/>
              </w:rPr>
              <w:t>1、在本产品存续期内，产品管理人有权根据市场情况调整本产品前述产品要素，调整前将进行相关信息披露。</w:t>
            </w:r>
          </w:p>
          <w:p w14:paraId="307EB92D" w14:textId="77777777" w:rsidR="00041061" w:rsidRDefault="006D0D3E">
            <w:pPr>
              <w:pStyle w:val="aff7"/>
              <w:rPr>
                <w:rFonts w:hint="eastAsia"/>
              </w:rPr>
            </w:pPr>
            <w:r>
              <w:t>2、产品成立日和到期日如遇非工作日，则顺延至下一工作日</w:t>
            </w:r>
          </w:p>
          <w:p w14:paraId="2F546F33" w14:textId="77777777" w:rsidR="00041061" w:rsidRDefault="006D0D3E">
            <w:pPr>
              <w:rPr>
                <w:rFonts w:ascii="黑体" w:cs="黑体" w:hAnsi="黑体" w:hint="eastAsia"/>
                <w:szCs w:val="21"/>
              </w:rPr>
            </w:pPr>
            <w:r>
              <w:rPr>
                <w:rFonts w:ascii="黑体" w:cs="黑体" w:hAnsi="黑体"/>
                <w:szCs w:val="21"/>
              </w:rPr>
              <w:t>3</w:t>
            </w:r>
            <w:r>
              <w:rPr>
                <w:rFonts w:ascii="黑体" w:cs="黑体" w:hAnsi="黑体" w:hint="eastAsia"/>
                <w:szCs w:val="21"/>
              </w:rPr>
              <w:t>、本产品说明书中的工作日指国家法定工作日。</w:t>
            </w:r>
          </w:p>
          <w:p w14:paraId="41A542FA" w14:textId="77777777" w:rsidR="00041061" w:rsidRDefault="006D0D3E">
            <w:pPr>
              <w:pStyle w:val="aff7"/>
              <w:rPr>
                <w:rFonts w:hint="eastAsia"/>
              </w:rPr>
            </w:pPr>
            <w:r>
              <w:rPr>
                <w:rFonts w:hint="eastAsia"/>
              </w:rPr>
              <w:t>4</w:t>
            </w:r>
            <w:r>
              <w:t>、其他：无</w:t>
            </w:r>
          </w:p>
        </w:tc>
      </w:tr>
    </w:tbl>
    <w:p w14:paraId="15FAB1B5" w14:textId="77777777" w:rsidR="00041061" w:rsidRDefault="00041061">
      <w:pPr>
        <w:jc w:val="left"/>
        <w:rPr>
          <w:rFonts w:ascii="黑体" w:cs="黑体" w:hAnsi="黑体" w:hint="eastAsia"/>
          <w:sz w:val="18"/>
          <w:szCs w:val="18"/>
        </w:rPr>
      </w:pPr>
    </w:p>
    <w:p w14:paraId="493358CE" w14:textId="77777777" w:rsidR="00041061" w:rsidRDefault="006D0D3E">
      <w:pPr>
        <w:jc w:val="left"/>
        <w:rPr>
          <w:rFonts w:ascii="黑体" w:cs="黑体" w:hAnsi="黑体" w:hint="eastAsia"/>
          <w:b/>
          <w:szCs w:val="21"/>
        </w:rPr>
      </w:pPr>
      <w:r>
        <w:rPr>
          <w:rFonts w:ascii="黑体" w:cs="黑体" w:hAnsi="黑体" w:hint="eastAsia"/>
          <w:b/>
          <w:szCs w:val="21"/>
        </w:rPr>
        <w:t>三、产品投资管理</w:t>
      </w:r>
    </w:p>
    <w:p w14:paraId="2FB27242" w14:textId="77777777" w:rsidR="00041061" w:rsidRDefault="006D0D3E">
      <w:pPr>
        <w:pStyle w:val="aff7"/>
        <w:rPr>
          <w:rFonts w:hint="eastAsia"/>
        </w:rPr>
      </w:pPr>
      <w:r>
        <w:rPr>
          <w:rFonts w:hint="eastAsia"/>
        </w:rPr>
        <w:t>（一）投资范围</w:t>
      </w:r>
    </w:p>
    <w:p w14:paraId="095E308F" w14:textId="77777777" w:rsidR="00041061" w:rsidRDefault="006D0D3E">
      <w:pPr>
        <w:pStyle w:val="aff7"/>
        <w:rPr>
          <w:rFonts w:hint="eastAsia"/>
        </w:rPr>
      </w:pPr>
      <w:r>
        <w:rPr>
          <w:rFonts w:hint="eastAsia"/>
        </w:rPr>
        <w:t xml:space="preserve">    本</w:t>
      </w:r>
      <w:r>
        <w:t>产品主要投资于以下</w:t>
      </w:r>
      <w:r>
        <w:rPr>
          <w:rFonts w:hint="eastAsia"/>
        </w:rPr>
        <w:t>符合监管</w:t>
      </w:r>
      <w:r>
        <w:t>要求的各类资产：</w:t>
      </w:r>
    </w:p>
    <w:p w14:paraId="44AC8144" w14:textId="77777777" w:rsidR="00041061" w:rsidRDefault="006D0D3E">
      <w:pPr>
        <w:pStyle w:val="aff7"/>
        <w:ind w:firstLine="420"/>
        <w:rPr>
          <w:rFonts w:cs="黑体" w:hint="eastAsia"/>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cs="黑体" w:hint="eastAsia"/>
          <w:b/>
        </w:rPr>
        <w:t/>
        <w:br/>
        <w:t xml:space="preserve">    本产品可投资不存在活跃交易市场，并且需要采用估值技术确定公允价值的资产；投资上述资产的比例可达到理财产品净资产50%及以上。</w:t>
      </w:r>
    </w:p>
    <w:p w14:paraId="74FFE683" w14:textId="77777777" w:rsidR="00041061" w:rsidRDefault="006D0D3E">
      <w:pPr>
        <w:pStyle w:val="aff7"/>
        <w:rPr>
          <w:rFonts w:hint="eastAsia"/>
        </w:rPr>
      </w:pPr>
      <w:r>
        <w:rPr>
          <w:rFonts w:hint="eastAsia"/>
        </w:rPr>
        <w:t>具体投向如下：</w:t>
      </w:r>
    </w:p>
    <w:tbl>
      <w:tblPr>
        <w:tblW w:type="pct" w:w="4304"/>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3565"/>
        <w:gridCol w:w="3576"/>
      </w:tblGrid>
      <w:tr w14:paraId="3D128AE0" w14:textId="77777777" w:rsidR="00041061">
        <w:trPr>
          <w:jc w:val="center"/>
        </w:trPr>
        <w:tc>
          <w:tcPr>
            <w:tcW w:type="pct" w:w="3549"/>
          </w:tcPr>
          <w:p w14:paraId="23B309BC" w14:textId="77777777" w:rsidR="00041061" w:rsidRDefault="006D0D3E">
            <w:pPr>
              <w:rPr>
                <w:rFonts w:ascii="黑体" w:hAnsi="黑体" w:hint="eastAsia"/>
                <w:szCs w:val="21"/>
              </w:rPr>
            </w:pPr>
            <w:r>
              <w:rPr>
                <w:rFonts w:ascii="黑体" w:hAnsi="黑体" w:hint="eastAsia"/>
                <w:szCs w:val="21"/>
              </w:rPr>
              <w:t>投资资产</w:t>
            </w:r>
          </w:p>
        </w:tc>
        <w:tc>
          <w:tcPr>
            <w:tcW w:type="pct" w:w="1450"/>
          </w:tcPr>
          <w:p w14:paraId="5D72E491" w14:textId="77777777" w:rsidR="00041061" w:rsidRDefault="006D0D3E">
            <w:pPr>
              <w:rPr>
                <w:rFonts w:ascii="黑体" w:hAnsi="黑体" w:hint="eastAsia"/>
                <w:szCs w:val="21"/>
              </w:rPr>
            </w:pPr>
            <w:r>
              <w:rPr>
                <w:rFonts w:ascii="黑体" w:hAnsi="黑体" w:hint="eastAsia"/>
                <w:szCs w:val="21"/>
              </w:rPr>
              <w:t>计划配置比例</w:t>
            </w:r>
          </w:p>
        </w:tc>
      </w:tr>
      <w:tr w14:paraId="3D33D9A9" w14:textId="77777777" w:rsidR="00041061">
        <w:trPr>
          <w:jc w:val="center"/>
        </w:trPr>
        <w:tc>
          <w:tcPr>
            <w:tcW w:type="pct" w:w="3549"/>
            <w:vAlign w:val="bottom"/>
          </w:tcPr>
          <w:p w14:paraId="02729E95"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固定收益类资产</w:t>
            </w:r>
          </w:p>
        </w:tc>
        <w:tc>
          <w:tcPr>
            <w:tcW w:type="pct" w:w="1450"/>
          </w:tcPr>
          <w:p w14:paraId="5ABC1F3D" w14:textId="77777777" w:rsidR="00041061" w:rsidRDefault="006D0D3E">
            <w:pPr>
              <w:rPr>
                <w:rFonts w:ascii="黑体" w:hAnsi="黑体" w:hint="eastAsia"/>
                <w:szCs w:val="21"/>
              </w:rPr>
            </w:pPr>
            <w:r>
              <w:rPr>
                <w:rFonts w:ascii="黑体" w:hAnsi="黑体" w:hint="eastAsia"/>
                <w:szCs w:val="21"/>
              </w:rPr>
              <w:t/>
            </w:r>
            <w:r>
              <w:rPr>
                <w:rFonts w:ascii="黑体" w:hAnsi="黑体" w:cs="黑体" w:eastAsia="黑体"/>
                <w:b w:val="false"/>
                <w:i w:val="false"/>
                <w:strike w:val="false"/>
                <w:color w:val=""/>
                <w:u w:val="none"/>
              </w:rPr>
              <w:t>80%-100%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权益类资产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r>
        <w:trPr>
          <w:jc w:val="center"/>
          <w:trHeight w:val="0"/>
        </w:trPr>
        <w:tc>
          <w:tcPr>
            <w:tcW w:w="3549"/>
            <w:vAlign w:val="bottom"/>
            <w:vAlign w:val="bottom"/>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商品及金融衍生品类资产</w:t>
            </w:r>
          </w:p>
        </w:tc>
        <w:tc>
          <w:tcPr>
            <w:tcW w:w="1450"/>
          </w:tcPr>
          <w:p>
            <w:pPr>
              <w:pageBreakBefore w:val="false"/>
              <w:pBdr/>
              <w:jc w:val="left"/>
              <w:textAlignment w:val="auto"/>
            </w:pPr>
            <w:r>
              <w:rPr>
                <w:rFonts w:ascii="黑体" w:hAnsi="黑体" w:cs="" w:eastAsia="" w:asciiTheme="" w:cstheme="" w:eastAsiaTheme="" w:hAnsiTheme=""/>
                <w:b w:val="false"/>
                <w:i w:val="false"/>
                <w:strike w:val="false"/>
                <w:color w:val=""/>
                <w:position w:val="-1"/>
                <w:u w:val="none"/>
              </w:rPr>
              <w:t/>
            </w:r>
            <w:r>
              <w:rPr>
                <w:rFonts w:ascii="黑体" w:hAnsi="黑体" w:cs="黑体" w:eastAsia="黑体"/>
                <w:b w:val="false"/>
                <w:i w:val="false"/>
                <w:strike w:val="false"/>
                <w:color w:val=""/>
                <w:u w:val="none"/>
              </w:rPr>
              <w:t>0%-20%</w:t>
            </w:r>
          </w:p>
        </w:tc>
      </w:tr>
    </w:tbl>
    <w:p w14:paraId="32981AFA" w14:textId="77777777" w:rsidR="00041061" w:rsidRDefault="006D0D3E">
      <w:pPr>
        <w:ind w:firstLine="420"/>
        <w:jc w:val="left"/>
        <w:rPr>
          <w:rFonts w:ascii="黑体" w:cs="黑体" w:hAnsi="黑体" w:hint="eastAsia"/>
          <w:szCs w:val="21"/>
        </w:rPr>
      </w:pPr>
      <w:r>
        <w:rPr>
          <w:rFonts w:ascii="黑体" w:cs="黑体" w:hAnsi="黑体" w:hint="eastAsia"/>
          <w:szCs w:val="21"/>
        </w:rPr>
        <w:t>1、本产品可以通过质押式和买断式债券正回购进行融资。本产品的杠杆率不超过200%。</w:t>
      </w:r>
    </w:p>
    <w:p w14:paraId="291188BE" w14:textId="77777777" w:rsidR="00041061" w:rsidRDefault="006D0D3E">
      <w:pPr>
        <w:ind w:firstLine="420"/>
        <w:jc w:val="left"/>
        <w:rPr>
          <w:rFonts w:ascii="黑体" w:cs="黑体" w:hAnsi="黑体" w:hint="eastAsia"/>
          <w:szCs w:val="21"/>
        </w:rPr>
      </w:pPr>
      <w:r>
        <w:rPr>
          <w:rFonts w:ascii="黑体" w:cs="黑体" w:hAnsi="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ascii="黑体" w:cs="黑体" w:hAnsi="黑体" w:hint="eastAsia"/>
          <w:szCs w:val="21"/>
        </w:rPr>
        <w:t>，国务院银行业监督管理机构规定的特殊情形除外。</w:t>
      </w:r>
    </w:p>
    <w:p w14:paraId="7EA082A4" w14:textId="77777777" w:rsidR="00041061" w:rsidRDefault="006D0D3E">
      <w:pPr>
        <w:tabs>
          <w:tab w:pos="426" w:val="left"/>
        </w:tabs>
        <w:ind w:firstLine="420"/>
        <w:jc w:val="left"/>
        <w:rPr>
          <w:rFonts w:ascii="黑体" w:cs="宋体" w:hAnsi="黑体" w:hint="eastAsia"/>
          <w:szCs w:val="21"/>
        </w:rPr>
      </w:pPr>
      <w:r>
        <w:rPr>
          <w:rFonts w:ascii="黑体" w:cs="宋体" w:hAnsi="黑体"/>
          <w:szCs w:val="21"/>
        </w:rPr>
        <w:t>3、在本产品存续期内，前述投资比例暂时超出浮动区间且可能对产品单位净值产生重大影响的，产品管理人将根据理财产品销售文件约定向投资者进行信息披露。</w:t>
      </w:r>
    </w:p>
    <w:p w14:paraId="2AA64D82" w14:textId="1EDFDBDB" w:rsidR="00041061" w:rsidRDefault="006D0D3E">
      <w:pPr>
        <w:ind w:firstLine="422"/>
        <w:jc w:val="left"/>
        <w:rPr>
          <w:rFonts w:ascii="黑体" w:cs="黑体" w:hAnsi="黑体" w:hint="eastAsia"/>
          <w:b/>
          <w:szCs w:val="21"/>
        </w:rPr>
      </w:pPr>
      <w:r>
        <w:rPr>
          <w:rFonts w:ascii="黑体" w:cs="黑体" w:hAnsi="黑体"/>
          <w:b/>
          <w:szCs w:val="21"/>
        </w:rPr>
        <w:t>4、产品管理人有权对投资范围、投资品种或投资比例进行调整，若发生调整情况，将提前至少</w:t>
      </w:r>
      <w:r w:rsidR="003A234B">
        <w:rPr>
          <w:rFonts w:ascii="黑体" w:cs="黑体" w:hAnsi="黑体" w:hint="eastAsia"/>
          <w:b/>
          <w:szCs w:val="21"/>
        </w:rPr>
        <w:t>3</w:t>
      </w:r>
      <w:r>
        <w:rPr>
          <w:rFonts w:ascii="黑体" w:cs="黑体" w:hAnsi="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14:textId="77777777" w:rsidR="00041061" w:rsidRDefault="006D0D3E">
      <w:pPr>
        <w:jc w:val="left"/>
        <w:rPr>
          <w:rFonts w:ascii="黑体" w:cs="黑体" w:hAnsi="黑体" w:hint="eastAsia"/>
          <w:szCs w:val="21"/>
        </w:rPr>
      </w:pPr>
      <w:r>
        <w:rPr>
          <w:rFonts w:ascii="黑体" w:cs="黑体" w:hAnsi="黑体" w:hint="eastAsia"/>
          <w:szCs w:val="21"/>
        </w:rPr>
        <w:t>（二）拟投资市场和资产的风险评估</w:t>
      </w:r>
    </w:p>
    <w:p w14:paraId="22541B50" w14:textId="77777777" w:rsidR="00041061" w:rsidRDefault="006D0D3E">
      <w:pPr>
        <w:ind w:firstLine="420"/>
        <w:jc w:val="left"/>
        <w:rPr>
          <w:rFonts w:ascii="黑体" w:cs="黑体" w:hAnsi="黑体" w:hint="eastAsia"/>
          <w:szCs w:val="21"/>
        </w:rPr>
      </w:pPr>
      <w:r>
        <w:rPr>
          <w:rFonts w:ascii="黑体" w:cs="黑体" w:hAnsi="黑体" w:hint="eastAsia"/>
          <w:szCs w:val="21"/>
        </w:rPr>
        <w:t>1、产品拟投资资产类型以本说明书第三（一）条载明为准。</w:t>
      </w:r>
    </w:p>
    <w:p w14:paraId="1B824E60" w14:textId="77777777" w:rsidR="00041061" w:rsidRDefault="006D0D3E">
      <w:pPr>
        <w:ind w:firstLine="422"/>
        <w:jc w:val="left"/>
        <w:rPr>
          <w:rFonts w:ascii="黑体" w:cs="黑体" w:hAnsi="黑体" w:hint="eastAsia"/>
          <w:b/>
          <w:szCs w:val="21"/>
        </w:rPr>
      </w:pPr>
      <w:r>
        <w:rPr>
          <w:rFonts w:ascii="黑体" w:cs="黑体" w:hAnsi="黑体" w:hint="eastAsia"/>
          <w:b/>
          <w:szCs w:val="21"/>
        </w:rPr>
        <w:t>投资于上述市场和资产，可能面临包括但不限于如下风险：</w:t>
      </w:r>
    </w:p>
    <w:p w14:paraId="1A2834A3" w14:textId="77777777" w:rsidR="00041061" w:rsidRDefault="006D0D3E">
      <w:pPr>
        <w:ind w:firstLine="422" w:left="63"/>
        <w:rPr>
          <w:rFonts w:ascii="黑体" w:cs="黑体" w:hAnsi="黑体" w:hint="eastAsia"/>
          <w:b/>
          <w:szCs w:val="21"/>
        </w:rPr>
      </w:pPr>
      <w:r>
        <w:rPr>
          <w:rFonts w:ascii="黑体" w:cs="黑体" w:hAnsi="黑体" w:hint="eastAsia"/>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14:textId="77777777" w:rsidR="00041061" w:rsidRDefault="006D0D3E">
      <w:pPr>
        <w:ind w:firstLine="422" w:left="63"/>
        <w:rPr>
          <w:rFonts w:ascii="黑体" w:hAnsi="黑体" w:hint="eastAsia"/>
          <w:sz w:val="24"/>
        </w:rPr>
      </w:pPr>
      <w:r>
        <w:rPr>
          <w:rFonts w:ascii="黑体" w:cs="宋体" w:hAnsi="黑体" w:hint="eastAsia"/>
          <w:b/>
          <w:szCs w:val="21"/>
        </w:rPr>
        <w:t>市场风险：</w:t>
      </w:r>
      <w:r>
        <w:rPr>
          <w:rFonts w:ascii="黑体" w:cs="黑体" w:hAnsi="黑体" w:hint="eastAsia"/>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14:textId="77777777" w:rsidR="00041061" w:rsidRDefault="006D0D3E">
      <w:pPr>
        <w:ind w:firstLine="422" w:left="63"/>
        <w:rPr>
          <w:rFonts w:ascii="黑体" w:hAnsi="黑体" w:hint="eastAsia"/>
          <w:sz w:val="24"/>
        </w:rPr>
      </w:pPr>
      <w:r>
        <w:rPr>
          <w:rFonts w:ascii="黑体" w:cs="宋体" w:hAnsi="黑体" w:hint="eastAsia"/>
          <w:b/>
          <w:szCs w:val="21"/>
        </w:rPr>
        <w:lastRenderedPageBreak/>
        <w:t>信用风险：理财产品所投资产的相关债务人或关联责任人（包括但不限于担保人）等信用状况恶化、不能如期履约的风险。</w:t>
      </w:r>
    </w:p>
    <w:p w14:paraId="516915BD" w14:textId="77777777" w:rsidR="00041061" w:rsidRDefault="006D0D3E">
      <w:pPr>
        <w:ind w:firstLine="422"/>
        <w:jc w:val="left"/>
        <w:rPr>
          <w:rFonts w:ascii="黑体" w:cs="宋体" w:hAnsi="黑体" w:hint="eastAsia"/>
          <w:b/>
          <w:szCs w:val="21"/>
        </w:rPr>
      </w:pPr>
      <w:r>
        <w:rPr>
          <w:rFonts w:ascii="黑体" w:cs="宋体" w:hAnsi="黑体" w:hint="eastAsia"/>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cs="宋体" w:hAnsi="黑体"/>
          <w:b/>
          <w:szCs w:val="21"/>
        </w:rPr>
        <w:t>明确投资期限的理财产品，</w:t>
      </w:r>
      <w:r>
        <w:rPr>
          <w:rFonts w:ascii="黑体" w:cs="宋体" w:hAnsi="黑体" w:hint="eastAsia"/>
          <w:b/>
          <w:szCs w:val="21"/>
        </w:rPr>
        <w:t>在存续期内如果您产生流动性需求，可能面临理财产品投资期限与资金需求日不匹配的流动性风险。此外</w:t>
      </w:r>
      <w:r>
        <w:rPr>
          <w:rFonts w:ascii="黑体" w:cs="宋体" w:hAnsi="黑体"/>
          <w:b/>
          <w:szCs w:val="21"/>
        </w:rPr>
        <w:t>，</w:t>
      </w:r>
      <w:r>
        <w:rPr>
          <w:rFonts w:ascii="黑体" w:cs="宋体" w:hAnsi="黑体" w:hint="eastAsia"/>
          <w:b/>
          <w:szCs w:val="21"/>
        </w:rPr>
        <w:t>针对</w:t>
      </w:r>
      <w:r>
        <w:rPr>
          <w:rFonts w:ascii="黑体" w:cs="宋体" w:hAnsi="黑体"/>
          <w:b/>
          <w:szCs w:val="21"/>
        </w:rPr>
        <w:t>开放式产品，</w:t>
      </w:r>
      <w:r>
        <w:rPr>
          <w:rFonts w:ascii="黑体" w:cs="宋体" w:hAnsi="黑体" w:hint="eastAsia"/>
          <w:b/>
          <w:szCs w:val="21"/>
        </w:rPr>
        <w:t>投资者只能在开放期的交易时间内进行申购、赎回，开放期内若发生巨额赎回，投资者将面临不能及时赎回理财产品的流动性风险。</w:t>
      </w:r>
    </w:p>
    <w:p w14:paraId="6294F113" w14:textId="77777777" w:rsidR="00041061" w:rsidRDefault="006D0D3E">
      <w:pPr>
        <w:ind w:firstLine="422"/>
        <w:jc w:val="left"/>
        <w:rPr>
          <w:rFonts w:ascii="黑体" w:cs="宋体" w:hAnsi="黑体" w:hint="eastAsia"/>
          <w:b/>
          <w:szCs w:val="21"/>
        </w:rPr>
      </w:pPr>
      <w:r>
        <w:rPr>
          <w:rFonts w:ascii="黑体" w:cs="宋体" w:hAnsi="黑体" w:hint="eastAsia"/>
          <w:b/>
          <w:szCs w:val="21"/>
        </w:rPr>
        <w:t>提前终止风险：在本产品存续期内，如遇包括但不限于国家金融政策发生重大调整、金融市场发生重大波动、</w:t>
      </w:r>
      <w:r>
        <w:rPr>
          <w:rFonts w:ascii="黑体" w:cs="黑体" w:hAnsi="黑体"/>
          <w:b/>
          <w:szCs w:val="21"/>
        </w:rPr>
        <w:t>不可抗力</w:t>
      </w:r>
      <w:r>
        <w:rPr>
          <w:rFonts w:ascii="黑体" w:cs="黑体" w:hAnsi="黑体" w:hint="eastAsia"/>
          <w:b/>
          <w:szCs w:val="21"/>
        </w:rPr>
        <w:t>、产品存续规模低于产品最低成立规模</w:t>
      </w:r>
      <w:r>
        <w:rPr>
          <w:rFonts w:ascii="黑体" w:cs="宋体" w:hAnsi="黑体" w:hint="eastAsia"/>
          <w:b/>
          <w:szCs w:val="21"/>
        </w:rPr>
        <w:t>或产品管理人认为影响产品运作需要提前终止产品的其他情况，产品管理人有权提前终止产品，并至少于提前终止日前3个工作日进行公告，相关兑付</w:t>
      </w:r>
      <w:r>
        <w:rPr>
          <w:rFonts w:ascii="黑体" w:cs="宋体" w:hAnsi="黑体"/>
          <w:b/>
          <w:szCs w:val="21"/>
        </w:rPr>
        <w:t>安排规则</w:t>
      </w:r>
      <w:r>
        <w:rPr>
          <w:rFonts w:ascii="黑体" w:cs="宋体" w:hAnsi="黑体" w:hint="eastAsia"/>
          <w:b/>
          <w:szCs w:val="21"/>
        </w:rPr>
        <w:t>将在</w:t>
      </w:r>
      <w:r>
        <w:rPr>
          <w:rFonts w:ascii="黑体" w:cs="宋体" w:hAnsi="黑体"/>
          <w:b/>
          <w:szCs w:val="21"/>
        </w:rPr>
        <w:t>公告</w:t>
      </w:r>
      <w:r>
        <w:rPr>
          <w:rFonts w:ascii="黑体" w:cs="宋体" w:hAnsi="黑体" w:hint="eastAsia"/>
          <w:b/>
          <w:szCs w:val="21"/>
        </w:rPr>
        <w:t>中</w:t>
      </w:r>
      <w:r>
        <w:rPr>
          <w:rFonts w:ascii="黑体" w:cs="宋体" w:hAnsi="黑体"/>
          <w:b/>
          <w:szCs w:val="21"/>
        </w:rPr>
        <w:t>披露。</w:t>
      </w:r>
      <w:r>
        <w:rPr>
          <w:rFonts w:ascii="黑体" w:cs="宋体" w:hAnsi="黑体" w:hint="eastAsia"/>
          <w:b/>
          <w:szCs w:val="21"/>
        </w:rPr>
        <w:t>（具体信息及相关规则见七、理财产品到期与终止。）</w:t>
      </w:r>
    </w:p>
    <w:p w14:paraId="3A361B3C" w14:textId="77777777" w:rsidR="00041061" w:rsidRDefault="006D0D3E">
      <w:pPr>
        <w:ind w:firstLine="422"/>
        <w:jc w:val="left"/>
        <w:rPr>
          <w:rFonts w:ascii="黑体" w:cs="黑体" w:hAnsi="黑体" w:hint="eastAsia"/>
          <w:szCs w:val="21"/>
        </w:rPr>
      </w:pPr>
      <w:r>
        <w:rPr>
          <w:rFonts w:ascii="黑体" w:cs="黑体" w:hAnsi="黑体" w:hint="eastAsia"/>
          <w:b/>
          <w:szCs w:val="21"/>
        </w:rPr>
        <w:t>以上风险仅为列举性质，详见产品风险揭示书。</w:t>
      </w:r>
    </w:p>
    <w:p w14:paraId="6B0EA3FB" w14:textId="77777777" w:rsidR="00041061" w:rsidRDefault="006D0D3E">
      <w:pPr>
        <w:pStyle w:val="aff7"/>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44807367" w14:textId="77777777" w:rsidP="00DD5A41" w:rsidR="00DD5A41" w:rsidRDefault="00DD5A41">
      <w:pPr>
        <w:pStyle w:val="aff7"/>
        <w:rPr>
          <w:rFonts w:hint="eastAsia"/>
        </w:rPr>
      </w:pPr>
      <w:r>
        <w:rPr>
          <w:rFonts w:hint="eastAsia"/>
        </w:rPr>
        <w:t>（三）</w:t>
      </w:r>
      <w:r>
        <w:t>风险管</w:t>
      </w:r>
      <w:r>
        <w:rPr>
          <w:rFonts w:hint="eastAsia"/>
        </w:rPr>
        <w:t>理</w:t>
      </w:r>
      <w:r>
        <w:t>措施</w:t>
      </w:r>
    </w:p>
    <w:p w14:paraId="0ED808F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管理人建立并持续深化全面风险管理体系，完善贯穿产品运作全生命周期的风险管控措施和机制，确保理财业务风险可控，同时建立了完备的产品与客户分级体系，确保产品收益风险特征与客户收益风险偏好的有效匹配，保护投资者权益。</w:t>
      </w:r>
    </w:p>
    <w:p w14:paraId="10DDB232"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市场风险管理方面，产品管理人建立与业务性质、规模、复杂程度及风险特征相匹配的市场风险管理体系，该体系与产品管理人总体发展战略、管理能力、资本实力及可承受风险水平相一致。产品管理人对业务、产品及资产组合的市场风险因素进行识别，分析其风险特征、传导机制及潜在影响，据此制定并执行相应风控措施。产品管理人根据产品特征与业务性质，建立市场风险限额体系，有效控制风险敞口。此外，产品管理人制定市场风险应急处理方案，综合运用对冲、降低风险暴露等手段，定期开展压力测试，确保在市场风险可控的前提下业务安全、稳健运行。</w:t>
      </w:r>
    </w:p>
    <w:p w14:paraId="2409EB4D"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信用风险管理方面，产品管理人建立明确的资产准入标准和程序，对存在信用风险敞口的金融机构及非金融企业实行统一额度管理，确保总体信用风险处于可承受范围之内。产品管理人建立内部信用评级体系，对持仓信用资产的风险状况进行持续跟踪监测，能及时、准确地揭示信用风险，并制定处置方案。同时，产品管理人制定信用风险应急预案，灵活运用风险资产清收处置措施，有效应对信用风险事件，降低资产损失。</w:t>
      </w:r>
    </w:p>
    <w:p w14:paraId="2B94B939"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流动性风险管理方面，产品管理人建立稳健的流动性风险管理体系，确保投资组合资产的变现能力与投资者赎回需求的匹配平衡。产品管理人根据监管政策、销售文件、投资者结构等，制定内部流动性风险管理要求和风险指标监控体系。同时，产品管理人建立以压力测试为核心的全覆盖、多维度的流动性风险监测和预警机制，针对单只开放式理财产品定期开展流动性压力测试，审慎评估各类风险对理财产品流动性的影响，并做好应急管理安排。</w:t>
      </w:r>
    </w:p>
    <w:p w14:paraId="039287CB" w14:textId="77777777" w:rsidP="00DD5A41" w:rsidR="00DD5A41" w:rsidRDefault="00DD5A41">
      <w:pPr>
        <w:jc w:val="left"/>
        <w:rPr>
          <w:rFonts w:ascii="黑体" w:cs="黑体" w:hAnsi="黑体" w:hint="eastAsia"/>
          <w:szCs w:val="21"/>
        </w:rPr>
      </w:pPr>
    </w:p>
    <w:p w14:paraId="2770202F" w14:textId="77777777" w:rsidP="00DD5A41" w:rsidR="00DD5A41" w:rsidRDefault="00DD5A41">
      <w:pPr>
        <w:jc w:val="left"/>
        <w:rPr>
          <w:rFonts w:ascii="黑体" w:cs="黑体" w:hAnsi="黑体" w:hint="eastAsia"/>
          <w:szCs w:val="21"/>
        </w:rPr>
      </w:pPr>
      <w:r>
        <w:rPr>
          <w:rFonts w:ascii="黑体" w:cs="黑体" w:hAnsi="黑体" w:hint="eastAsia"/>
          <w:szCs w:val="21"/>
        </w:rPr>
        <w:t>（四）</w:t>
      </w:r>
      <w:r w:rsidRPr="001C0CDB">
        <w:rPr>
          <w:rFonts w:ascii="黑体" w:cs="黑体" w:hAnsi="黑体"/>
          <w:szCs w:val="21"/>
        </w:rPr>
        <w:t>流动性风险应对措施及其使用情形、处理方法、程序及对投资者的潜在影响</w:t>
      </w:r>
    </w:p>
    <w:p w14:paraId="138F6FB6" w14:textId="77777777" w:rsidP="00DD5A41" w:rsidR="00DD5A41" w:rsidRDefault="00DD5A41">
      <w:pPr>
        <w:ind w:firstLine="422"/>
        <w:jc w:val="left"/>
        <w:rPr>
          <w:rFonts w:ascii="黑体" w:cs="宋体" w:hAnsi="黑体" w:hint="eastAsia"/>
          <w:b/>
          <w:szCs w:val="21"/>
        </w:rPr>
      </w:pPr>
      <w:r w:rsidRPr="00955511">
        <w:rPr>
          <w:rFonts w:ascii="黑体" w:cs="黑体" w:hAnsi="黑体" w:hint="eastAsia"/>
          <w:b/>
          <w:bCs/>
          <w:szCs w:val="21"/>
        </w:rPr>
        <w:t>1、流动性风险应对措施：</w:t>
      </w:r>
      <w:r>
        <w:rPr>
          <w:rFonts w:ascii="黑体" w:cs="宋体" w:hAnsi="黑体" w:hint="eastAsia"/>
          <w:b/>
          <w:szCs w:val="21"/>
        </w:rPr>
        <w:t>管理人可以依照法律法规及产品说明书的约定，综合运用各项理财产品流动性风险应对措施：</w:t>
      </w:r>
    </w:p>
    <w:p w14:paraId="00BD5B48" w14:textId="77777777" w:rsidP="00DD5A41" w:rsidR="00DD5A41" w:rsidRDefault="00DD5A41">
      <w:pPr>
        <w:ind w:firstLine="422"/>
        <w:jc w:val="left"/>
        <w:rPr>
          <w:rFonts w:ascii="黑体" w:cs="宋体" w:hAnsi="黑体" w:hint="eastAsia"/>
          <w:b/>
          <w:szCs w:val="21"/>
        </w:rPr>
      </w:pPr>
      <w:r>
        <w:rPr>
          <w:rFonts w:ascii="黑体" w:cs="宋体" w:hAnsi="黑体" w:hint="eastAsia"/>
          <w:b/>
          <w:szCs w:val="21"/>
        </w:rPr>
        <w:t>认购风险应对措施，包括：设定单一投资者认购金额上限、设定理财产品单日净认购比例上限、拒绝大额认购、暂停认购，以及国家金融监督管理总局规定的其他措施；</w:t>
      </w:r>
    </w:p>
    <w:p w14:paraId="3752FACA" w14:textId="3E57EAC2" w:rsidP="00DD5A41" w:rsidR="00DD5A41" w:rsidRDefault="00DD5A41" w:rsidRPr="00E71DA4">
      <w:pPr>
        <w:ind w:firstLine="422"/>
        <w:jc w:val="left"/>
        <w:rPr>
          <w:rFonts w:ascii="黑体" w:cs="宋体" w:hAnsi="黑体" w:hint="eastAsia"/>
          <w:b/>
          <w:szCs w:val="21"/>
        </w:rPr>
      </w:pPr>
      <w:r w:rsidRPr="00E71DA4">
        <w:rPr>
          <w:rFonts w:ascii="黑体" w:cs="宋体" w:hAnsi="黑体" w:hint="eastAsia"/>
          <w:b/>
          <w:szCs w:val="21"/>
        </w:rPr>
        <w:t>2</w:t>
      </w:r>
      <w:r>
        <w:rPr>
          <w:rFonts w:ascii="黑体" w:cs="宋体" w:hAnsi="黑体" w:hint="eastAsia"/>
          <w:b/>
          <w:szCs w:val="21"/>
        </w:rPr>
        <w:t>、</w:t>
      </w:r>
      <w:r w:rsidRPr="00E71DA4">
        <w:rPr>
          <w:rFonts w:ascii="黑体" w:cs="宋体" w:hAnsi="黑体" w:hint="eastAsia"/>
          <w:b/>
          <w:szCs w:val="21"/>
        </w:rPr>
        <w:t>管理人可拒绝接受或暂停接受投资者的认购申请的情形包括：</w:t>
      </w:r>
    </w:p>
    <w:p w14:paraId="056BEDEE"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（1）不可抗力或国家经济金融政策发生变化等原因导致本产品无法正常运作；</w:t>
      </w:r>
    </w:p>
    <w:p w14:paraId="18936F12" w14:textId="77777777"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（2）证券交易场所或银行间债券市场依法决定停市等情形；</w:t>
      </w:r>
    </w:p>
    <w:p w14:paraId="329AB0CB" w14:textId="5C90B7CA" w:rsidP="00DD5A41"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450668">
        <w:rPr>
          <w:rFonts w:ascii="黑体" w:cs="宋体" w:hAnsi="黑体" w:hint="eastAsia"/>
          <w:bCs/>
          <w:szCs w:val="21"/>
        </w:rPr>
        <w:t>3</w:t>
      </w:r>
      <w:r w:rsidRPr="00955511">
        <w:rPr>
          <w:rFonts w:ascii="黑体" w:cs="宋体" w:hAnsi="黑体" w:hint="eastAsia"/>
          <w:bCs/>
          <w:szCs w:val="21"/>
        </w:rPr>
        <w:t>）当管理人认为某笔认购申请会有损于本产品其他份额持有人利益时，或基于投资运作和风险控制需要，可拒绝该笔认购申请；</w:t>
      </w:r>
    </w:p>
    <w:p w14:paraId="44A14405" w14:textId="3A4446E2" w:rsidP="00450668" w:rsidR="00450668" w:rsidRDefault="00DD5A41">
      <w:pPr>
        <w:ind w:firstLine="422"/>
        <w:jc w:val="left"/>
        <w:rPr>
          <w:rFonts w:ascii="黑体" w:cs="宋体" w:hAnsi="黑体" w:hint="eastAsia"/>
          <w:bCs/>
          <w:szCs w:val="21"/>
        </w:rPr>
      </w:pPr>
      <w:r w:rsidRPr="00955511">
        <w:rPr>
          <w:rFonts w:ascii="黑体" w:cs="宋体" w:hAnsi="黑体" w:hint="eastAsia"/>
          <w:bCs/>
          <w:szCs w:val="21"/>
        </w:rPr>
        <w:lastRenderedPageBreak/>
        <w:t>（</w:t>
      </w:r>
      <w:r w:rsidR="00A51EF2">
        <w:rPr>
          <w:rFonts w:ascii="黑体" w:cs="宋体" w:hAnsi="黑体" w:hint="eastAsia"/>
          <w:bCs/>
          <w:szCs w:val="21"/>
        </w:rPr>
        <w:t>4</w:t>
      </w:r>
      <w:r w:rsidRPr="00955511">
        <w:rPr>
          <w:rFonts w:ascii="黑体" w:cs="宋体" w:hAnsi="黑体" w:hint="eastAsia"/>
          <w:bCs/>
          <w:szCs w:val="21"/>
        </w:rPr>
        <w:t>）当投资者认购金额将导致单笔认购金额上限、单个投资者持仓上限、计划募集金额上限、产品规模上限等各指标超限时，或单笔认购金额不足认购金额起点金额时，管理人有权拒绝投资者的认购申请；</w:t>
      </w:r>
    </w:p>
    <w:p w14:paraId="720F9534" w14:textId="0401A949" w:rsidP="00450668" w:rsidR="00DD5A41" w:rsidRDefault="00DD5A41" w:rsidRPr="00955511">
      <w:pPr>
        <w:ind w:firstLine="422"/>
        <w:jc w:val="left"/>
        <w:rPr>
          <w:rFonts w:ascii="黑体" w:cs="宋体" w:hAnsi="黑体" w:hint="eastAsia"/>
          <w:bCs/>
          <w:szCs w:val="21"/>
        </w:rPr>
      </w:pPr>
      <w:r w:rsidRPr="00955511">
        <w:rPr>
          <w:rFonts w:ascii="黑体" w:cs="宋体" w:hAnsi="黑体" w:hint="eastAsia"/>
          <w:bCs/>
          <w:szCs w:val="21"/>
        </w:rPr>
        <w:t>（</w:t>
      </w:r>
      <w:r w:rsidR="00A51EF2">
        <w:rPr>
          <w:rFonts w:ascii="黑体" w:cs="宋体" w:hAnsi="黑体" w:hint="eastAsia"/>
          <w:bCs/>
          <w:szCs w:val="21"/>
        </w:rPr>
        <w:t>5</w:t>
      </w:r>
      <w:r w:rsidRPr="00955511">
        <w:rPr>
          <w:rFonts w:ascii="黑体" w:cs="宋体" w:hAnsi="黑体" w:hint="eastAsia"/>
          <w:bCs/>
          <w:szCs w:val="21"/>
        </w:rPr>
        <w:t>）法律法规规定或管理人基于审慎考虑认定的其他情形。</w:t>
      </w:r>
    </w:p>
    <w:p w14:paraId="5ADBE619" w14:textId="1A29E5C1" w:rsidP="00DD5A41" w:rsidR="00DD5A41" w:rsidRDefault="00DD5A41" w:rsidRPr="009826C2">
      <w:pPr>
        <w:ind w:firstLine="422"/>
        <w:jc w:val="left"/>
        <w:rPr>
          <w:rFonts w:ascii="黑体" w:cs="宋体" w:hAnsi="黑体" w:hint="eastAsia"/>
          <w:b/>
          <w:szCs w:val="21"/>
        </w:rPr>
      </w:pPr>
      <w:r w:rsidRPr="009826C2">
        <w:rPr>
          <w:rFonts w:ascii="黑体" w:cs="宋体" w:hAnsi="黑体" w:hint="eastAsia"/>
          <w:b/>
          <w:szCs w:val="21"/>
        </w:rPr>
        <w:t>如果投资者的认购申请被拒绝，被拒绝的认购款项将全额退还给投资者，扣款日至认购款项返还日期间是否计付利息以及利息计付规则以销售机构为准。</w:t>
      </w:r>
    </w:p>
    <w:p w14:paraId="1591D129" w14:textId="31C1EA4C" w:rsidP="00DD5A41" w:rsidR="00DD5A41" w:rsidRDefault="00B612FD">
      <w:pPr>
        <w:ind w:firstLine="422"/>
        <w:jc w:val="left"/>
        <w:rPr>
          <w:rFonts w:ascii="黑体" w:cs="宋体" w:hAnsi="黑体" w:hint="eastAsia"/>
          <w:b/>
          <w:szCs w:val="21"/>
        </w:rPr>
      </w:pPr>
      <w:r>
        <w:rPr>
          <w:rFonts w:ascii="黑体" w:cs="宋体" w:hAnsi="黑体" w:hint="eastAsia"/>
          <w:b/>
          <w:szCs w:val="21"/>
        </w:rPr>
        <w:t>3</w:t>
      </w:r>
      <w:r w:rsidR="00DD5A41">
        <w:rPr>
          <w:rFonts w:ascii="黑体" w:cs="宋体" w:hAnsi="黑体" w:hint="eastAsia"/>
          <w:b/>
          <w:szCs w:val="21"/>
        </w:rPr>
        <w:t>、上述理财产品流动性风险应对措施可能导致无法满足投资者对产品的部分或全部认购需求，进而影响投资者的资金流动性安排。当产品管理人根据产品说明书中与投资者事先约定的相关措施的处理方法和程序接受投资者的认购申请时，可能会造成理财产品投资收益摊薄等潜在影响。</w:t>
      </w:r>
    </w:p>
    <w:p w14:paraId="29D7F4CD" w14:textId="77777777" w:rsidR="00041061" w:rsidRDefault="00041061" w:rsidRPr="00DD5A41">
      <w:pPr>
        <w:jc w:val="left"/>
        <w:rPr>
          <w:rFonts w:ascii="黑体" w:cs="黑体" w:hAnsi="黑体" w:hint="eastAsia"/>
          <w:szCs w:val="21"/>
        </w:rPr>
      </w:pPr>
    </w:p>
    <w:p w14:paraId="4B1FCCE1" w14:textId="77777777" w:rsidR="00041061" w:rsidRDefault="006D0D3E">
      <w:pPr>
        <w:jc w:val="left"/>
        <w:rPr>
          <w:rFonts w:ascii="黑体" w:cs="黑体" w:hAnsi="黑体" w:hint="eastAsia"/>
          <w:b/>
          <w:szCs w:val="21"/>
        </w:rPr>
      </w:pPr>
      <w:r>
        <w:rPr>
          <w:rFonts w:ascii="黑体" w:cs="黑体" w:hAnsi="黑体" w:hint="eastAsia"/>
          <w:b/>
          <w:szCs w:val="21"/>
        </w:rPr>
        <w:t>四、产品交易相关规则</w:t>
      </w:r>
    </w:p>
    <w:p w14:paraId="045F9D05" w14:textId="77777777" w:rsidR="00041061" w:rsidRDefault="006D0D3E">
      <w:pPr>
        <w:jc w:val="left"/>
        <w:rPr>
          <w:rFonts w:ascii="黑体" w:cs="宋体" w:hAnsi="黑体" w:hint="eastAsia"/>
          <w:szCs w:val="21"/>
        </w:rPr>
      </w:pPr>
      <w:r>
        <w:rPr>
          <w:rFonts w:ascii="黑体" w:cs="宋体" w:hAnsi="黑体" w:hint="eastAsia"/>
          <w:szCs w:val="21"/>
        </w:rPr>
        <w:t>（一）认购相关规则</w:t>
      </w:r>
    </w:p>
    <w:p w14:paraId="22EE6D37" w14:textId="397EFDE1" w:rsidR="00041061" w:rsidRDefault="006D0D3E">
      <w:pPr>
        <w:ind w:firstLine="420"/>
        <w:jc w:val="left"/>
        <w:rPr>
          <w:rFonts w:ascii="黑体" w:cs="黑体" w:hAnsi="黑体" w:hint="eastAsia"/>
          <w:b/>
          <w:szCs w:val="21"/>
        </w:rPr>
      </w:pPr>
      <w:r>
        <w:rPr>
          <w:rFonts w:ascii="黑体" w:cs="黑体" w:hAnsi="黑体" w:hint="eastAsia"/>
          <w:szCs w:val="21"/>
        </w:rPr>
        <w:t>1、产品募集期内，投资者可以对本产品进行认购、追加、撤单，销售机构有权在投资者指定账户中对相应资金进行冻结或通过相关支付渠道</w:t>
      </w:r>
      <w:r>
        <w:rPr>
          <w:rFonts w:ascii="黑体" w:cs="黑体" w:hAnsi="黑体"/>
          <w:szCs w:val="21"/>
        </w:rPr>
        <w:t>(如有)划转，具体以销售机构实际  处理为准，产品管理人将在产品成立日对募集期的认购及追加申请进行确认和划款。</w:t>
      </w:r>
      <w:r w:rsidR="00AA33D1" w:rsidRPr="006532C4">
        <w:rPr>
          <w:rFonts w:ascii="黑体" w:cs="黑体" w:hAnsi="黑体" w:hint="eastAsia"/>
          <w:b/>
          <w:bCs/>
          <w:szCs w:val="21"/>
        </w:rPr>
        <w:t>投资者通过宁银理财</w:t>
      </w:r>
      <w:r w:rsidR="00837DC3">
        <w:rPr>
          <w:rFonts w:ascii="黑体" w:cs="黑体" w:hAnsi="黑体" w:hint="eastAsia"/>
          <w:b/>
          <w:bCs/>
          <w:szCs w:val="21"/>
        </w:rPr>
        <w:t>直销渠道</w:t>
      </w:r>
      <w:r w:rsidR="00AA33D1" w:rsidRPr="006532C4">
        <w:rPr>
          <w:rFonts w:ascii="黑体" w:cs="黑体" w:hAnsi="黑体" w:hint="eastAsia"/>
          <w:b/>
          <w:bCs/>
          <w:szCs w:val="21"/>
        </w:rPr>
        <w:t>进行认购的，募集期内产生的利息</w:t>
      </w:r>
      <w:r w:rsidR="00C64DF8" w:rsidRPr="001B68DC">
        <w:rPr>
          <w:rFonts w:ascii="黑体" w:cs="黑体" w:hAnsi="黑体"/>
          <w:b/>
          <w:bCs/>
          <w:szCs w:val="21"/>
        </w:rPr>
        <w:t>（如有）</w:t>
      </w:r>
      <w:r w:rsidR="00AA33D1" w:rsidRPr="006532C4">
        <w:rPr>
          <w:rFonts w:ascii="黑体" w:cs="黑体" w:hAnsi="黑体" w:hint="eastAsia"/>
          <w:b/>
          <w:bCs/>
          <w:szCs w:val="21"/>
        </w:rPr>
        <w:t>归投资者所有。投资者通过代理销售机构进行认购的，</w:t>
      </w:r>
      <w:r>
        <w:rPr>
          <w:rFonts w:ascii="黑体" w:cs="黑体" w:hAnsi="黑体"/>
          <w:b/>
          <w:szCs w:val="21"/>
        </w:rPr>
        <w:t>募集期内管理人不向投资者认购款项计付利息，销售机构</w:t>
      </w:r>
      <w:r w:rsidR="00AA33D1" w:rsidRPr="006532C4">
        <w:rPr>
          <w:rFonts w:ascii="黑体" w:cs="黑体" w:hAnsi="黑体" w:hint="eastAsia"/>
          <w:b/>
          <w:bCs/>
          <w:szCs w:val="21"/>
        </w:rPr>
        <w:t>计付利息的，该利息部分不作为认购资金扣收，销售机构</w:t>
      </w:r>
      <w:r>
        <w:rPr>
          <w:rFonts w:ascii="黑体" w:cs="黑体" w:hAnsi="黑体"/>
          <w:b/>
          <w:szCs w:val="21"/>
        </w:rPr>
        <w:t>是否计付利息以销售机构为准。</w:t>
      </w:r>
    </w:p>
    <w:p w14:paraId="498B5802" w14:textId="77777777" w:rsidR="00041061" w:rsidRDefault="006D0D3E">
      <w:pPr>
        <w:ind w:firstLine="420"/>
        <w:jc w:val="left"/>
        <w:rPr>
          <w:rFonts w:ascii="黑体" w:cs="黑体" w:hAnsi="黑体" w:hint="eastAsia"/>
          <w:b/>
          <w:szCs w:val="21"/>
        </w:rPr>
      </w:pPr>
      <w:r>
        <w:rPr>
          <w:rFonts w:ascii="黑体" w:cs="黑体" w:hAnsi="黑体" w:hint="eastAsia"/>
          <w:b/>
          <w:szCs w:val="21"/>
        </w:rPr>
        <w:t>产品募集期单位净值为1元，募集期认购价格采用募集期单位净值。</w:t>
      </w:r>
    </w:p>
    <w:p w14:paraId="3690DD5E"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、产品采用金额认购规则</w:t>
      </w:r>
      <w:r>
        <w:rPr>
          <w:rFonts w:ascii="黑体" w:cs="黑体" w:hAnsi="黑体"/>
          <w:szCs w:val="21"/>
        </w:rPr>
        <w:t>，</w:t>
      </w:r>
      <w:r>
        <w:rPr>
          <w:rFonts w:ascii="黑体" w:cs="黑体" w:hAnsi="黑体" w:hint="eastAsia"/>
          <w:szCs w:val="21"/>
        </w:rPr>
        <w:t>即认购以金额确定投资者</w:t>
      </w:r>
      <w:r>
        <w:rPr>
          <w:rFonts w:ascii="黑体" w:cs="黑体" w:hAnsi="黑体"/>
          <w:szCs w:val="21"/>
        </w:rPr>
        <w:t>对应的</w:t>
      </w:r>
      <w:r>
        <w:rPr>
          <w:rFonts w:ascii="黑体" w:cs="黑体" w:hAnsi="黑体" w:hint="eastAsia"/>
          <w:szCs w:val="21"/>
        </w:rPr>
        <w:t>产品份额</w:t>
      </w:r>
      <w:r>
        <w:rPr>
          <w:rFonts w:ascii="黑体" w:cs="黑体" w:hAnsi="黑体"/>
          <w:szCs w:val="21"/>
        </w:rPr>
        <w:t>。</w:t>
      </w:r>
    </w:p>
    <w:p w14:paraId="55241E2C" w14:textId="77777777" w:rsidR="00041061" w:rsidRDefault="006D0D3E">
      <w:pPr>
        <w:ind w:firstLine="420"/>
        <w:jc w:val="left"/>
        <w:rPr>
          <w:rFonts w:ascii="黑体" w:cs="黑体" w:hAnsi="黑体" w:hint="eastAsia"/>
          <w:b/>
          <w:szCs w:val="21"/>
        </w:rPr>
      </w:pPr>
      <w:r>
        <w:rPr>
          <w:rFonts w:ascii="黑体" w:cs="黑体" w:hAnsi="黑体"/>
          <w:b/>
          <w:szCs w:val="21"/>
        </w:rPr>
        <w:t>3</w:t>
      </w:r>
      <w:r>
        <w:rPr>
          <w:rFonts w:ascii="黑体" w:cs="黑体" w:hAnsi="黑体" w:hint="eastAsia"/>
          <w:b/>
          <w:szCs w:val="21"/>
        </w:rPr>
        <w:t>、产品募集期内，若出现以下情况，产品管理人有权拒绝或暂停接受投资者的认购或追加认购申请：</w:t>
      </w:r>
    </w:p>
    <w:p w14:paraId="4ABBDE70" w14:textId="77777777" w:rsidR="00041061" w:rsidRDefault="006D0D3E">
      <w:pPr>
        <w:ind w:firstLine="420"/>
        <w:jc w:val="left"/>
        <w:rPr>
          <w:rFonts w:ascii="黑体" w:cs="黑体" w:hAnsi="黑体" w:hint="eastAsia"/>
          <w:szCs w:val="21"/>
        </w:rPr>
      </w:pPr>
      <w:r>
        <w:rPr>
          <w:rFonts w:ascii="黑体" w:cs="黑体" w:hAnsi="黑体" w:hint="eastAsia"/>
          <w:szCs w:val="21"/>
        </w:rPr>
        <w:t>（1）因不可抗力导致产品管理机构无法接受投资者认购或追加认购申请；</w:t>
      </w:r>
    </w:p>
    <w:p w14:paraId="32ED6232" w14:textId="77777777" w:rsidR="00041061" w:rsidRDefault="006D0D3E">
      <w:pPr>
        <w:ind w:firstLine="420"/>
        <w:jc w:val="left"/>
        <w:rPr>
          <w:rFonts w:ascii="黑体" w:cs="黑体" w:hAnsi="黑体" w:hint="eastAsia"/>
          <w:szCs w:val="21"/>
        </w:rPr>
      </w:pPr>
      <w:r>
        <w:rPr>
          <w:rFonts w:ascii="黑体" w:cs="黑体" w:hAnsi="黑体" w:hint="eastAsia"/>
          <w:szCs w:val="21"/>
        </w:rPr>
        <w:t>（2）法律、法规或相关监管认定的其他情形</w:t>
      </w:r>
      <w:r>
        <w:rPr>
          <w:rFonts w:ascii="黑体" w:cs="宋体" w:hAnsi="黑体" w:hint="eastAsia"/>
          <w:szCs w:val="21"/>
        </w:rPr>
        <w:t>，以及本说明书约定的其他情形</w:t>
      </w:r>
      <w:r>
        <w:rPr>
          <w:rFonts w:ascii="黑体" w:cs="黑体" w:hAnsi="黑体" w:hint="eastAsia"/>
          <w:szCs w:val="21"/>
        </w:rPr>
        <w:t>。</w:t>
      </w:r>
    </w:p>
    <w:p w14:paraId="49ED0052" w14:textId="77777777" w:rsidR="00041061" w:rsidRDefault="006D0D3E">
      <w:pPr>
        <w:pStyle w:val="aff7"/>
        <w:ind w:firstLine="420"/>
        <w:rPr>
          <w:rFonts w:cs="黑体" w:hint="eastAsia"/>
        </w:rPr>
      </w:pPr>
      <w:r>
        <w:t>4、其他：无</w:t>
      </w:r>
    </w:p>
    <w:p w14:paraId="765E8181" w14:textId="77777777" w:rsidR="00041061" w:rsidRDefault="006D0D3E">
      <w:pPr>
        <w:jc w:val="left"/>
        <w:rPr>
          <w:rFonts w:ascii="黑体" w:cs="黑体" w:hAnsi="黑体" w:hint="eastAsia"/>
          <w:szCs w:val="21"/>
        </w:rPr>
      </w:pPr>
      <w:r>
        <w:rPr>
          <w:rFonts w:ascii="黑体" w:cs="黑体" w:hAnsi="黑体" w:hint="eastAsia"/>
          <w:szCs w:val="21"/>
        </w:rPr>
        <w:t>（二</w:t>
      </w:r>
      <w:r>
        <w:rPr>
          <w:rFonts w:ascii="黑体" w:cs="黑体" w:hAnsi="黑体"/>
          <w:szCs w:val="21"/>
        </w:rPr>
        <w:t>）</w:t>
      </w:r>
      <w:r>
        <w:rPr>
          <w:rFonts w:ascii="黑体" w:cs="黑体" w:hAnsi="黑体" w:hint="eastAsia"/>
          <w:szCs w:val="21"/>
        </w:rPr>
        <w:t>申购</w:t>
      </w:r>
      <w:r>
        <w:rPr>
          <w:rFonts w:ascii="黑体" w:cs="黑体" w:hAnsi="黑体"/>
          <w:szCs w:val="21"/>
        </w:rPr>
        <w:t>和赎回规则</w:t>
      </w:r>
    </w:p>
    <w:p w14:paraId="3258A476" w14:textId="77777777" w:rsidR="00041061" w:rsidRDefault="006D0D3E">
      <w:pPr>
        <w:ind w:firstLine="420"/>
        <w:jc w:val="left"/>
        <w:rPr>
          <w:rFonts w:ascii="黑体" w:cs="黑体" w:hAnsi="黑体" w:hint="eastAsia"/>
          <w:szCs w:val="21"/>
        </w:rPr>
      </w:pPr>
      <w:r>
        <w:rPr>
          <w:rFonts w:ascii="黑体" w:cs="黑体" w:hAnsi="黑体" w:hint="eastAsia"/>
          <w:szCs w:val="21"/>
        </w:rPr>
        <w:t>本产品</w:t>
      </w:r>
      <w:r>
        <w:rPr>
          <w:rFonts w:ascii="黑体" w:cs="黑体" w:hAnsi="黑体"/>
          <w:szCs w:val="21"/>
        </w:rPr>
        <w:t>封闭</w:t>
      </w:r>
      <w:r>
        <w:rPr>
          <w:rFonts w:ascii="黑体" w:cs="黑体" w:hAnsi="黑体" w:hint="eastAsia"/>
          <w:szCs w:val="21"/>
        </w:rPr>
        <w:t>运行，</w:t>
      </w:r>
      <w:r>
        <w:rPr>
          <w:rFonts w:ascii="黑体" w:cs="黑体" w:hAnsi="黑体"/>
          <w:szCs w:val="21"/>
        </w:rPr>
        <w:t>存续</w:t>
      </w:r>
      <w:r>
        <w:rPr>
          <w:rFonts w:ascii="黑体" w:cs="黑体" w:hAnsi="黑体" w:hint="eastAsia"/>
          <w:szCs w:val="21"/>
        </w:rPr>
        <w:t>期不开放申购、赎回。</w:t>
      </w:r>
    </w:p>
    <w:p w14:paraId="0E1F96B4" w14:textId="77777777" w:rsidR="00041061" w:rsidRDefault="006D0D3E">
      <w:pPr>
        <w:pStyle w:val="aff7"/>
        <w:rPr>
          <w:rFonts w:hint="eastAsia"/>
        </w:rPr>
      </w:pPr>
      <w:r>
        <w:rPr>
          <w:rFonts w:hint="eastAsia"/>
        </w:rPr>
        <w:t>（三</w:t>
      </w:r>
      <w:r>
        <w:t>）产品净值公布方式</w:t>
      </w:r>
    </w:p>
    <w:p w14:paraId="716A91DA" w14:textId="3181414B" w:rsidR="00041061" w:rsidRDefault="006D0D3E">
      <w:pPr>
        <w:pStyle w:val="aff7"/>
        <w:ind w:firstLine="420"/>
        <w:rPr>
          <w:rFonts w:hint="eastAsia"/>
        </w:rPr>
      </w:pPr>
      <w:r>
        <w:t>产品净值的计算按照四舍五入原则，保留至小数点后6位。单位净值为扣除固定管理费、托管费、浮动管理费、销售服务费、信息技术服务费</w:t>
      </w:r>
      <w:r w:rsidR="00DD5A41">
        <w:rPr>
          <w:rFonts w:hint="eastAsia"/>
        </w:rPr>
        <w:t/>
      </w:r>
      <w:r>
        <w:t>、产品运作和清算中产生的其他费用、产品运营中发生的增值税及附加税费等费用后的单位产品净值。</w:t>
      </w:r>
    </w:p>
    <w:p w14:paraId="540611FE" w14:textId="77777777" w:rsidR="00041061" w:rsidRDefault="006D0D3E">
      <w:pPr>
        <w:pStyle w:val="aff7"/>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14:textId="77777777" w:rsidR="00041061" w:rsidRDefault="006D0D3E">
      <w:pPr>
        <w:jc w:val="left"/>
        <w:rPr>
          <w:rFonts w:ascii="黑体" w:cs="黑体" w:hAnsi="黑体" w:hint="eastAsia"/>
        </w:rPr>
      </w:pPr>
      <w:r>
        <w:rPr>
          <w:rFonts w:ascii="黑体" w:cs="宋体" w:hAnsi="黑体" w:hint="eastAsia"/>
          <w:szCs w:val="21"/>
        </w:rPr>
        <w:t>（四）</w:t>
      </w:r>
      <w:r>
        <w:rPr>
          <w:rFonts w:ascii="黑体" w:cs="黑体" w:hAnsi="黑体" w:hint="eastAsia"/>
        </w:rPr>
        <w:t>投资者持有份额及金额计算规则</w:t>
      </w:r>
    </w:p>
    <w:p w14:paraId="6EE59167" w14:textId="77777777" w:rsidR="00041061" w:rsidRDefault="006D0D3E">
      <w:pPr>
        <w:ind w:firstLine="420"/>
        <w:jc w:val="left"/>
        <w:rPr>
          <w:rFonts w:ascii="黑体" w:cs="黑体" w:hAnsi="黑体" w:hint="eastAsia"/>
        </w:rPr>
      </w:pPr>
      <w:r>
        <w:rPr>
          <w:rFonts w:ascii="黑体" w:cs="黑体" w:hAnsi="黑体" w:hint="eastAsia"/>
        </w:rPr>
        <w:t>1、计算规则（不考虑手续费）</w:t>
      </w:r>
    </w:p>
    <w:p w14:paraId="3607C087" w14:textId="77777777" w:rsidR="00041061" w:rsidRDefault="006D0D3E">
      <w:pPr>
        <w:ind w:firstLine="420"/>
        <w:jc w:val="left"/>
        <w:rPr>
          <w:rFonts w:ascii="黑体" w:cs="黑体" w:hAnsi="黑体" w:hint="eastAsia"/>
          <w:b/>
        </w:rPr>
      </w:pPr>
      <w:r>
        <w:rPr>
          <w:rFonts w:ascii="黑体" w:cs="黑体" w:hAnsi="黑体" w:hint="eastAsia"/>
          <w:b/>
        </w:rPr>
        <w:t>认购确认份额 = （认购金额-认购费用（如有）） / 认购价格</w:t>
      </w:r>
    </w:p>
    <w:p w14:paraId="5D20F116" w14:textId="0D02219A" w:rsidR="00041061" w:rsidRDefault="006D0D3E">
      <w:pPr>
        <w:ind w:firstLine="420"/>
        <w:jc w:val="left"/>
        <w:rPr>
          <w:rFonts w:ascii="黑体" w:cs="黑体" w:hAnsi="黑体" w:hint="eastAsia"/>
          <w:b/>
        </w:rPr>
      </w:pPr>
      <w:r>
        <w:rPr>
          <w:rFonts w:ascii="黑体" w:cs="黑体" w:hAnsi="黑体" w:hint="eastAsia"/>
          <w:b/>
        </w:rPr>
        <w:t xml:space="preserve">到期兑付金额 = 到期份额 * </w:t>
      </w:r>
      <w:r w:rsidR="00AA33D1">
        <w:rPr>
          <w:rFonts w:ascii="黑体" w:cs="黑体" w:hAnsi="黑体" w:hint="eastAsia"/>
          <w:b/>
        </w:rPr>
        <w:t>兑付日前一自然日的产品净值</w:t>
      </w:r>
    </w:p>
    <w:p w14:paraId="308A4A06" w14:textId="77777777" w:rsidR="00041061" w:rsidRDefault="006D0D3E">
      <w:pPr>
        <w:ind w:firstLine="420"/>
        <w:jc w:val="left"/>
        <w:rPr>
          <w:rFonts w:ascii="黑体" w:cs="黑体" w:hAnsi="黑体" w:hint="eastAsia"/>
        </w:rPr>
      </w:pPr>
      <w:r>
        <w:rPr>
          <w:rFonts w:ascii="黑体" w:cs="黑体" w:hAnsi="黑体" w:hint="eastAsia"/>
        </w:rPr>
        <w:t>计算得出的金额采取四舍五入后精确到小数点后2位或采取截位规则，计算得出的份额采取截位规则取小数点后2位。具体以产品管理人实际确认为准。</w:t>
      </w:r>
    </w:p>
    <w:p w14:paraId="14D25EC9" w14:textId="77777777" w:rsidR="00041061" w:rsidRDefault="006D0D3E">
      <w:pPr>
        <w:ind w:firstLine="420"/>
        <w:jc w:val="left"/>
        <w:rPr>
          <w:rFonts w:ascii="黑体" w:cs="黑体" w:hAnsi="黑体" w:hint="eastAsia"/>
          <w:szCs w:val="21"/>
        </w:rPr>
      </w:pPr>
      <w:r>
        <w:rPr>
          <w:rFonts w:ascii="黑体" w:cs="黑体" w:hAnsi="黑体" w:hint="eastAsia"/>
          <w:szCs w:val="21"/>
        </w:rPr>
        <w:t>2、计算示例</w:t>
      </w:r>
    </w:p>
    <w:p w14:paraId="10B8CF8E" w14:textId="77777777" w:rsidR="00041061" w:rsidRDefault="006D0D3E">
      <w:pPr>
        <w:ind w:firstLine="420"/>
        <w:jc w:val="left"/>
        <w:rPr>
          <w:rFonts w:ascii="黑体" w:cs="黑体" w:hAnsi="黑体" w:hint="eastAsia"/>
          <w:szCs w:val="21"/>
        </w:rPr>
      </w:pPr>
      <w:r>
        <w:rPr>
          <w:rFonts w:ascii="黑体" w:cs="黑体" w:hAnsi="黑体" w:hint="eastAsia"/>
          <w:szCs w:val="21"/>
        </w:rPr>
        <w:t>情景1：假设投资者于募集期内认购本产品，投资本金为100,000.00 元人民币，购买价格为1元/份，则投资者认购确认份额为：</w:t>
      </w:r>
    </w:p>
    <w:p w14:paraId="1DC4A136" w14:textId="77777777" w:rsidR="00041061" w:rsidRDefault="006D0D3E">
      <w:pPr>
        <w:ind w:firstLine="420"/>
        <w:jc w:val="left"/>
        <w:rPr>
          <w:rFonts w:ascii="黑体" w:cs="黑体" w:hAnsi="黑体" w:hint="eastAsia"/>
          <w:szCs w:val="21"/>
        </w:rPr>
      </w:pPr>
      <w:r>
        <w:rPr>
          <w:rFonts w:ascii="黑体" w:cs="黑体" w:hAnsi="黑体" w:hint="eastAsia"/>
          <w:szCs w:val="21"/>
        </w:rPr>
        <w:t>认购确认份额=100,000.00÷1=100,000.00（份）</w:t>
      </w:r>
    </w:p>
    <w:p w14:paraId="42C38D76" w14:textId="25CFB789" w:rsidR="00041061" w:rsidRDefault="006D0D3E">
      <w:pPr>
        <w:ind w:firstLine="420"/>
        <w:jc w:val="left"/>
        <w:rPr>
          <w:rFonts w:ascii="黑体" w:cs="黑体" w:hAnsi="黑体" w:hint="eastAsia"/>
          <w:szCs w:val="21"/>
        </w:rPr>
      </w:pPr>
      <w:r>
        <w:rPr>
          <w:rFonts w:ascii="黑体" w:cs="黑体" w:hAnsi="黑体" w:hint="eastAsia"/>
          <w:szCs w:val="21"/>
        </w:rPr>
        <w:t>情景2：假设理财产品</w:t>
      </w:r>
      <w:r w:rsidR="00AA33D1">
        <w:rPr>
          <w:rFonts w:ascii="黑体" w:cs="黑体" w:hAnsi="黑体" w:hint="eastAsia"/>
          <w:szCs w:val="21"/>
        </w:rPr>
        <w:t>兑付日前一自然日</w:t>
      </w:r>
      <w:r>
        <w:rPr>
          <w:rFonts w:ascii="黑体" w:cs="黑体" w:hAnsi="黑体" w:hint="eastAsia"/>
          <w:szCs w:val="21"/>
        </w:rPr>
        <w:t>时，产品单位净值为1.12元/份，投资者持有份额为100,000.00份，若赎回确认金额采取四舍五入后精确到小数点后2位则理财产品到期后兑付投资者的到期兑付金额为：</w:t>
      </w:r>
    </w:p>
    <w:p w14:paraId="22BECD39" w14:textId="77777777" w:rsidR="00041061" w:rsidRDefault="006D0D3E">
      <w:pPr>
        <w:ind w:firstLine="420"/>
        <w:jc w:val="left"/>
        <w:rPr>
          <w:rFonts w:ascii="黑体" w:cs="黑体" w:hAnsi="黑体" w:hint="eastAsia"/>
          <w:szCs w:val="21"/>
        </w:rPr>
      </w:pPr>
      <w:r>
        <w:rPr>
          <w:rFonts w:ascii="黑体" w:cs="黑体" w:hAnsi="黑体" w:hint="eastAsia"/>
          <w:szCs w:val="21"/>
        </w:rPr>
        <w:t>到期兑付金额=100,000.00份×1.12 =112,000.00（元）</w:t>
      </w:r>
    </w:p>
    <w:p w14:paraId="7232B644" w14:textId="77777777" w:rsidR="00041061" w:rsidRDefault="006D0D3E">
      <w:pPr>
        <w:ind w:firstLine="422"/>
        <w:jc w:val="left"/>
        <w:rPr>
          <w:rFonts w:ascii="黑体" w:cs="黑体" w:hAnsi="黑体" w:hint="eastAsia"/>
          <w:b/>
          <w:szCs w:val="21"/>
        </w:rPr>
      </w:pPr>
      <w:r>
        <w:rPr>
          <w:rFonts w:ascii="黑体" w:cs="黑体" w:hAnsi="黑体" w:hint="eastAsia"/>
          <w:b/>
          <w:szCs w:val="21"/>
        </w:rPr>
        <w:t>测算收益不等于实际收益，投资须谨慎。</w:t>
      </w:r>
    </w:p>
    <w:p w14:paraId="618A34B2" w14:textId="24749BCC" w:rsidP="00DD5A41" w:rsidR="00DD5A41" w:rsidRDefault="006D0D3E">
      <w:pPr>
        <w:jc w:val="left"/>
        <w:rPr>
          <w:rFonts w:ascii="黑体" w:cs="黑体" w:hAnsi="黑体" w:hint="eastAsia"/>
          <w:szCs w:val="21"/>
        </w:rPr>
      </w:pPr>
      <w:r>
        <w:rPr>
          <w:rFonts w:ascii="黑体" w:cs="黑体" w:hAnsi="黑体" w:hint="eastAsia"/>
          <w:szCs w:val="21"/>
        </w:rPr>
        <w:t>（五</w:t>
      </w:r>
      <w:r>
        <w:rPr>
          <w:rFonts w:ascii="黑体" w:cs="黑体" w:hAnsi="黑体"/>
          <w:szCs w:val="21"/>
        </w:rPr>
        <w:t>）</w:t>
      </w:r>
      <w:r w:rsidR="00DD5A41">
        <w:rPr>
          <w:rFonts w:ascii="黑体" w:cs="黑体" w:hAnsi="黑体" w:hint="eastAsia"/>
          <w:szCs w:val="21"/>
        </w:rPr>
        <w:t>收益分配事项</w:t>
      </w:r>
    </w:p>
    <w:p w14:paraId="0E148495" w14:textId="77777777" w:rsidP="00DD5A41" w:rsidR="00DD5A41" w:rsidRDefault="00DD5A41">
      <w:pPr>
        <w:ind w:firstLine="420"/>
        <w:jc w:val="left"/>
        <w:rPr>
          <w:rFonts w:ascii="黑体" w:cs="黑体" w:hAnsi="黑体" w:hint="eastAsia"/>
          <w:szCs w:val="21"/>
        </w:rPr>
      </w:pPr>
      <w:r>
        <w:rPr>
          <w:rFonts w:ascii="黑体" w:cs="黑体" w:hAnsi="黑体" w:hint="eastAsia"/>
          <w:szCs w:val="21"/>
        </w:rPr>
        <w:lastRenderedPageBreak/>
        <w:t>1、收益的构成</w:t>
      </w:r>
    </w:p>
    <w:p w14:paraId="442EFB88"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收益包括</w:t>
      </w:r>
      <w:r>
        <w:rPr>
          <w:rFonts w:ascii="黑体" w:cs="黑体" w:hAnsi="黑体" w:hint="eastAsia"/>
          <w:szCs w:val="21"/>
        </w:rPr>
        <w:t>：产品</w:t>
      </w:r>
      <w:r>
        <w:rPr>
          <w:rFonts w:ascii="黑体" w:cs="黑体" w:hAnsi="黑体"/>
          <w:szCs w:val="21"/>
        </w:rPr>
        <w:t>投资所得红利、股息、债券利息、买卖差价、银行存款利息以及其他收入。</w:t>
      </w:r>
    </w:p>
    <w:p w14:paraId="59745B1C"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2、收益分配原则：</w:t>
      </w:r>
    </w:p>
    <w:p w14:paraId="5FD81EA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（1）本产品</w:t>
      </w:r>
      <w:r>
        <w:rPr>
          <w:rFonts w:ascii="黑体" w:cs="黑体" w:hAnsi="黑体"/>
          <w:szCs w:val="21"/>
        </w:rPr>
        <w:t>每份产品份额</w:t>
      </w:r>
      <w:r>
        <w:rPr>
          <w:rFonts w:ascii="黑体" w:cs="黑体" w:hAnsi="黑体" w:hint="eastAsia"/>
          <w:szCs w:val="21"/>
        </w:rPr>
        <w:t>享有同等分配权；</w:t>
      </w:r>
    </w:p>
    <w:p w14:paraId="011DED6E" w14:textId="77777777" w:rsidP="00DD5A41" w:rsidR="00DD5A41" w:rsidRDefault="00DD5A41">
      <w:pPr>
        <w:ind w:firstLine="420"/>
        <w:jc w:val="left"/>
        <w:rPr>
          <w:rFonts w:ascii="黑体" w:cs="黑体" w:hAnsi="黑体" w:hint="eastAsia"/>
          <w:szCs w:val="21"/>
        </w:rPr>
      </w:pPr>
      <w:r w:rsidRPr="00076FBB">
        <w:rPr>
          <w:rFonts w:ascii="黑体" w:cs="黑体" w:hAnsi="黑体" w:hint="eastAsia"/>
          <w:szCs w:val="21"/>
        </w:rPr>
        <w:t>（2）产品收益分配后份额单位净值</w:t>
      </w:r>
      <w:r w:rsidRPr="00955511">
        <w:rPr>
          <w:rFonts w:ascii="黑体" w:cs="黑体" w:hAnsi="黑体" w:hint="eastAsia"/>
          <w:szCs w:val="21"/>
        </w:rPr>
        <w:t>原则上</w:t>
      </w:r>
      <w:r w:rsidRPr="00076FBB">
        <w:rPr>
          <w:rFonts w:ascii="黑体" w:cs="黑体" w:hAnsi="黑体" w:hint="eastAsia"/>
          <w:szCs w:val="21"/>
        </w:rPr>
        <w:t>不低于1；</w:t>
      </w:r>
    </w:p>
    <w:p w14:paraId="742A3DDE" w14:textId="77777777" w:rsidP="00DD5A41" w:rsidR="00DD5A41" w:rsidRDefault="00DD5A41">
      <w:pPr>
        <w:ind w:firstLine="420"/>
        <w:jc w:val="left"/>
        <w:rPr>
          <w:rFonts w:ascii="黑体" w:cs="黑体" w:hAnsi="黑体" w:hint="eastAsia"/>
          <w:szCs w:val="21"/>
        </w:rPr>
      </w:pPr>
      <w:r>
        <w:rPr>
          <w:rFonts w:ascii="黑体" w:cs="黑体" w:hAnsi="黑体" w:hint="eastAsia"/>
          <w:szCs w:val="21"/>
        </w:rPr>
        <w:t>（3）</w:t>
      </w:r>
      <w:r>
        <w:rPr>
          <w:rFonts w:ascii="黑体" w:cs="黑体" w:hAnsi="黑体"/>
          <w:szCs w:val="21"/>
        </w:rPr>
        <w:t>法律、法规或监管机构另有规定的从其规定</w:t>
      </w:r>
      <w:r>
        <w:rPr>
          <w:rFonts w:ascii="黑体" w:cs="黑体" w:hAnsi="黑体" w:hint="eastAsia"/>
          <w:szCs w:val="21"/>
        </w:rPr>
        <w:t>。</w:t>
      </w:r>
    </w:p>
    <w:p w14:paraId="51721513" w14:textId="57DE7CE6" w:rsidP="008F191A" w:rsidR="00041061" w:rsidRDefault="00DD5A41">
      <w:pPr>
        <w:ind w:firstLine="420"/>
        <w:jc w:val="left"/>
        <w:rPr>
          <w:rFonts w:ascii="黑体" w:cs="黑体" w:hAnsi="黑体" w:hint="eastAsia"/>
          <w:szCs w:val="21"/>
        </w:rPr>
      </w:pPr>
      <w:r>
        <w:rPr>
          <w:rFonts w:ascii="黑体" w:cs="黑体" w:hAnsi="黑体" w:hint="eastAsia"/>
          <w:szCs w:val="21"/>
        </w:rPr>
        <w:t>3、收益分配方案确认及披露</w:t>
      </w:r>
    </w:p>
    <w:p w14:paraId="07C265AB" w14:textId="77777777" w:rsidR="00041061" w:rsidRDefault="006D0D3E">
      <w:pPr>
        <w:ind w:firstLine="420"/>
        <w:rPr>
          <w:rFonts w:ascii="黑体" w:cs="黑体" w:hAnsi="黑体" w:hint="eastAsia"/>
          <w:szCs w:val="21"/>
        </w:rPr>
      </w:pPr>
      <w:r>
        <w:rPr>
          <w:rFonts w:ascii="黑体" w:cs="黑体" w:hAnsi="黑体" w:hint="eastAsia"/>
          <w:szCs w:val="21"/>
        </w:rPr>
        <w:t>（1）本产品存续期间不分红。</w:t>
      </w:r>
    </w:p>
    <w:p w14:paraId="06DBBC8E" w14:textId="46F4E1B0" w:rsidR="00041061" w:rsidRDefault="00DD5A41">
      <w:pPr>
        <w:ind w:firstLine="420"/>
        <w:jc w:val="left"/>
        <w:rPr>
          <w:rFonts w:ascii="黑体" w:cs="黑体" w:hAnsi="黑体" w:hint="eastAsia"/>
          <w:szCs w:val="21"/>
        </w:rPr>
      </w:pPr>
      <w:bookmarkStart w:id="1" w:name="_Hlk33197191"/>
      <w:r>
        <w:rPr>
          <w:rFonts w:ascii="黑体" w:cs="黑体" w:hAnsi="黑体" w:hint="eastAsia"/>
          <w:szCs w:val="21"/>
        </w:rPr>
        <w:t>（</w:t>
      </w:r>
      <w:r w:rsidR="006D0D3E">
        <w:rPr>
          <w:rFonts w:ascii="黑体" w:cs="黑体" w:hAnsi="黑体"/>
          <w:szCs w:val="21"/>
        </w:rPr>
        <w:t>2</w:t>
      </w:r>
      <w:r>
        <w:rPr>
          <w:rFonts w:ascii="黑体" w:cs="黑体" w:hAnsi="黑体" w:hint="eastAsia"/>
          <w:szCs w:val="21"/>
        </w:rPr>
        <w:t>）</w:t>
      </w:r>
      <w:r w:rsidR="006D0D3E">
        <w:rPr>
          <w:rFonts w:ascii="黑体" w:cs="黑体" w:hAnsi="黑体"/>
          <w:szCs w:val="21"/>
        </w:rPr>
        <w:t>产品管理人有权根据产品实际运作情况，对本产品的</w:t>
      </w:r>
      <w:r>
        <w:rPr>
          <w:rFonts w:ascii="黑体" w:cs="黑体" w:hAnsi="黑体" w:hint="eastAsia"/>
          <w:szCs w:val="21"/>
        </w:rPr>
        <w:t>收益分配</w:t>
      </w:r>
      <w:r w:rsidR="006D0D3E">
        <w:rPr>
          <w:rFonts w:ascii="黑体" w:cs="黑体" w:hAnsi="黑体"/>
          <w:szCs w:val="21"/>
        </w:rPr>
        <w:t>规则进行调整，如有相应调整，公司将于调整</w:t>
      </w:r>
      <w:r w:rsidR="006D0D3E">
        <w:rPr>
          <w:rFonts w:ascii="黑体" w:cs="黑体" w:hAnsi="黑体" w:hint="eastAsia"/>
          <w:szCs w:val="21"/>
        </w:rPr>
        <w:t>前</w:t>
      </w:r>
      <w:r w:rsidR="00146B7E">
        <w:rPr>
          <w:rFonts w:ascii="黑体" w:cs="黑体" w:hAnsi="黑体" w:hint="eastAsia"/>
          <w:szCs w:val="21"/>
          <w:u w:val="single"/>
        </w:rPr>
        <w:t>3</w:t>
      </w:r>
      <w:r w:rsidR="006D0D3E">
        <w:rPr>
          <w:rFonts w:ascii="黑体" w:cs="黑体" w:hAnsi="黑体"/>
          <w:szCs w:val="21"/>
        </w:rPr>
        <w:t>个工作日进行信息披露。</w:t>
      </w:r>
      <w:bookmarkEnd w:id="1"/>
    </w:p>
    <w:p w14:paraId="005C692F" w14:textId="77777777" w:rsidR="00041061" w:rsidRDefault="00041061" w:rsidRPr="00DD5A41">
      <w:pPr>
        <w:ind w:firstLine="420"/>
        <w:jc w:val="left"/>
        <w:rPr>
          <w:rFonts w:ascii="黑体" w:cs="宋体" w:hAnsi="黑体" w:hint="eastAsia"/>
          <w:szCs w:val="21"/>
        </w:rPr>
      </w:pPr>
    </w:p>
    <w:p w14:paraId="4D8F59BA" w14:textId="77777777" w:rsidR="00041061" w:rsidRDefault="006D0D3E">
      <w:pPr>
        <w:jc w:val="left"/>
        <w:rPr>
          <w:rFonts w:ascii="黑体" w:cs="黑体" w:hAnsi="黑体" w:hint="eastAsia"/>
          <w:b/>
          <w:szCs w:val="21"/>
        </w:rPr>
      </w:pPr>
      <w:r>
        <w:rPr>
          <w:rFonts w:ascii="黑体" w:cs="黑体" w:hAnsi="黑体" w:hint="eastAsia"/>
          <w:b/>
          <w:szCs w:val="21"/>
        </w:rPr>
        <w:t>五、产品资产估值</w:t>
      </w:r>
    </w:p>
    <w:p w14:paraId="768C3138" w14:textId="77777777" w:rsidR="00041061" w:rsidRDefault="006D0D3E">
      <w:pPr>
        <w:jc w:val="left"/>
        <w:rPr>
          <w:rFonts w:ascii="黑体" w:cs="宋体" w:hAnsi="黑体" w:hint="eastAsia"/>
          <w:szCs w:val="21"/>
        </w:rPr>
      </w:pPr>
      <w:r>
        <w:rPr>
          <w:rFonts w:ascii="黑体" w:cs="宋体" w:hAnsi="黑体" w:hint="eastAsia"/>
          <w:szCs w:val="21"/>
        </w:rPr>
        <w:t>（一）估值日</w:t>
      </w:r>
    </w:p>
    <w:p w14:paraId="68649A96" w14:textId="77777777" w:rsidR="00041061" w:rsidRDefault="006D0D3E">
      <w:pPr>
        <w:ind w:firstLine="420"/>
        <w:jc w:val="left"/>
        <w:rPr>
          <w:rFonts w:ascii="黑体" w:cs="黑体" w:hAnsi="黑体" w:hint="eastAsia"/>
          <w:szCs w:val="21"/>
        </w:rPr>
      </w:pPr>
      <w:r>
        <w:rPr>
          <w:rFonts w:ascii="黑体" w:cs="黑体" w:hAnsi="黑体" w:hint="eastAsia"/>
          <w:szCs w:val="21"/>
        </w:rPr>
        <w:t>本产品估值日为国家法定工作日。</w:t>
      </w:r>
    </w:p>
    <w:p w14:paraId="4E9C4C0A" w14:textId="77777777" w:rsidR="00041061" w:rsidRDefault="006D0D3E">
      <w:pPr>
        <w:jc w:val="left"/>
        <w:rPr>
          <w:rFonts w:ascii="黑体" w:cs="宋体" w:hAnsi="黑体" w:hint="eastAsia"/>
          <w:szCs w:val="21"/>
        </w:rPr>
      </w:pPr>
      <w:r>
        <w:rPr>
          <w:rFonts w:ascii="黑体" w:cs="宋体" w:hAnsi="黑体" w:hint="eastAsia"/>
          <w:szCs w:val="21"/>
        </w:rPr>
        <w:t>（二</w:t>
      </w:r>
      <w:r>
        <w:rPr>
          <w:rFonts w:ascii="黑体" w:cs="宋体" w:hAnsi="黑体"/>
          <w:szCs w:val="21"/>
        </w:rPr>
        <w:t>）</w:t>
      </w:r>
      <w:r>
        <w:rPr>
          <w:rFonts w:ascii="黑体" w:cs="宋体" w:hAnsi="黑体" w:hint="eastAsia"/>
          <w:szCs w:val="21"/>
        </w:rPr>
        <w:t>估值</w:t>
      </w:r>
      <w:r>
        <w:rPr>
          <w:rFonts w:ascii="黑体" w:cs="宋体" w:hAnsi="黑体"/>
          <w:szCs w:val="21"/>
        </w:rPr>
        <w:t>原则</w:t>
      </w:r>
    </w:p>
    <w:p w14:paraId="5E656790" w14:textId="77777777" w:rsidR="00041061" w:rsidRDefault="006D0D3E">
      <w:pPr>
        <w:ind w:firstLine="420"/>
        <w:rPr>
          <w:rFonts w:ascii="黑体" w:cs="黑体" w:hAnsi="黑体" w:hint="eastAsia"/>
          <w:szCs w:val="21"/>
        </w:rPr>
      </w:pPr>
      <w:r>
        <w:rPr>
          <w:rFonts w:ascii="黑体" w:cs="黑体" w:hAnsi="黑体" w:hint="eastAsia"/>
          <w:szCs w:val="21"/>
        </w:rPr>
        <w:t>公司理财产品投资金融资产在</w:t>
      </w:r>
      <w:r>
        <w:rPr>
          <w:rFonts w:ascii="黑体" w:cs="黑体" w:hAnsi="黑体"/>
          <w:szCs w:val="21"/>
        </w:rPr>
        <w:t>符合企业会计准则的前提下</w:t>
      </w:r>
      <w:r>
        <w:rPr>
          <w:rFonts w:ascii="黑体" w:cs="黑体" w:hAnsi="黑体" w:hint="eastAsia"/>
          <w:szCs w:val="21"/>
        </w:rPr>
        <w:t>坚持公允价值计量原则，鼓励使用市值计量。</w:t>
      </w:r>
      <w:r>
        <w:rPr>
          <w:rFonts w:ascii="黑体" w:cs="黑体" w:hAnsi="黑体" w:hint="eastAsia"/>
          <w:b/>
          <w:szCs w:val="21"/>
        </w:rPr>
        <w:t>符合以下条件之一的，可按照企业会计准则以摊余成本进行计量：</w:t>
      </w:r>
    </w:p>
    <w:p w14:paraId="5DCE2829" w14:textId="77777777" w:rsidR="00041061" w:rsidRDefault="006D0D3E">
      <w:pPr>
        <w:ind w:firstLine="420"/>
        <w:rPr>
          <w:rFonts w:ascii="黑体" w:cs="黑体" w:hAnsi="黑体" w:hint="eastAsia"/>
          <w:szCs w:val="21"/>
        </w:rPr>
      </w:pPr>
      <w:r>
        <w:rPr>
          <w:rFonts w:ascii="黑体" w:cs="黑体" w:hAnsi="黑体" w:hint="eastAsia"/>
          <w:szCs w:val="21"/>
        </w:rPr>
        <w:t>（1）资产管理产品为封闭式产品，且所投金融资产以收取合同现金流量为目的并且持有到期。</w:t>
      </w:r>
    </w:p>
    <w:p w14:paraId="069C350B" w14:textId="77777777" w:rsidR="00041061" w:rsidRDefault="006D0D3E">
      <w:pPr>
        <w:ind w:firstLine="420"/>
        <w:rPr>
          <w:rFonts w:ascii="黑体" w:cs="黑体" w:hAnsi="黑体" w:hint="eastAsia"/>
          <w:szCs w:val="21"/>
        </w:rPr>
      </w:pPr>
      <w:r>
        <w:rPr>
          <w:rFonts w:ascii="黑体" w:cs="黑体" w:hAnsi="黑体" w:hint="eastAsia"/>
          <w:szCs w:val="21"/>
        </w:rPr>
        <w:t>（2）资产管理产品为封闭式产品，且所投金融资产暂不具备活跃交易市场，或者在活跃市场中没有报价、也不能采用估值技术可靠计量公允价值。</w:t>
      </w:r>
    </w:p>
    <w:p w14:paraId="190CA14E" w14:textId="77777777" w:rsidR="00041061" w:rsidRDefault="006D0D3E">
      <w:pPr>
        <w:ind w:firstLine="420"/>
        <w:rPr>
          <w:rFonts w:ascii="黑体" w:cs="黑体" w:hAnsi="黑体" w:hint="eastAsia"/>
          <w:szCs w:val="21"/>
        </w:rPr>
      </w:pPr>
      <w:r>
        <w:rPr>
          <w:rFonts w:ascii="黑体" w:cs="黑体" w:hAnsi="黑体" w:hint="eastAsia"/>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ascii="黑体" w:cs="黑体" w:hAnsi="黑体" w:hint="eastAsia"/>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14:textId="77777777" w:rsidR="00041061" w:rsidRDefault="006D0D3E">
      <w:pPr>
        <w:ind w:firstLine="420"/>
        <w:rPr>
          <w:rFonts w:ascii="黑体" w:cs="黑体" w:hAnsi="黑体" w:hint="eastAsia"/>
          <w:szCs w:val="21"/>
        </w:rPr>
      </w:pPr>
      <w:r>
        <w:rPr>
          <w:rFonts w:ascii="黑体" w:cs="黑体" w:hAnsi="黑体" w:hint="eastAsia"/>
          <w:szCs w:val="21"/>
        </w:rPr>
        <w:t>如财政部、中国人民银行、国家金融监督管理总局等有关部门对估值原则另有规定的，从其规定。</w:t>
      </w:r>
    </w:p>
    <w:p w14:paraId="7ED0BF9F" w14:textId="77777777" w:rsidR="00041061" w:rsidRDefault="006D0D3E">
      <w:pPr>
        <w:jc w:val="left"/>
        <w:rPr>
          <w:rFonts w:ascii="黑体" w:cs="宋体" w:hAnsi="黑体" w:hint="eastAsia"/>
          <w:szCs w:val="21"/>
        </w:rPr>
      </w:pPr>
      <w:r>
        <w:rPr>
          <w:rFonts w:ascii="黑体" w:cs="宋体" w:hAnsi="黑体" w:hint="eastAsia"/>
          <w:szCs w:val="21"/>
        </w:rPr>
        <w:t>（三）估值对象</w:t>
      </w:r>
    </w:p>
    <w:p w14:paraId="31F559AB" w14:textId="77777777" w:rsidR="00041061" w:rsidRDefault="006D0D3E">
      <w:pPr>
        <w:ind w:firstLine="420"/>
        <w:jc w:val="left"/>
        <w:rPr>
          <w:rFonts w:ascii="黑体" w:cs="黑体" w:hAnsi="黑体" w:hint="eastAsia"/>
          <w:szCs w:val="21"/>
        </w:rPr>
      </w:pPr>
      <w:r>
        <w:rPr>
          <w:rFonts w:ascii="黑体" w:cs="黑体" w:hAnsi="黑体" w:hint="eastAsia"/>
          <w:szCs w:val="21"/>
        </w:rPr>
        <w:t>本产品所持有的所有资产。</w:t>
      </w:r>
    </w:p>
    <w:p w14:paraId="4CCFD1E4" w14:textId="77777777" w:rsidR="00041061" w:rsidRDefault="006D0D3E">
      <w:pPr>
        <w:jc w:val="left"/>
        <w:rPr>
          <w:rFonts w:ascii="黑体" w:cs="宋体" w:hAnsi="黑体" w:hint="eastAsia"/>
          <w:szCs w:val="21"/>
        </w:rPr>
      </w:pPr>
      <w:r>
        <w:rPr>
          <w:rFonts w:ascii="黑体" w:cs="宋体" w:hAnsi="黑体" w:hint="eastAsia"/>
          <w:szCs w:val="21"/>
        </w:rPr>
        <w:t>（四）资产估值方法</w:t>
      </w:r>
    </w:p>
    <w:p w14:paraId="0650BC22" w14:textId="77777777" w:rsidR="00041061" w:rsidRDefault="006D0D3E">
      <w:pPr>
        <w:numPr>
          <w:ilvl w:val="0"/>
          <w:numId w:val="12"/>
        </w:numPr>
        <w:rPr>
          <w:rFonts w:ascii="黑体" w:cs="黑体" w:hAnsi="黑体" w:hint="eastAsia"/>
          <w:szCs w:val="21"/>
        </w:rPr>
      </w:pPr>
      <w:r>
        <w:rPr>
          <w:rFonts w:ascii="黑体" w:cs="黑体" w:hAnsi="黑体" w:hint="eastAsia"/>
          <w:szCs w:val="21"/>
        </w:rPr>
        <w:t>权益类</w:t>
      </w:r>
      <w:r>
        <w:rPr>
          <w:rFonts w:ascii="黑体" w:cs="黑体" w:hAnsi="黑体"/>
          <w:szCs w:val="21"/>
        </w:rPr>
        <w:t>证券</w:t>
      </w:r>
    </w:p>
    <w:p w14:paraId="0D98E83D" w14:textId="77777777" w:rsidR="00041061" w:rsidRDefault="006D0D3E">
      <w:pPr>
        <w:ind w:firstLine="420"/>
        <w:rPr>
          <w:rFonts w:ascii="黑体" w:cs="黑体" w:hAnsi="黑体" w:hint="eastAsia"/>
          <w:szCs w:val="21"/>
        </w:rPr>
      </w:pPr>
      <w:r>
        <w:rPr>
          <w:rFonts w:ascii="黑体" w:cs="黑体" w:hAnsi="黑体" w:hint="eastAsia"/>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14:textId="77777777" w:rsidR="00041061" w:rsidRDefault="006D0D3E">
      <w:pPr>
        <w:numPr>
          <w:ilvl w:val="0"/>
          <w:numId w:val="12"/>
        </w:numPr>
        <w:rPr>
          <w:rFonts w:ascii="黑体" w:cs="黑体" w:hAnsi="黑体" w:hint="eastAsia"/>
          <w:szCs w:val="21"/>
        </w:rPr>
      </w:pPr>
      <w:r>
        <w:rPr>
          <w:rFonts w:ascii="黑体" w:cs="黑体" w:hAnsi="黑体" w:hint="eastAsia"/>
          <w:szCs w:val="21"/>
        </w:rPr>
        <w:t>固定收益类证券</w:t>
      </w:r>
    </w:p>
    <w:p w14:paraId="5F4F2FD7" w14:textId="77777777" w:rsidR="00041061" w:rsidRDefault="006D0D3E">
      <w:pPr>
        <w:ind w:left="420"/>
        <w:rPr>
          <w:rFonts w:ascii="黑体" w:cs="黑体" w:hAnsi="黑体" w:hint="eastAsia"/>
          <w:szCs w:val="21"/>
        </w:rPr>
      </w:pPr>
      <w:r>
        <w:rPr>
          <w:rFonts w:ascii="黑体" w:cs="黑体" w:hAnsi="黑体" w:hint="eastAsia"/>
          <w:szCs w:val="21"/>
        </w:rPr>
        <w:t>理财产品直接持有的在证券交易所和全国银行间市场交易的债券，以交易为目的的，</w:t>
      </w:r>
    </w:p>
    <w:p w14:paraId="2C97D152" w14:textId="77777777" w:rsidR="00041061" w:rsidRDefault="006D0D3E">
      <w:pPr>
        <w:rPr>
          <w:rFonts w:ascii="黑体" w:cs="黑体" w:hAnsi="黑体" w:hint="eastAsia"/>
          <w:szCs w:val="21"/>
        </w:rPr>
      </w:pPr>
      <w:r>
        <w:rPr>
          <w:rFonts w:ascii="黑体" w:cs="黑体" w:hAnsi="黑体" w:hint="eastAsia"/>
          <w:szCs w:val="21"/>
        </w:rPr>
        <w:t>按第三方估值机构（中债、中证等）提供的估值数据，对本组合持有的债券进行估值，具体第三方估值机构由管理人和托管行具体协商确定；以收取合同现金流量为目的并持有到</w:t>
      </w:r>
      <w:r>
        <w:rPr>
          <w:rFonts w:ascii="黑体" w:cs="黑体" w:hAnsi="黑体" w:hint="eastAsia"/>
          <w:szCs w:val="21"/>
        </w:rPr>
        <w:lastRenderedPageBreak/>
        <w:t>期的，在符合</w:t>
      </w:r>
      <w:r>
        <w:rPr>
          <w:rFonts w:ascii="黑体" w:cs="黑体" w:hAnsi="黑体"/>
          <w:szCs w:val="21"/>
        </w:rPr>
        <w:t>监管</w:t>
      </w:r>
      <w:r>
        <w:rPr>
          <w:rFonts w:ascii="黑体" w:cs="黑体" w:hAnsi="黑体" w:hint="eastAsia"/>
          <w:szCs w:val="21"/>
        </w:rPr>
        <w:t>规定</w:t>
      </w:r>
      <w:r>
        <w:rPr>
          <w:rFonts w:ascii="黑体" w:cs="黑体" w:hAnsi="黑体"/>
          <w:szCs w:val="21"/>
        </w:rPr>
        <w:t>的情况下</w:t>
      </w:r>
      <w:r>
        <w:rPr>
          <w:rFonts w:ascii="黑体" w:cs="黑体" w:hAnsi="黑体" w:hint="eastAsia"/>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cs="黑体" w:hAnsi="黑体"/>
          <w:szCs w:val="21"/>
        </w:rPr>
        <w:t>资产支持证券和资产支持票据原则上按第三方估值机构（中债、中证等）提供的估值</w:t>
      </w:r>
      <w:r>
        <w:rPr>
          <w:rFonts w:ascii="黑体" w:cs="黑体" w:hAnsi="黑体" w:hint="eastAsia"/>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14:textId="77777777" w:rsidR="00041061" w:rsidRDefault="006D0D3E">
      <w:pPr>
        <w:ind w:firstLine="420"/>
        <w:rPr>
          <w:rFonts w:ascii="黑体" w:cs="黑体" w:hAnsi="黑体" w:hint="eastAsia"/>
          <w:szCs w:val="21"/>
        </w:rPr>
      </w:pPr>
      <w:r>
        <w:rPr>
          <w:rFonts w:ascii="黑体" w:cs="黑体" w:hAnsi="黑体"/>
          <w:szCs w:val="21"/>
        </w:rPr>
        <w:t>3</w:t>
      </w:r>
      <w:r>
        <w:rPr>
          <w:rFonts w:ascii="黑体" w:cs="黑体" w:hAnsi="黑体" w:hint="eastAsia"/>
          <w:szCs w:val="21"/>
        </w:rPr>
        <w:t>、存款类资产</w:t>
      </w:r>
    </w:p>
    <w:p w14:paraId="52B66CA5" w14:textId="77777777" w:rsidR="00041061" w:rsidRDefault="006D0D3E">
      <w:pPr>
        <w:ind w:firstLine="420"/>
        <w:rPr>
          <w:rFonts w:ascii="黑体" w:cs="黑体" w:hAnsi="黑体" w:hint="eastAsia"/>
          <w:szCs w:val="21"/>
        </w:rPr>
      </w:pPr>
      <w:r>
        <w:rPr>
          <w:rFonts w:ascii="黑体" w:cs="黑体" w:hAnsi="黑体" w:hint="eastAsia"/>
          <w:szCs w:val="21"/>
        </w:rPr>
        <w:t>包括：活期存款、定期存款、通知存款、存放同业、大额存单等。按照</w:t>
      </w:r>
      <w:r>
        <w:rPr>
          <w:rFonts w:ascii="黑体" w:cs="黑体" w:hAnsi="黑体"/>
          <w:szCs w:val="21"/>
        </w:rPr>
        <w:t>约定利率在持有期内</w:t>
      </w:r>
      <w:r>
        <w:rPr>
          <w:rFonts w:ascii="黑体" w:cs="黑体" w:hAnsi="黑体" w:hint="eastAsia"/>
          <w:szCs w:val="21"/>
        </w:rPr>
        <w:t>逐日计提</w:t>
      </w:r>
      <w:r>
        <w:rPr>
          <w:rFonts w:ascii="黑体" w:cs="黑体" w:hAnsi="黑体"/>
          <w:szCs w:val="21"/>
        </w:rPr>
        <w:t>应收利息，</w:t>
      </w:r>
      <w:r>
        <w:rPr>
          <w:rFonts w:ascii="黑体" w:cs="黑体" w:hAnsi="黑体" w:hint="eastAsia"/>
          <w:szCs w:val="21"/>
        </w:rPr>
        <w:t>在</w:t>
      </w:r>
      <w:r>
        <w:rPr>
          <w:rFonts w:ascii="黑体" w:cs="黑体" w:hAnsi="黑体"/>
          <w:szCs w:val="21"/>
        </w:rPr>
        <w:t>利息到账日以实收利息入账。</w:t>
      </w:r>
    </w:p>
    <w:p w14:paraId="2EACCF8B" w14:textId="77777777" w:rsidR="00041061" w:rsidRDefault="006D0D3E">
      <w:pPr>
        <w:ind w:firstLine="420"/>
        <w:rPr>
          <w:rFonts w:ascii="黑体" w:cs="黑体" w:hAnsi="黑体" w:hint="eastAsia"/>
          <w:szCs w:val="21"/>
        </w:rPr>
      </w:pPr>
      <w:r>
        <w:rPr>
          <w:rFonts w:ascii="黑体" w:cs="黑体" w:hAnsi="黑体"/>
          <w:szCs w:val="21"/>
        </w:rPr>
        <w:t>4</w:t>
      </w:r>
      <w:r>
        <w:rPr>
          <w:rFonts w:ascii="黑体" w:cs="黑体" w:hAnsi="黑体" w:hint="eastAsia"/>
          <w:szCs w:val="21"/>
        </w:rPr>
        <w:t>、非上市基金</w:t>
      </w:r>
    </w:p>
    <w:p w14:paraId="7237FB11" w14:textId="77777777" w:rsidR="00041061" w:rsidRDefault="006D0D3E">
      <w:pPr>
        <w:ind w:firstLine="420"/>
        <w:rPr>
          <w:rFonts w:ascii="黑体" w:cs="黑体" w:hAnsi="黑体" w:hint="eastAsia"/>
          <w:szCs w:val="21"/>
        </w:rPr>
      </w:pPr>
      <w:r>
        <w:rPr>
          <w:rFonts w:ascii="黑体" w:cs="黑体" w:hAnsi="黑体" w:hint="eastAsia"/>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14:textId="77777777" w:rsidR="00041061" w:rsidRDefault="006D0D3E">
      <w:pPr>
        <w:ind w:firstLine="420"/>
        <w:rPr>
          <w:rFonts w:ascii="黑体" w:cs="黑体" w:hAnsi="黑体" w:hint="eastAsia"/>
          <w:szCs w:val="21"/>
        </w:rPr>
      </w:pPr>
      <w:r>
        <w:rPr>
          <w:rFonts w:ascii="黑体" w:cs="黑体" w:hAnsi="黑体"/>
          <w:szCs w:val="21"/>
        </w:rPr>
        <w:t>5</w:t>
      </w:r>
      <w:r>
        <w:rPr>
          <w:rFonts w:ascii="黑体" w:cs="黑体" w:hAnsi="黑体" w:hint="eastAsia"/>
          <w:szCs w:val="21"/>
        </w:rPr>
        <w:t>、上市证券投资基金</w:t>
      </w:r>
    </w:p>
    <w:p w14:paraId="3089D5EC" w14:textId="77777777" w:rsidR="00041061" w:rsidRDefault="006D0D3E">
      <w:pPr>
        <w:ind w:firstLine="420"/>
        <w:rPr>
          <w:rFonts w:ascii="黑体" w:cs="黑体" w:hAnsi="黑体" w:hint="eastAsia"/>
          <w:szCs w:val="21"/>
        </w:rPr>
      </w:pPr>
      <w:r>
        <w:rPr>
          <w:rFonts w:ascii="黑体" w:cs="黑体" w:hAnsi="黑体" w:hint="eastAsia"/>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14:textId="77777777" w:rsidR="00041061" w:rsidRDefault="006D0D3E">
      <w:pPr>
        <w:ind w:firstLine="420"/>
        <w:rPr>
          <w:rFonts w:ascii="黑体" w:cs="黑体" w:hAnsi="黑体" w:hint="eastAsia"/>
          <w:szCs w:val="21"/>
        </w:rPr>
      </w:pPr>
      <w:r>
        <w:rPr>
          <w:rFonts w:ascii="黑体" w:cs="黑体" w:hAnsi="黑体"/>
          <w:szCs w:val="21"/>
        </w:rPr>
        <w:t>6</w:t>
      </w:r>
      <w:r>
        <w:rPr>
          <w:rFonts w:ascii="黑体" w:cs="黑体" w:hAnsi="黑体" w:hint="eastAsia"/>
          <w:szCs w:val="21"/>
        </w:rPr>
        <w:t>、净值型资管产品</w:t>
      </w:r>
    </w:p>
    <w:p w14:paraId="45F7B072" w14:textId="77777777" w:rsidR="00041061" w:rsidRDefault="006D0D3E">
      <w:pPr>
        <w:ind w:firstLine="420"/>
        <w:rPr>
          <w:rFonts w:ascii="黑体" w:cs="黑体" w:hAnsi="黑体" w:hint="eastAsia"/>
          <w:szCs w:val="21"/>
        </w:rPr>
      </w:pPr>
      <w:r>
        <w:rPr>
          <w:rFonts w:ascii="黑体" w:cs="黑体" w:hAnsi="黑体" w:hint="eastAsia"/>
          <w:szCs w:val="21"/>
        </w:rPr>
        <w:t>净值型资管产品包括基金资管计划、信托计划等。理财产品投资的资产管理产品，按资产管理人提供的资管产品份额净值估值，净值频率以管理人发布为准。</w:t>
      </w:r>
    </w:p>
    <w:p w14:paraId="76F64EAA" w14:textId="77777777" w:rsidR="00041061" w:rsidRDefault="006D0D3E">
      <w:pPr>
        <w:ind w:firstLine="420"/>
        <w:rPr>
          <w:rFonts w:ascii="黑体" w:cs="黑体" w:hAnsi="黑体" w:hint="eastAsia"/>
          <w:szCs w:val="21"/>
        </w:rPr>
      </w:pPr>
      <w:r>
        <w:rPr>
          <w:rFonts w:ascii="黑体" w:cs="黑体" w:hAnsi="黑体"/>
          <w:szCs w:val="21"/>
        </w:rPr>
        <w:t>7</w:t>
      </w:r>
      <w:r>
        <w:rPr>
          <w:rFonts w:ascii="黑体" w:cs="黑体" w:hAnsi="黑体" w:hint="eastAsia"/>
          <w:szCs w:val="21"/>
        </w:rPr>
        <w:t>、衍生品</w:t>
      </w:r>
    </w:p>
    <w:p w14:paraId="46C84606" w14:textId="77777777" w:rsidR="00041061" w:rsidRDefault="006D0D3E">
      <w:pPr>
        <w:ind w:firstLine="420"/>
        <w:rPr>
          <w:rFonts w:ascii="黑体" w:cs="黑体" w:hAnsi="黑体" w:hint="eastAsia"/>
          <w:szCs w:val="21"/>
        </w:rPr>
      </w:pPr>
      <w:r>
        <w:rPr>
          <w:rFonts w:ascii="黑体" w:cs="黑体" w:hAnsi="黑体" w:hint="eastAsia"/>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14:textId="77777777" w:rsidR="00041061" w:rsidRDefault="006D0D3E">
      <w:pPr>
        <w:ind w:firstLine="420"/>
        <w:rPr>
          <w:rFonts w:ascii="黑体" w:cs="黑体" w:hAnsi="黑体" w:hint="eastAsia"/>
          <w:szCs w:val="21"/>
        </w:rPr>
      </w:pPr>
      <w:r>
        <w:rPr>
          <w:rFonts w:ascii="黑体" w:cs="黑体" w:hAnsi="黑体" w:hint="eastAsia"/>
          <w:szCs w:val="21"/>
        </w:rPr>
        <w:t>对非上市交易的衍生品，且第三方估值机构（中证或中债）未提供估值价格的，采用估值技术确定其公允价值。</w:t>
      </w:r>
    </w:p>
    <w:p w14:paraId="55601591" w14:textId="77777777" w:rsidR="00041061" w:rsidRDefault="006D0D3E">
      <w:pPr>
        <w:ind w:firstLine="420"/>
        <w:rPr>
          <w:rFonts w:ascii="黑体" w:cs="黑体" w:hAnsi="黑体" w:hint="eastAsia"/>
          <w:szCs w:val="21"/>
        </w:rPr>
      </w:pPr>
      <w:r>
        <w:rPr>
          <w:rFonts w:ascii="黑体" w:cs="黑体" w:hAnsi="黑体"/>
          <w:szCs w:val="21"/>
        </w:rPr>
        <w:t>8</w:t>
      </w:r>
      <w:r>
        <w:rPr>
          <w:rFonts w:ascii="黑体" w:cs="黑体" w:hAnsi="黑体" w:hint="eastAsia"/>
          <w:szCs w:val="21"/>
        </w:rPr>
        <w:t>、非标准化债权资产</w:t>
      </w:r>
    </w:p>
    <w:p w14:paraId="02ACE281" w14:textId="77777777" w:rsidR="00041061" w:rsidRDefault="006D0D3E">
      <w:pPr>
        <w:ind w:firstLine="420"/>
        <w:rPr>
          <w:rFonts w:ascii="黑体" w:cs="黑体" w:hAnsi="黑体" w:hint="eastAsia"/>
          <w:szCs w:val="21"/>
        </w:rPr>
      </w:pPr>
      <w:r>
        <w:rPr>
          <w:rFonts w:ascii="黑体" w:cs="黑体" w:hAnsi="黑体" w:hint="eastAsia"/>
          <w:szCs w:val="21"/>
        </w:rPr>
        <w:t>符合《关于规范金融机构资产管理业务的指导意见》中规定</w:t>
      </w:r>
      <w:r>
        <w:rPr>
          <w:rFonts w:ascii="黑体" w:cs="黑体" w:hAnsi="黑体"/>
          <w:szCs w:val="21"/>
        </w:rPr>
        <w:t>的可以使用摊余成本法</w:t>
      </w:r>
      <w:r>
        <w:rPr>
          <w:rFonts w:ascii="黑体" w:cs="黑体" w:hAnsi="黑体" w:hint="eastAsia"/>
          <w:szCs w:val="21"/>
        </w:rPr>
        <w:t>计量的非标准化债权资产，可使用摊余成本法计量，</w:t>
      </w:r>
      <w:r>
        <w:rPr>
          <w:rFonts w:ascii="黑体" w:cs="黑体" w:hAnsi="黑体"/>
          <w:szCs w:val="21"/>
        </w:rPr>
        <w:t>其余采用公允价值法</w:t>
      </w:r>
      <w:r>
        <w:rPr>
          <w:rFonts w:ascii="黑体" w:cs="黑体" w:hAnsi="黑体" w:hint="eastAsia"/>
          <w:szCs w:val="21"/>
        </w:rPr>
        <w:t>计量</w:t>
      </w:r>
      <w:r>
        <w:rPr>
          <w:rFonts w:ascii="黑体" w:cs="黑体" w:hAnsi="黑体"/>
          <w:szCs w:val="21"/>
        </w:rPr>
        <w:t>。</w:t>
      </w:r>
    </w:p>
    <w:p w14:paraId="784F7FBB" w14:textId="77777777" w:rsidR="00041061" w:rsidRDefault="006D0D3E">
      <w:pPr>
        <w:ind w:firstLine="420"/>
        <w:rPr>
          <w:rFonts w:ascii="黑体" w:cs="黑体" w:hAnsi="黑体" w:hint="eastAsia"/>
          <w:szCs w:val="21"/>
        </w:rPr>
      </w:pPr>
      <w:r>
        <w:rPr>
          <w:rFonts w:ascii="黑体" w:cs="黑体" w:hAnsi="黑体"/>
          <w:szCs w:val="21"/>
        </w:rPr>
        <w:t>9</w:t>
      </w:r>
      <w:r>
        <w:rPr>
          <w:rFonts w:ascii="黑体" w:cs="黑体" w:hAnsi="黑体" w:hint="eastAsia"/>
          <w:szCs w:val="21"/>
        </w:rPr>
        <w:t>、其他</w:t>
      </w:r>
    </w:p>
    <w:p w14:paraId="7729A7FE" w14:textId="77777777" w:rsidR="00041061" w:rsidRDefault="006D0D3E">
      <w:pPr>
        <w:ind w:firstLine="420"/>
        <w:rPr>
          <w:rFonts w:ascii="黑体" w:cs="黑体" w:hAnsi="黑体" w:hint="eastAsia"/>
          <w:szCs w:val="21"/>
        </w:rPr>
      </w:pPr>
      <w:r>
        <w:rPr>
          <w:rFonts w:ascii="黑体" w:cs="黑体" w:hAnsi="黑体" w:hint="eastAsia"/>
          <w:szCs w:val="21"/>
        </w:rPr>
        <w:t>各类资产具体估值方法的确认，可参考《企业会计准则》以及</w:t>
      </w:r>
      <w:r>
        <w:rPr>
          <w:rFonts w:ascii="黑体" w:cs="黑体" w:hAnsi="黑体"/>
          <w:szCs w:val="21"/>
        </w:rPr>
        <w:t>相关监管政策</w:t>
      </w:r>
      <w:r>
        <w:rPr>
          <w:rFonts w:ascii="黑体" w:cs="黑体" w:hAnsi="黑体" w:hint="eastAsia"/>
          <w:szCs w:val="21"/>
        </w:rPr>
        <w:t>的规定。</w:t>
      </w:r>
    </w:p>
    <w:p w14:paraId="4717CE86" w14:textId="77777777" w:rsidR="00041061" w:rsidRDefault="006D0D3E">
      <w:pPr>
        <w:ind w:firstLine="420"/>
        <w:rPr>
          <w:rFonts w:ascii="黑体" w:cs="黑体" w:hAnsi="黑体" w:hint="eastAsia"/>
          <w:szCs w:val="21"/>
        </w:rPr>
      </w:pPr>
      <w:r>
        <w:rPr>
          <w:rFonts w:ascii="黑体" w:cs="黑体" w:hAnsi="黑体"/>
          <w:szCs w:val="21"/>
        </w:rPr>
        <w:t>10</w:t>
      </w:r>
      <w:r>
        <w:rPr>
          <w:rFonts w:ascii="黑体" w:cs="黑体" w:hAnsi="黑体" w:hint="eastAsia"/>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14:textId="77777777" w:rsidR="00041061" w:rsidRDefault="006D0D3E">
      <w:pPr>
        <w:ind w:firstLine="420"/>
        <w:jc w:val="left"/>
        <w:rPr>
          <w:rFonts w:ascii="黑体" w:cs="黑体" w:hAnsi="黑体" w:hint="eastAsia"/>
          <w:szCs w:val="21"/>
        </w:rPr>
      </w:pPr>
      <w:r>
        <w:rPr>
          <w:rFonts w:ascii="黑体" w:cs="黑体" w:hAnsi="黑体" w:hint="eastAsia"/>
          <w:szCs w:val="21"/>
        </w:rPr>
        <w:t>1</w:t>
      </w:r>
      <w:r>
        <w:rPr>
          <w:rFonts w:ascii="黑体" w:cs="黑体" w:hAnsi="黑体"/>
          <w:szCs w:val="21"/>
        </w:rPr>
        <w:t>1</w:t>
      </w:r>
      <w:r>
        <w:rPr>
          <w:rFonts w:ascii="黑体" w:cs="黑体" w:hAnsi="黑体" w:hint="eastAsia"/>
          <w:szCs w:val="21"/>
        </w:rPr>
        <w:t>、在任何情况下，产品管理人与托管人所共同认可的估值方式均视为客观、公允的估值方法。该产品估值均以产品公布的估值结果为准。</w:t>
      </w:r>
    </w:p>
    <w:p w14:paraId="541497EA" w14:textId="77777777" w:rsidR="00041061" w:rsidRDefault="006D0D3E">
      <w:pPr>
        <w:ind w:firstLine="420"/>
        <w:jc w:val="left"/>
        <w:rPr>
          <w:rFonts w:ascii="黑体" w:cs="ËÎÌå" w:hAnsi="黑体" w:hint="eastAsia"/>
          <w:szCs w:val="21"/>
        </w:rPr>
      </w:pPr>
      <w:r>
        <w:rPr>
          <w:rFonts w:ascii="黑体" w:cs="ËÎÌå" w:hAnsi="黑体"/>
          <w:szCs w:val="21"/>
        </w:rPr>
        <w:t>12、以上估值方法所涉及的资产类型仅为条款完备性而列举，不代表本产品实际投向该类型资产。本产品的投资范围以说明书“三、产品投资管理 (一) 投资范围”载明为准。</w:t>
      </w:r>
    </w:p>
    <w:p w14:paraId="665F45A2" w14:textId="77777777" w:rsidR="00041061" w:rsidRDefault="006D0D3E">
      <w:pPr>
        <w:jc w:val="left"/>
        <w:rPr>
          <w:rFonts w:ascii="黑体" w:cs="ËÎÌå" w:hAnsi="黑体" w:hint="eastAsia"/>
          <w:szCs w:val="21"/>
        </w:rPr>
      </w:pPr>
      <w:r>
        <w:rPr>
          <w:rFonts w:ascii="黑体" w:cs="ËÎÌå" w:hAnsi="黑体" w:hint="eastAsia"/>
          <w:szCs w:val="21"/>
        </w:rPr>
        <w:t>（五）估值错误的处理</w:t>
      </w:r>
    </w:p>
    <w:p w14:paraId="017345D0" w14:textId="77777777" w:rsidR="00041061" w:rsidRDefault="006D0D3E">
      <w:pPr>
        <w:ind w:firstLine="420"/>
        <w:jc w:val="left"/>
        <w:rPr>
          <w:rFonts w:ascii="黑体" w:cs="黑体" w:hAnsi="黑体" w:hint="eastAsia"/>
          <w:szCs w:val="21"/>
        </w:rPr>
      </w:pPr>
      <w:r>
        <w:rPr>
          <w:rFonts w:ascii="黑体" w:cs="黑体" w:hAnsi="黑体" w:hint="eastAsia"/>
          <w:szCs w:val="21"/>
        </w:rPr>
        <w:t>产品</w:t>
      </w:r>
      <w:r>
        <w:rPr>
          <w:rFonts w:ascii="黑体" w:cs="黑体" w:hAnsi="黑体"/>
          <w:szCs w:val="21"/>
        </w:rPr>
        <w:t>管理人</w:t>
      </w:r>
      <w:r>
        <w:rPr>
          <w:rFonts w:ascii="黑体" w:cs="黑体" w:hAnsi="黑体" w:hint="eastAsia"/>
          <w:szCs w:val="21"/>
        </w:rPr>
        <w:t>和托管机构将采取必要、适当合理的措施确保产品资产估值的准确性、及时性。当产品单位净值出现错误时，产品</w:t>
      </w:r>
      <w:r>
        <w:rPr>
          <w:rFonts w:ascii="黑体" w:cs="黑体" w:hAnsi="黑体"/>
          <w:szCs w:val="21"/>
        </w:rPr>
        <w:t>管理人</w:t>
      </w:r>
      <w:r>
        <w:rPr>
          <w:rFonts w:ascii="黑体" w:cs="黑体" w:hAnsi="黑体" w:hint="eastAsia"/>
          <w:szCs w:val="21"/>
        </w:rPr>
        <w:t>应当立即予以纠正，并采取合理的措施防止损失进一步扩大。由于本产品估值所用的价格来源出现错误，或由于其它不可抗力原因，产品</w:t>
      </w:r>
      <w:r>
        <w:rPr>
          <w:rFonts w:ascii="黑体" w:cs="黑体" w:hAnsi="黑体"/>
          <w:szCs w:val="21"/>
        </w:rPr>
        <w:t>管理人</w:t>
      </w:r>
      <w:r>
        <w:rPr>
          <w:rFonts w:ascii="黑体" w:cs="黑体" w:hAnsi="黑体" w:hint="eastAsia"/>
          <w:szCs w:val="21"/>
        </w:rPr>
        <w:t>和托管机构虽然已经采取必要、适当、合理的措施进行检查，但是未能发</w:t>
      </w:r>
      <w:r>
        <w:rPr>
          <w:rFonts w:ascii="黑体" w:cs="黑体" w:hAnsi="黑体" w:hint="eastAsia"/>
          <w:szCs w:val="21"/>
        </w:rPr>
        <w:lastRenderedPageBreak/>
        <w:t>现该错误的，</w:t>
      </w:r>
      <w:r>
        <w:rPr>
          <w:rFonts w:ascii="黑体" w:cs="黑体" w:hAnsi="黑体" w:hint="eastAsia"/>
          <w:b/>
          <w:szCs w:val="21"/>
        </w:rPr>
        <w:t>由此造成的产品资产估值错误，产品</w:t>
      </w:r>
      <w:r>
        <w:rPr>
          <w:rFonts w:ascii="黑体" w:cs="黑体" w:hAnsi="黑体"/>
          <w:b/>
          <w:szCs w:val="21"/>
        </w:rPr>
        <w:t>管理人</w:t>
      </w:r>
      <w:r>
        <w:rPr>
          <w:rFonts w:ascii="黑体" w:cs="黑体" w:hAnsi="黑体" w:hint="eastAsia"/>
          <w:b/>
          <w:szCs w:val="21"/>
        </w:rPr>
        <w:t>和托管机构不承担责任。</w:t>
      </w:r>
      <w:r>
        <w:rPr>
          <w:rFonts w:ascii="黑体" w:cs="黑体" w:hAnsi="黑体" w:hint="eastAsia"/>
          <w:szCs w:val="21"/>
        </w:rPr>
        <w:t>但产品</w:t>
      </w:r>
      <w:r>
        <w:rPr>
          <w:rFonts w:ascii="黑体" w:cs="黑体" w:hAnsi="黑体"/>
          <w:szCs w:val="21"/>
        </w:rPr>
        <w:t>管理人</w:t>
      </w:r>
      <w:r>
        <w:rPr>
          <w:rFonts w:ascii="黑体" w:cs="黑体" w:hAnsi="黑体" w:hint="eastAsia"/>
          <w:szCs w:val="21"/>
        </w:rPr>
        <w:t>和托管机构应当积极采取必要的措施消除或减轻由此造成的影响。</w:t>
      </w:r>
    </w:p>
    <w:p w14:paraId="27544992" w14:textId="77777777" w:rsidR="00041061" w:rsidRDefault="006D0D3E">
      <w:pPr>
        <w:jc w:val="left"/>
        <w:rPr>
          <w:rFonts w:ascii="黑体" w:cs="ËÎÌå" w:hAnsi="黑体" w:hint="eastAsia"/>
          <w:szCs w:val="21"/>
        </w:rPr>
      </w:pPr>
      <w:r>
        <w:rPr>
          <w:rFonts w:ascii="黑体" w:cs="ËÎÌå" w:hAnsi="黑体" w:hint="eastAsia"/>
          <w:szCs w:val="21"/>
        </w:rPr>
        <w:t>（六）暂停估值</w:t>
      </w:r>
    </w:p>
    <w:p w14:paraId="335D0A7B" w14:textId="77777777" w:rsidR="00041061" w:rsidRDefault="006D0D3E">
      <w:pPr>
        <w:ind w:firstLine="420"/>
        <w:jc w:val="left"/>
        <w:rPr>
          <w:rFonts w:ascii="黑体" w:cs="黑体" w:hAnsi="黑体" w:hint="eastAsia"/>
          <w:b/>
          <w:szCs w:val="21"/>
        </w:rPr>
      </w:pPr>
      <w:r>
        <w:rPr>
          <w:rFonts w:ascii="黑体" w:cs="黑体" w:hAnsi="黑体" w:hint="eastAsia"/>
          <w:szCs w:val="21"/>
        </w:rPr>
        <w:t>当本产品资产的估值因不可抗力或其它情形致使产品</w:t>
      </w:r>
      <w:r>
        <w:rPr>
          <w:rFonts w:ascii="黑体" w:cs="黑体" w:hAnsi="黑体"/>
          <w:szCs w:val="21"/>
        </w:rPr>
        <w:t>管理人</w:t>
      </w:r>
      <w:r>
        <w:rPr>
          <w:rFonts w:ascii="黑体" w:cs="黑体" w:hAnsi="黑体" w:hint="eastAsia"/>
          <w:szCs w:val="21"/>
        </w:rPr>
        <w:t>、托管机构无法准确评估产品资产价值或存在国家金融监督管理总局认定的导致无法准确估值的其它情形时，产品</w:t>
      </w:r>
      <w:r>
        <w:rPr>
          <w:rFonts w:ascii="黑体" w:cs="黑体" w:hAnsi="黑体"/>
          <w:szCs w:val="21"/>
        </w:rPr>
        <w:t>管理人</w:t>
      </w:r>
      <w:r>
        <w:rPr>
          <w:rFonts w:ascii="黑体" w:cs="黑体" w:hAnsi="黑体" w:hint="eastAsia"/>
          <w:szCs w:val="21"/>
        </w:rPr>
        <w:t>可暂停产品的估值直至另行通知，</w:t>
      </w:r>
      <w:r>
        <w:rPr>
          <w:rFonts w:ascii="黑体" w:cs="黑体" w:hAnsi="黑体" w:hint="eastAsia"/>
          <w:b/>
          <w:szCs w:val="21"/>
        </w:rPr>
        <w:t>由此造成的损失，产品</w:t>
      </w:r>
      <w:r>
        <w:rPr>
          <w:rFonts w:ascii="黑体" w:cs="黑体" w:hAnsi="黑体"/>
          <w:b/>
          <w:szCs w:val="21"/>
        </w:rPr>
        <w:t>管理人</w:t>
      </w:r>
      <w:r>
        <w:rPr>
          <w:rFonts w:ascii="黑体" w:cs="黑体" w:hAnsi="黑体" w:hint="eastAsia"/>
          <w:b/>
          <w:szCs w:val="21"/>
        </w:rPr>
        <w:t>和托管机构不承担责任。</w:t>
      </w:r>
    </w:p>
    <w:p w14:paraId="677CB637" w14:textId="77777777" w:rsidR="00041061" w:rsidRDefault="00041061">
      <w:pPr>
        <w:ind w:firstLine="420"/>
        <w:jc w:val="left"/>
        <w:rPr>
          <w:rFonts w:ascii="黑体" w:hAnsi="黑体" w:hint="eastAsia"/>
        </w:rPr>
      </w:pPr>
    </w:p>
    <w:p w14:paraId="0F589ACA" w14:textId="77777777" w:rsidR="00041061" w:rsidRDefault="006D0D3E">
      <w:pPr>
        <w:jc w:val="left"/>
        <w:rPr>
          <w:rFonts w:ascii="黑体" w:cs="黑体" w:hAnsi="黑体" w:hint="eastAsia"/>
          <w:b/>
          <w:szCs w:val="21"/>
        </w:rPr>
      </w:pPr>
      <w:r>
        <w:rPr>
          <w:rFonts w:ascii="黑体" w:cs="黑体" w:hAnsi="黑体" w:hint="eastAsia"/>
          <w:b/>
          <w:szCs w:val="21"/>
        </w:rPr>
        <w:t>六、产品费用、收益及税收说明</w:t>
      </w:r>
    </w:p>
    <w:p w14:paraId="5930CE55" w14:textId="77777777" w:rsidR="00041061" w:rsidRDefault="006D0D3E">
      <w:pPr>
        <w:jc w:val="left"/>
        <w:rPr>
          <w:rFonts w:ascii="黑体" w:cs="宋体" w:hAnsi="黑体" w:hint="eastAsia"/>
          <w:szCs w:val="21"/>
        </w:rPr>
      </w:pPr>
      <w:r>
        <w:rPr>
          <w:rFonts w:ascii="黑体" w:cs="宋体" w:hAnsi="黑体" w:hint="eastAsia"/>
          <w:szCs w:val="21"/>
        </w:rPr>
        <w:t>（一）产品费用计提方法、计提标准和支付方式</w:t>
      </w:r>
    </w:p>
    <w:p w14:paraId="3D0E6C1B" w14:textId="77777777" w:rsidR="00041061" w:rsidRDefault="006D0D3E">
      <w:pPr>
        <w:pStyle w:val="aff6"/>
        <w:ind w:firstLine="420"/>
        <w:rPr>
          <w:rFonts w:hint="eastAsia"/>
        </w:rPr>
      </w:pPr>
      <w:r>
        <w:t>本产品收取的费用包括</w:t>
      </w:r>
      <w:r>
        <w:rPr>
          <w:rFonts w:hint="eastAsia"/>
          <w:sz w:val="20"/>
        </w:rPr>
        <w:t>固定管理费、托管费、浮动管理费、销售服务费、信息技术服务费</w:t>
      </w:r>
      <w:r>
        <w:t>等，具体计提方法、计提标准和支付方式如下：</w:t>
      </w:r>
    </w:p>
    <w:p w14:paraId="32D63EDE" w14:textId="77777777" w:rsidR="00041061" w:rsidRDefault="006D0D3E">
      <w:pPr>
        <w:pStyle w:val="aff6"/>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C份额）/0.4%（适用于D份额）/0.4%（适用于F份额）/0.4%（适用于J份额）/0.4%（适用于W份额）/0.4%（适用于X份额）/0.4%（适用于Y份额）年费率计提。计算方法如下：</w:t>
        <w:br/>
        <w:t xml:space="preserve">    F=E×销售服务费率（年化）÷365</w:t>
        <w:br/>
        <w:t xml:space="preserve">    F 为产品各份额每一自然日应计提的销售服务费</w:t>
        <w:br/>
        <w:t xml:space="preserve">    E 为估值日产品该份额扣除回购融资、产品运作及清算中产生的其他费用、产品运营中发生的增值税及附加税费等费用后的资产净值</w:t>
        <w:br/>
        <w:t xml:space="preserve">    销售服务费每日计提，产品到期（产品终止）后支付，或由管理人向托管人发送指令，托管人复核后从产品资产中支付。</w:t>
      </w:r>
    </w:p>
    <w:p w14:paraId="771C0BAD" w14:textId="77777777" w:rsidR="00041061" w:rsidRDefault="006D0D3E">
      <w:pPr>
        <w:pStyle w:val="aff6"/>
        <w:ind w:firstLine="420"/>
        <w:rPr>
          <w:rFonts w:hint="eastAsia"/>
        </w:rPr>
      </w:pPr>
      <w:r>
        <w:t>2、固定管理费：本产品固定管理费按当日产品各份额扣除回购融资、产品运作及清算中产生的其他费用、产品运营中发生的增值税及附加税费等费用后的资产净值的0.35%（适用于A份额）/0.4%（适用于C份额）/0.45%（适用于D份额）/0.3%（适用于F份额）/0.3%（适用于J份额）/0.45%（适用于W份额）/0.5%（适用于X份额）/0.45%（适用于Y份额）年费率计提。计算方法如下：</w:t>
        <w:br/>
        <w:t xml:space="preserve">    H=E×固定管理费率（年化）÷365</w:t>
        <w:br/>
        <w:t xml:space="preserve">    H 为产品各份额每一自然日应计提的固定管理费</w:t>
        <w:br/>
        <w:t xml:space="preserve">    E 为估值日产品该份额扣除回购融资、产品运作及清算中产生的其他费用、产品运营中发生的增值税及附加税费等费用后的资产净值</w:t>
        <w:br/>
        <w:t xml:space="preserve">    固定管理费每日计提，产品到期（产品终止）后支付，或由管理人向托管人发送指令，托管人复核后从产品资产中支付</w:t>
      </w:r>
      <w:r>
        <w:rPr>
          <w:rFonts w:cs="黑体" w:hint="eastAsia"/>
        </w:rPr>
        <w:t>。</w:t>
      </w:r>
    </w:p>
    <w:p w14:paraId="5DBB2DC2" w14:textId="77777777" w:rsidR="00041061" w:rsidRDefault="006D0D3E">
      <w:pPr>
        <w:pStyle w:val="aff6"/>
        <w:ind w:firstLine="420"/>
        <w:rPr>
          <w:rFonts w:hint="eastAsia"/>
        </w:rPr>
      </w:pPr>
      <w:r>
        <w:rPr>
          <w:rFonts w:cs="黑体"/>
        </w:rPr>
        <w:t>3、</w:t>
      </w:r>
      <w:r>
        <w:t>浮动管理费：理财产品到期日（提前终止日）扣除浮动管理费前，本产品各份额年化收益率</w:t>
        <w:br/>
        <w:t xml:space="preserve">    （适用于A份额）若低于2.65%（含），投资管理人不收取浮动管理费；年化收益率超过2.65%以上的部分，45%归投资者所有，其余55%作为产品管理人的浮动管理费；</w:t>
        <w:br/>
        <w:t xml:space="preserve">    （适用于C份额）若低于2.6%（含），投资管理人不收取浮动管理费；年化收益率超过2.6%以上的部分，45%归投资者所有，其余55%作为产品管理人的浮动管理费；</w:t>
        <w:br/>
        <w:t xml:space="preserve">    （适用于D份额）若低于2.55%（含），投资管理人不收取浮动管理费；年化收益率超过2.55%以上的部分，45%归投资者所有，其余55%作为产品管理人的浮动管理费；</w:t>
        <w:br/>
        <w:t xml:space="preserve">    （适用于F份额）若低于2.7%（含），投资管理人不收取浮动管理费；年化收益率超过2.7%以上的部分，45%归投资者所有，其余55%作为产品管理人的浮动管理费；</w:t>
        <w:br/>
        <w:t xml:space="preserve">    （适用于J份额）若低于2.7%（含），投资管理人不收取浮动管理费；年化收益率超过2.7%以上的部分，45%归投资者所有，其余55%作为产品管理人的浮动管理费；</w:t>
        <w:br/>
        <w:t xml:space="preserve">    （适用于W份额）若低于2.55%（含），投资管理人不收取浮动管理费；年化收益率超过2.55%以上的部分，45%归投资者所有，其余55%作为产品管理人的浮动管理费；</w:t>
        <w:br/>
        <w:t xml:space="preserve">    （适用于X份额）若低于2.5%（含），投资管理人不收取浮动管理费；年化收益率超过2.5%以上的部分，45%归投资者所有，其余55%作为产品管理人的浮动管理费；</w:t>
        <w:br/>
        <w:t xml:space="preserve">    （适用于Y份额）若低于2.55%（含），投资管理人不收取浮动管理费；年化收益率超过2.55%以上的部分，45%归投资者所有，其余55%作为产品管理人的浮动管理费；</w:t>
        <w:b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br/>
        <w:t xml:space="preserve">    K=L*（M-N）*P/365*R</w:t>
        <w:br/>
        <w:t xml:space="preserve">    K为产品成立日至估值日的区间浮动管理费</w:t>
        <w:br/>
        <w:t xml:space="preserve">    L为估值日产品总份额</w:t>
        <w:b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br/>
        <w:t xml:space="preserve">    N为浮动管理费计提基准</w:t>
        <w:br/>
        <w:t xml:space="preserve">    P为产品成立日（含）至估值日（含）的区间天数</w:t>
        <w:br/>
        <w:t xml:space="preserve">    R为本公司收取浮动管理费的比例</w:t>
        <w:br/>
        <w:t xml:space="preserve">    浮动管理费在每个估值日进行暂估，在计提周期结束时进行计提，已实现的浮动管理费产品到期（产品终止）后支付，或由管理人向托管人发送指令，托管人复核后从产品资产中支付</w:t>
      </w:r>
      <w:r>
        <w:rPr>
          <w:rFonts w:cs="黑体" w:hint="eastAsia"/>
        </w:rPr>
        <w:t>。</w:t>
      </w:r>
    </w:p>
    <w:p w14:paraId="6CA9958A" w14:textId="77777777" w:rsidR="00041061" w:rsidRDefault="006D0D3E">
      <w:pPr>
        <w:pStyle w:val="aff6"/>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br/>
        <w:t xml:space="preserve">    T=E×托管费率（年化）÷365</w:t>
        <w:br/>
        <w:t xml:space="preserve">    T 为产品每一自然日应计提的托管费</w:t>
        <w:br/>
        <w:t xml:space="preserve">    E 为估值日产品扣除回购融资、产品运作及清算中产生的其他费用、产品运营中发生的增值税及附加税费等费用后的资产净值</w:t>
        <w:br/>
        <w:t xml:space="preserve">    托管费每日计提，产品到期（产品终止）后支付，或由管理人向托管人发送指令，托管人复核后从产品资产中支付</w:t>
      </w:r>
      <w:r>
        <w:rPr>
          <w:rFonts w:cs="黑体" w:hint="eastAsia"/>
        </w:rPr>
        <w:t>。</w:t>
      </w:r>
    </w:p>
    <w:p w14:paraId="2604C504" w14:textId="77777777" w:rsidR="00041061" w:rsidRDefault="006D0D3E">
      <w:pPr>
        <w:pStyle w:val="aff6"/>
        <w:ind w:firstLine="420"/>
        <w:rPr>
          <w:rFonts w:hint="eastAsia"/>
        </w:rPr>
      </w:pPr>
      <w:r>
        <w:t>5、手续费：</w:t>
        <w:br/>
        <w:t xml:space="preserve">    无。</w:t>
      </w:r>
    </w:p>
    <w:p w14:paraId="2AEFFE53" w14:textId="77777777" w:rsidR="00041061" w:rsidRDefault="006D0D3E">
      <w:pPr>
        <w:pStyle w:val="aff6"/>
        <w:ind w:firstLine="420"/>
        <w:rPr>
          <w:rFonts w:hint="eastAsia"/>
        </w:rPr>
      </w:pPr>
      <w:bookmarkStart w:id="2" w:name="_Hlk33107492"/>
      <w:r>
        <w:t>6、其他费用：</w:t>
      </w:r>
    </w:p>
    <w:p w14:paraId="15B262A6" w14:textId="77777777" w:rsidR="00041061" w:rsidRDefault="006D0D3E">
      <w:pPr>
        <w:jc w:val="left"/>
        <w:rPr>
          <w:rFonts w:ascii="黑体" w:cs="黑体" w:hAnsi="黑体" w:hint="eastAsia"/>
          <w:b/>
          <w:szCs w:val="21"/>
        </w:rPr>
      </w:pPr>
      <w:r>
        <w:rPr>
          <w:rFonts w:ascii="黑体" w:cs="黑体" w:hAnsi="黑体" w:hint="eastAsia"/>
          <w:b/>
          <w:szCs w:val="21"/>
        </w:rPr>
        <w:t xml:space="preserve">    无</w:t>
      </w:r>
    </w:p>
    <w:p w14:paraId="3B84CCB2" w14:textId="665D0791" w:rsidR="00041061" w:rsidRDefault="006D0D3E">
      <w:pPr>
        <w:ind w:firstLine="420"/>
        <w:jc w:val="left"/>
        <w:rPr>
          <w:rFonts w:ascii="黑体" w:cs="黑体" w:hAnsi="黑体" w:hint="eastAsia"/>
          <w:b/>
          <w:szCs w:val="21"/>
        </w:rPr>
      </w:pPr>
      <w:r>
        <w:rPr>
          <w:rFonts w:ascii="黑体" w:cs="黑体" w:hAnsi="黑体"/>
          <w:b/>
          <w:szCs w:val="21"/>
        </w:rPr>
        <w:t>7</w:t>
      </w:r>
      <w:r>
        <w:rPr>
          <w:rFonts w:ascii="黑体" w:cs="黑体" w:hAnsi="黑体" w:hint="eastAsia"/>
          <w:b/>
          <w:szCs w:val="21"/>
        </w:rPr>
        <w:t>、</w:t>
      </w:r>
      <w:r>
        <w:rPr>
          <w:rFonts w:ascii="黑体" w:cs="黑体" w:hAnsi="黑体" w:hint="eastAsia"/>
          <w:b/>
          <w:szCs w:val="21"/>
          <w:lang w:bidi="ar"/>
        </w:rPr>
        <w:t>产品运作和清算中产生的其他费用，包括但不限于资金汇划费、结算费、交易手续费、注册登记费、信息披露费、账户服务费、审计费、项目推荐费、</w:t>
      </w:r>
      <w:r w:rsidR="00DE411F" w:rsidRPr="00DE411F">
        <w:rPr>
          <w:rFonts w:ascii="黑体" w:cs="黑体" w:hAnsi="黑体"/>
          <w:b/>
          <w:szCs w:val="21"/>
          <w:lang w:bidi="ar"/>
        </w:rPr>
        <w:t>印花税、</w:t>
      </w:r>
      <w:r>
        <w:rPr>
          <w:rFonts w:ascii="黑体" w:cs="黑体" w:hAnsi="黑体" w:hint="eastAsia"/>
          <w:b/>
          <w:szCs w:val="21"/>
          <w:lang w:bidi="ar"/>
        </w:rPr>
        <w:t>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ascii="黑体" w:cs="黑体" w:hAnsi="黑体" w:hint="eastAsia"/>
          <w:b/>
          <w:szCs w:val="21"/>
        </w:rPr>
        <w:t>。</w:t>
      </w:r>
    </w:p>
    <w:p w14:paraId="28739BC4" w14:textId="0D668555"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8、针对2026年9月1日（含）后成立的产品，产品将收取信息技术服务费，信息技术服务费将按产品前一</w:t>
      </w:r>
      <w:r w:rsidR="000E66E2" w:rsidRPr="00DC7F21">
        <w:rPr>
          <w:rFonts w:ascii="黑体" w:cs="黑体" w:hAnsi="黑体"/>
          <w:b/>
          <w:szCs w:val="21"/>
          <w:lang w:bidi="ar"/>
        </w:rPr>
        <w:t>自然</w:t>
      </w:r>
      <w:r w:rsidRPr="00AE77FD">
        <w:rPr>
          <w:rFonts w:ascii="黑体" w:cs="黑体" w:hAnsi="黑体" w:hint="eastAsia"/>
          <w:b/>
          <w:szCs w:val="21"/>
        </w:rPr>
        <w:t>日资产净值的0.002%年费率计算。计算方法如下：</w:t>
      </w:r>
    </w:p>
    <w:p w14:paraId="762B7276"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T=B×信息技术服务费率（年化）÷365</w:t>
      </w:r>
    </w:p>
    <w:p w14:paraId="7BD304E9" w14:textId="77777777"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T为产品每一自然日应计提的信息技术服务费</w:t>
      </w:r>
    </w:p>
    <w:p w14:paraId="69705C26" w14:textId="29FDE274" w:rsidP="00DD5A41" w:rsidR="00DD5A41" w:rsidRDefault="00DD5A41" w:rsidRPr="00AE77FD">
      <w:pPr>
        <w:ind w:firstLine="422"/>
        <w:jc w:val="left"/>
        <w:rPr>
          <w:rFonts w:ascii="黑体" w:cs="黑体" w:hAnsi="黑体" w:hint="eastAsia"/>
          <w:b/>
          <w:szCs w:val="21"/>
        </w:rPr>
      </w:pPr>
      <w:r w:rsidRPr="00AE77FD">
        <w:rPr>
          <w:rFonts w:ascii="黑体" w:cs="黑体" w:hAnsi="黑体" w:hint="eastAsia"/>
          <w:b/>
          <w:szCs w:val="21"/>
        </w:rPr>
        <w:t>B为产品前一</w:t>
      </w:r>
      <w:r w:rsidR="000E66E2" w:rsidRPr="00DC7F21">
        <w:rPr>
          <w:rFonts w:ascii="黑体" w:cs="黑体" w:hAnsi="黑体"/>
          <w:b/>
          <w:szCs w:val="21"/>
          <w:lang w:bidi="ar"/>
        </w:rPr>
        <w:t>自然</w:t>
      </w:r>
      <w:r w:rsidRPr="00AE77FD">
        <w:rPr>
          <w:rFonts w:ascii="黑体" w:cs="黑体" w:hAnsi="黑体" w:hint="eastAsia"/>
          <w:b/>
          <w:szCs w:val="21"/>
        </w:rPr>
        <w:t>日资产净值</w:t>
      </w:r>
    </w:p>
    <w:p w14:paraId="5320BFAB" w14:textId="6666870F" w:rsidP="008F191A" w:rsidR="00DD5A41" w:rsidRDefault="00DD5A41" w:rsidRPr="00DD5A41">
      <w:pPr>
        <w:ind w:firstLine="422"/>
        <w:jc w:val="left"/>
        <w:rPr>
          <w:rFonts w:ascii="黑体" w:cs="黑体" w:hAnsi="黑体" w:hint="eastAsia"/>
          <w:b/>
          <w:szCs w:val="21"/>
        </w:rPr>
      </w:pPr>
      <w:r w:rsidRPr="00AE77FD">
        <w:rPr>
          <w:rFonts w:ascii="黑体" w:cs="黑体" w:hAnsi="黑体" w:hint="eastAsia"/>
          <w:b/>
          <w:szCs w:val="21"/>
        </w:rPr>
        <w:t>信息技术服务费用按日计提，按季支付，或由管理人向托管人发送指令，托管人复核后从产品资产中支付给银行业理财登记托管中心。</w:t>
      </w:r>
    </w:p>
    <w:p w14:paraId="1FCA005C" w14:textId="3B82F6C7" w:rsidR="00041061" w:rsidRDefault="00DD5A41">
      <w:pPr>
        <w:ind w:firstLine="420"/>
        <w:jc w:val="left"/>
        <w:rPr>
          <w:rFonts w:ascii="黑体" w:cs="黑体" w:hAnsi="黑体" w:hint="eastAsia"/>
          <w:szCs w:val="21"/>
        </w:rPr>
      </w:pPr>
      <w:r>
        <w:rPr>
          <w:rFonts w:ascii="黑体" w:cs="黑体" w:hAnsi="黑体" w:hint="eastAsia"/>
          <w:szCs w:val="21"/>
        </w:rPr>
        <w:t>9</w:t>
      </w:r>
      <w:r w:rsidR="006D0D3E">
        <w:rPr>
          <w:rFonts w:ascii="黑体" w:cs="黑体" w:hAnsi="黑体" w:hint="eastAsia"/>
          <w:szCs w:val="21"/>
        </w:rPr>
        <w:t>、上述费用将按相关合同约定的时间和方式支付给收款方。</w:t>
      </w:r>
      <w:bookmarkEnd w:id="2"/>
    </w:p>
    <w:p w14:paraId="13A3D4DA" w14:textId="2A4201F7" w:rsidR="00041061" w:rsidRDefault="00DD5A41">
      <w:pPr>
        <w:pStyle w:val="aff6"/>
        <w:ind w:firstLine="420"/>
        <w:rPr>
          <w:rFonts w:hint="eastAsia"/>
        </w:rPr>
      </w:pPr>
      <w:r>
        <w:rPr>
          <w:rFonts w:hint="eastAsia"/>
        </w:rPr>
        <w:t>10</w:t>
      </w:r>
      <w:r w:rsidR="006D0D3E">
        <w:t>、产品管理人有权根据市场情况等调整上述各项收费项目、收费条件、收费标准和收费方式，并至少于调整日之前</w:t>
      </w:r>
      <w:r w:rsidR="009710CA">
        <w:rPr>
          <w:rFonts w:hint="eastAsia"/>
        </w:rPr>
        <w:t>3</w:t>
      </w:r>
      <w:r w:rsidR="006D0D3E">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14:textId="77777777" w:rsidR="00041061" w:rsidRDefault="006D0D3E">
      <w:pPr>
        <w:jc w:val="left"/>
        <w:rPr>
          <w:rFonts w:ascii="黑体" w:cs="宋体" w:hAnsi="黑体" w:hint="eastAsia"/>
          <w:szCs w:val="21"/>
        </w:rPr>
      </w:pPr>
      <w:r>
        <w:rPr>
          <w:rFonts w:ascii="黑体" w:cs="宋体" w:hAnsi="黑体" w:hint="eastAsia"/>
          <w:szCs w:val="21"/>
        </w:rPr>
        <w:t>（二）产品收益计算示例</w:t>
      </w:r>
    </w:p>
    <w:p w14:paraId="3048A3CC" w14:textId="4628AE92" w:rsidP="002E1B69" w:rsidR="002E1B69" w:rsidRDefault="002E1B69">
      <w:pPr>
        <w:ind w:firstLine="420"/>
        <w:jc w:val="left"/>
        <w:rPr>
          <w:rFonts w:ascii="黑体" w:cs="ËÎÌå" w:hAnsi="黑体" w:hint="eastAsia"/>
          <w:szCs w:val="21"/>
        </w:rPr>
      </w:pPr>
      <w:r>
        <w:rPr>
          <w:rFonts w:ascii="黑体" w:cs="ËÎÌå" w:hAnsi="黑体" w:hint="eastAsia"/>
          <w:szCs w:val="21"/>
        </w:rPr>
        <w:t>示例1：假设投资者于募集期认购，本金为50000元，净值为1.00元/份，则投资者持有份额为50000份，产品</w:t>
      </w:r>
      <w:r>
        <w:rPr>
          <w:rFonts w:ascii="黑体" w:cs="黑体" w:hAnsi="黑体" w:hint="eastAsia"/>
          <w:szCs w:val="21"/>
        </w:rPr>
        <w:t>兑付日前一自然日</w:t>
      </w:r>
      <w:r>
        <w:rPr>
          <w:rFonts w:ascii="黑体" w:cs="ËÎÌå" w:hAnsi="黑体" w:hint="eastAsia"/>
          <w:szCs w:val="21"/>
        </w:rPr>
        <w:t>时产品单位净值为1.05元/份，则产品到期后兑付投资者金额： 50000× 1.05＝52500元 ，投资者理财收益2500元。</w:t>
      </w:r>
    </w:p>
    <w:p w14:paraId="6DC0A6D8" w14:textId="3E64B368" w:rsidP="002E1B69" w:rsidR="002E1B69" w:rsidRDefault="002E1B69">
      <w:pPr>
        <w:ind w:firstLine="420"/>
        <w:jc w:val="left"/>
        <w:rPr>
          <w:rFonts w:ascii="黑体" w:cs="宋体" w:hAnsi="黑体" w:hint="eastAsia"/>
          <w:szCs w:val="21"/>
        </w:rPr>
      </w:pPr>
      <w:r>
        <w:rPr>
          <w:rFonts w:ascii="黑体" w:cs="ËÎÌå" w:hAnsi="黑体" w:hint="eastAsia"/>
          <w:szCs w:val="21"/>
        </w:rPr>
        <w:t>示例2：假设投资者于募集期认购，本金为100000元，净值为1.00元/份，则投资者持有份额为100000份，产品</w:t>
      </w:r>
      <w:r>
        <w:rPr>
          <w:rFonts w:ascii="黑体" w:cs="黑体" w:hAnsi="黑体" w:hint="eastAsia"/>
          <w:szCs w:val="21"/>
        </w:rPr>
        <w:t>兑付日前一自然日</w:t>
      </w:r>
      <w:r>
        <w:rPr>
          <w:rFonts w:ascii="黑体" w:cs="ËÎÌå" w:hAnsi="黑体" w:hint="eastAsia"/>
          <w:szCs w:val="21"/>
        </w:rPr>
        <w:t>时产品单位净值为0.98元/份，则产品到期后兑付投资者金额： 100000× 0.98＝98000元 ，投资者亏损金额为2000元。</w:t>
      </w:r>
    </w:p>
    <w:p w14:paraId="49E3490B" w14:textId="77777777" w:rsidR="00041061" w:rsidRDefault="006D0D3E">
      <w:pPr>
        <w:ind w:firstLine="420"/>
        <w:jc w:val="left"/>
        <w:rPr>
          <w:rFonts w:ascii="黑体" w:cs="宋体" w:hAnsi="黑体" w:hint="eastAsia"/>
          <w:b/>
          <w:szCs w:val="21"/>
        </w:rPr>
      </w:pPr>
      <w:r>
        <w:rPr>
          <w:rFonts w:ascii="黑体" w:cs="宋体" w:hAnsi="黑体" w:hint="eastAsia"/>
          <w:b/>
          <w:szCs w:val="21"/>
        </w:rPr>
        <w:t>上述示例采用假设数据计算，测算收益不等于实际收益，投资须谨慎。</w:t>
      </w:r>
    </w:p>
    <w:p w14:paraId="2EDB1474" w14:textId="77777777" w:rsidR="00041061" w:rsidRDefault="006D0D3E">
      <w:pPr>
        <w:ind w:firstLine="422"/>
        <w:jc w:val="left"/>
        <w:rPr>
          <w:rFonts w:ascii="黑体" w:cs="宋体" w:hAnsi="黑体" w:hint="eastAsia"/>
          <w:b/>
          <w:bCs/>
          <w:szCs w:val="21"/>
        </w:rPr>
      </w:pPr>
      <w:r>
        <w:rPr>
          <w:rFonts w:ascii="黑体" w:cs="宋体" w:hAnsi="黑体" w:hint="eastAsia"/>
          <w:b/>
          <w:bCs/>
          <w:szCs w:val="21"/>
        </w:rPr>
        <w:t>在最不利情况下，投资者甚至可能损失全部本金。投资者应充分认识投资风险，谨慎投资。</w:t>
      </w:r>
    </w:p>
    <w:p w14:paraId="276E97EB" w14:textId="77777777" w:rsidR="00041061" w:rsidRDefault="006D0D3E">
      <w:pPr>
        <w:ind w:firstLine="420"/>
        <w:jc w:val="left"/>
        <w:rPr>
          <w:rFonts w:ascii="黑体" w:cs="宋体" w:hAnsi="黑体" w:hint="eastAsia"/>
          <w:szCs w:val="21"/>
        </w:rPr>
      </w:pPr>
      <w:r>
        <w:rPr>
          <w:rFonts w:ascii="黑体" w:cs="宋体" w:hAnsi="黑体" w:hint="eastAsia"/>
          <w:szCs w:val="21"/>
        </w:rPr>
        <w:t>示例：如投资者购买本理财产品，本金为10,000.00元，在理财产品资产组合项下资产全部亏损的最不利情况下，理财产品10,000.00元本金将全部损失</w:t>
      </w:r>
    </w:p>
    <w:p w14:paraId="3AC4D1D2" w14:textId="77777777" w:rsidR="00041061" w:rsidRDefault="00041061">
      <w:pPr>
        <w:ind w:firstLine="420"/>
        <w:jc w:val="left"/>
        <w:rPr>
          <w:rFonts w:ascii="黑体" w:cs="宋体" w:hAnsi="黑体" w:hint="eastAsia"/>
          <w:szCs w:val="21"/>
        </w:rPr>
      </w:pPr>
    </w:p>
    <w:p w14:paraId="1105F509" w14:textId="77777777" w:rsidR="00041061" w:rsidRDefault="006D0D3E">
      <w:pPr>
        <w:jc w:val="left"/>
        <w:rPr>
          <w:rFonts w:ascii="黑体" w:cs="宋体" w:hAnsi="黑体" w:hint="eastAsia"/>
          <w:b/>
          <w:szCs w:val="21"/>
        </w:rPr>
      </w:pPr>
      <w:r>
        <w:rPr>
          <w:rFonts w:ascii="黑体" w:cs="宋体" w:hAnsi="黑体" w:hint="eastAsia"/>
          <w:b/>
          <w:szCs w:val="21"/>
        </w:rPr>
        <w:t>（三）税收</w:t>
      </w:r>
    </w:p>
    <w:p w14:paraId="166A10FF" w14:textId="77777777" w:rsidR="00041061" w:rsidRDefault="006D0D3E">
      <w:pPr>
        <w:ind w:firstLine="422"/>
        <w:jc w:val="left"/>
        <w:rPr>
          <w:rFonts w:ascii="黑体" w:cs="黑体" w:hAnsi="黑体" w:hint="eastAsia"/>
          <w:b/>
          <w:szCs w:val="21"/>
        </w:rPr>
      </w:pPr>
      <w:r>
        <w:rPr>
          <w:rFonts w:ascii="黑体" w:cs="黑体" w:hAnsi="黑体"/>
          <w:b/>
          <w:szCs w:val="21"/>
        </w:rPr>
        <w:lastRenderedPageBreak/>
        <w:t>1、根据财政部、国家税务总局相关税收监管政策的规定，理财产品运营过程中发生的增值税应税行为，以</w:t>
      </w:r>
      <w:r>
        <w:rPr>
          <w:rFonts w:ascii="黑体" w:cs="黑体" w:hAnsi="黑体" w:hint="eastAsia"/>
          <w:b/>
          <w:szCs w:val="21"/>
        </w:rPr>
        <w:t>理财产品为增值税纳税主体，计算并缴纳增值税及附加税费。产品</w:t>
      </w:r>
      <w:r>
        <w:rPr>
          <w:rFonts w:ascii="黑体" w:cs="黑体" w:hAnsi="黑体"/>
          <w:b/>
          <w:szCs w:val="21"/>
        </w:rPr>
        <w:t>管理人将按照相关规定计算应缴纳的税费，</w:t>
      </w:r>
      <w:r>
        <w:rPr>
          <w:rFonts w:ascii="黑体" w:cs="黑体" w:hAnsi="黑体" w:hint="eastAsia"/>
          <w:b/>
          <w:szCs w:val="21"/>
        </w:rPr>
        <w:t>并</w:t>
      </w:r>
      <w:r>
        <w:rPr>
          <w:rFonts w:ascii="黑体" w:cs="黑体" w:hAnsi="黑体"/>
          <w:b/>
          <w:szCs w:val="21"/>
        </w:rPr>
        <w:t>从本产品财产中</w:t>
      </w:r>
      <w:r>
        <w:rPr>
          <w:rFonts w:ascii="黑体" w:cs="黑体" w:hAnsi="黑体" w:hint="eastAsia"/>
          <w:b/>
          <w:szCs w:val="21"/>
        </w:rPr>
        <w:t>扣除</w:t>
      </w:r>
      <w:r>
        <w:rPr>
          <w:rFonts w:ascii="黑体" w:cs="黑体" w:hAnsi="黑体"/>
          <w:b/>
          <w:szCs w:val="21"/>
        </w:rPr>
        <w:t>。</w:t>
      </w:r>
    </w:p>
    <w:p w14:paraId="76FBECE6" w14:textId="77777777" w:rsidR="00041061" w:rsidRDefault="006D0D3E">
      <w:pPr>
        <w:ind w:firstLine="420"/>
        <w:jc w:val="left"/>
        <w:rPr>
          <w:rFonts w:ascii="黑体" w:cs="黑体" w:hAnsi="黑体" w:hint="eastAsia"/>
          <w:szCs w:val="21"/>
        </w:rPr>
      </w:pPr>
      <w:r>
        <w:rPr>
          <w:rFonts w:ascii="黑体" w:cs="黑体" w:hAnsi="黑体"/>
          <w:szCs w:val="21"/>
        </w:rPr>
        <w:t>2</w:t>
      </w:r>
      <w:r>
        <w:rPr>
          <w:rFonts w:ascii="黑体" w:cs="黑体" w:hAnsi="黑体" w:hint="eastAsia"/>
          <w:szCs w:val="21"/>
        </w:rPr>
        <w:t>、除法律法规</w:t>
      </w:r>
      <w:r>
        <w:rPr>
          <w:rFonts w:ascii="黑体" w:cs="黑体" w:hAnsi="黑体"/>
          <w:szCs w:val="21"/>
        </w:rPr>
        <w:t>特别要求外，投资者应缴纳的</w:t>
      </w:r>
      <w:r>
        <w:rPr>
          <w:rFonts w:ascii="黑体" w:cs="黑体" w:hAnsi="黑体" w:hint="eastAsia"/>
          <w:szCs w:val="21"/>
        </w:rPr>
        <w:t>税费</w:t>
      </w:r>
      <w:r>
        <w:rPr>
          <w:rFonts w:ascii="黑体" w:cs="黑体" w:hAnsi="黑体"/>
          <w:szCs w:val="21"/>
        </w:rPr>
        <w:t>由投资者</w:t>
      </w:r>
      <w:r>
        <w:rPr>
          <w:rFonts w:ascii="黑体" w:cs="黑体" w:hAnsi="黑体" w:hint="eastAsia"/>
          <w:szCs w:val="21"/>
        </w:rPr>
        <w:t>自行缴纳</w:t>
      </w:r>
      <w:r>
        <w:rPr>
          <w:rFonts w:ascii="黑体" w:cs="黑体" w:hAnsi="黑体"/>
          <w:szCs w:val="21"/>
        </w:rPr>
        <w:t>，</w:t>
      </w:r>
      <w:r>
        <w:rPr>
          <w:rFonts w:ascii="黑体" w:cs="黑体" w:hAnsi="黑体" w:hint="eastAsia"/>
          <w:szCs w:val="21"/>
        </w:rPr>
        <w:t>产品管理人</w:t>
      </w:r>
      <w:r>
        <w:rPr>
          <w:rFonts w:ascii="黑体" w:cs="黑体" w:hAnsi="黑体"/>
          <w:szCs w:val="21"/>
        </w:rPr>
        <w:t>不承担代扣代缴或纳税的义务。</w:t>
      </w:r>
    </w:p>
    <w:p w14:paraId="6187A308" w14:textId="77777777" w:rsidR="00041061" w:rsidRDefault="006D0D3E">
      <w:pPr>
        <w:ind w:firstLine="420"/>
        <w:jc w:val="left"/>
        <w:rPr>
          <w:rFonts w:ascii="黑体" w:cs="黑体" w:hAnsi="黑体" w:hint="eastAsia"/>
          <w:szCs w:val="21"/>
        </w:rPr>
      </w:pPr>
      <w:r>
        <w:rPr>
          <w:rFonts w:ascii="黑体" w:cs="黑体" w:hAnsi="黑体"/>
          <w:szCs w:val="21"/>
        </w:rPr>
        <w:t>3</w:t>
      </w:r>
      <w:r>
        <w:rPr>
          <w:rFonts w:ascii="黑体" w:cs="黑体" w:hAnsi="黑体" w:hint="eastAsia"/>
          <w:szCs w:val="21"/>
        </w:rPr>
        <w:t>、后续国家法律法规如对相关税收政策进行调整，产品管理人有权根据税收政策相应调整理财产品运营过程中发生的税费计算及</w:t>
      </w:r>
      <w:r>
        <w:rPr>
          <w:rFonts w:ascii="黑体" w:cs="黑体" w:hAnsi="黑体"/>
          <w:szCs w:val="21"/>
        </w:rPr>
        <w:t>缴纳</w:t>
      </w:r>
      <w:r>
        <w:rPr>
          <w:rFonts w:ascii="黑体" w:cs="黑体" w:hAnsi="黑体" w:hint="eastAsia"/>
          <w:szCs w:val="21"/>
        </w:rPr>
        <w:t>方式。</w:t>
      </w:r>
    </w:p>
    <w:p w14:paraId="5C6A373E" w14:textId="77777777" w:rsidR="00041061" w:rsidRDefault="00041061">
      <w:pPr>
        <w:jc w:val="left"/>
        <w:rPr>
          <w:rFonts w:ascii="黑体" w:cs="黑体" w:hAnsi="黑体" w:hint="eastAsia"/>
          <w:szCs w:val="21"/>
        </w:rPr>
      </w:pPr>
    </w:p>
    <w:p w14:paraId="3321D7E3" w14:textId="77777777" w:rsidR="00041061" w:rsidRDefault="006D0D3E">
      <w:pPr>
        <w:jc w:val="left"/>
        <w:rPr>
          <w:rFonts w:ascii="黑体" w:cs="黑体" w:hAnsi="黑体" w:hint="eastAsia"/>
          <w:b/>
          <w:szCs w:val="21"/>
        </w:rPr>
      </w:pPr>
      <w:r>
        <w:rPr>
          <w:rFonts w:ascii="黑体" w:cs="黑体" w:hAnsi="黑体" w:hint="eastAsia"/>
          <w:b/>
          <w:szCs w:val="21"/>
        </w:rPr>
        <w:t>七、</w:t>
      </w:r>
      <w:bookmarkStart w:id="3" w:name="_Hlk33087400"/>
      <w:bookmarkStart w:id="4" w:name="_Hlk33087179"/>
      <w:r>
        <w:rPr>
          <w:rFonts w:ascii="黑体" w:cs="黑体" w:hAnsi="黑体" w:hint="eastAsia"/>
          <w:b/>
          <w:szCs w:val="21"/>
        </w:rPr>
        <w:t>理财产品到期与终止</w:t>
      </w:r>
    </w:p>
    <w:p w14:paraId="6835BBFC" w14:textId="77777777" w:rsidR="00041061" w:rsidRDefault="006D0D3E">
      <w:pPr>
        <w:ind w:firstLine="422"/>
        <w:jc w:val="left"/>
        <w:rPr>
          <w:rFonts w:ascii="黑体" w:cs="宋体" w:hAnsi="黑体" w:hint="eastAsia"/>
          <w:b/>
          <w:szCs w:val="21"/>
        </w:rPr>
      </w:pPr>
      <w:r>
        <w:rPr>
          <w:rFonts w:ascii="黑体" w:cs="ËÎÌå" w:hAnsi="黑体"/>
          <w:b/>
          <w:szCs w:val="21"/>
        </w:rPr>
        <w:t>1</w:t>
      </w:r>
      <w:r>
        <w:rPr>
          <w:rFonts w:ascii="黑体" w:cs="ËÎÌå" w:hAnsi="黑体" w:hint="eastAsia"/>
          <w:b/>
          <w:szCs w:val="21"/>
        </w:rPr>
        <w:t>、</w:t>
      </w:r>
      <w:r>
        <w:rPr>
          <w:rFonts w:ascii="黑体" w:cs="宋体" w:hAnsi="黑体" w:hint="eastAsia"/>
          <w:b/>
          <w:szCs w:val="21"/>
        </w:rPr>
        <w:t>正常兑付</w:t>
      </w:r>
    </w:p>
    <w:p w14:paraId="065BE480" w14:textId="506E0CF9" w:rsidR="00874C82" w:rsidRDefault="006D0D3E" w:rsidRPr="00A853CB">
      <w:pPr>
        <w:pStyle w:val="aff6"/>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cs="黑体" w:hint="eastAsia"/>
        </w:rPr>
        <w:t>3</w:t>
      </w:r>
      <w:r w:rsidRPr="00A853CB">
        <w:rPr>
          <w:rFonts w:cs="黑体" w:hint="eastAsia"/>
        </w:rPr>
        <w:t/>
      </w:r>
      <w:r w:rsidRPr="00A853CB">
        <w:t>个工作日内</w:t>
      </w:r>
      <w:r w:rsidR="002E1B69" w:rsidRPr="00A853CB">
        <w:rPr>
          <w:rFonts w:hint="eastAsia"/>
        </w:rPr>
        <w:t>由销售机构</w:t>
      </w:r>
      <w:r w:rsidRPr="00A853CB">
        <w:t>划转至投资者指定账户，如遇法定节假日或公休日则顺延。</w:t>
      </w:r>
      <w:r w:rsidR="00874C82" w:rsidRPr="00A853CB">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14:textId="77777777" w:rsidR="00041061" w:rsidRDefault="006D0D3E">
      <w:pPr>
        <w:ind w:firstLine="422"/>
        <w:jc w:val="left"/>
        <w:rPr>
          <w:rFonts w:ascii="黑体" w:cs="宋体" w:hAnsi="黑体" w:hint="eastAsia"/>
          <w:b/>
          <w:szCs w:val="21"/>
        </w:rPr>
      </w:pPr>
      <w:r>
        <w:rPr>
          <w:rFonts w:ascii="黑体" w:cs="宋体" w:hAnsi="黑体"/>
          <w:b/>
          <w:szCs w:val="21"/>
        </w:rPr>
        <w:t>2、提前终止</w:t>
      </w:r>
    </w:p>
    <w:p w14:paraId="2F607C63" w14:textId="5C24850E" w:rsidR="00041061" w:rsidRDefault="006D0D3E">
      <w:pPr>
        <w:pStyle w:val="aff6"/>
        <w:ind w:firstLine="422"/>
        <w:rPr>
          <w:rFonts w:hint="eastAsia"/>
        </w:rPr>
      </w:pPr>
      <w:r>
        <w:t>在本产品存续期内，如遇包括但不限于国家金融政策发生重大调整、金融市场发生重大波动、不可抗力</w:t>
      </w:r>
      <w:r>
        <w:rPr>
          <w:rFonts w:cs="黑体" w:hint="eastAsia"/>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14:textId="77777777" w:rsidR="00041061" w:rsidRDefault="006D0D3E">
      <w:pPr>
        <w:ind w:firstLine="422"/>
        <w:jc w:val="left"/>
        <w:rPr>
          <w:rFonts w:ascii="黑体" w:hAnsi="黑体" w:hint="eastAsia"/>
          <w:b/>
        </w:rPr>
      </w:pPr>
      <w:r>
        <w:rPr>
          <w:rFonts w:ascii="黑体" w:hAnsi="黑体"/>
          <w:b/>
        </w:rPr>
        <w:t>3、其他情况</w:t>
      </w:r>
    </w:p>
    <w:p w14:paraId="47D01180" w14:textId="77777777" w:rsidR="00041061" w:rsidRDefault="006D0D3E">
      <w:pPr>
        <w:pStyle w:val="aff7"/>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14:textId="77777777" w:rsidR="00041061" w:rsidRDefault="00041061">
      <w:pPr>
        <w:ind w:firstLine="420"/>
        <w:jc w:val="left"/>
        <w:rPr>
          <w:rFonts w:ascii="黑体" w:cs="黑体" w:hAnsi="黑体" w:hint="eastAsia"/>
          <w:szCs w:val="21"/>
        </w:rPr>
      </w:pPr>
    </w:p>
    <w:p w14:paraId="17E1AA49" w14:textId="5966EC0B" w:rsidR="00041061" w:rsidRDefault="006D0D3E">
      <w:pPr>
        <w:jc w:val="left"/>
        <w:rPr>
          <w:rFonts w:ascii="黑体" w:cs="宋体" w:hAnsi="黑体" w:hint="eastAsia"/>
          <w:b/>
          <w:szCs w:val="21"/>
        </w:rPr>
      </w:pPr>
      <w:r>
        <w:rPr>
          <w:rFonts w:ascii="黑体" w:cs="宋体" w:hAnsi="黑体" w:hint="eastAsia"/>
          <w:b/>
          <w:szCs w:val="21"/>
        </w:rPr>
        <w:t>八、</w:t>
      </w:r>
      <w:r w:rsidR="00810065">
        <w:rPr>
          <w:rFonts w:ascii="黑体" w:cs="宋体" w:hAnsi="黑体" w:hint="eastAsia"/>
          <w:b/>
          <w:szCs w:val="21"/>
        </w:rPr>
        <w:t>产品管理人、</w:t>
      </w:r>
      <w:r>
        <w:rPr>
          <w:rFonts w:ascii="黑体" w:cs="宋体" w:hAnsi="黑体" w:hint="eastAsia"/>
          <w:b/>
          <w:szCs w:val="21"/>
        </w:rPr>
        <w:t>托管机构和销售机构</w:t>
      </w:r>
    </w:p>
    <w:p w14:paraId="66AC399A" w14:textId="77777777" w:rsidP="00810065" w:rsidR="00810065" w:rsidRDefault="00810065">
      <w:pPr>
        <w:jc w:val="left"/>
        <w:rPr>
          <w:rFonts w:ascii="黑体" w:cs="宋体" w:hAnsi="黑体" w:hint="eastAsia"/>
          <w:b/>
          <w:szCs w:val="21"/>
        </w:rPr>
      </w:pPr>
      <w:r>
        <w:rPr>
          <w:rFonts w:ascii="黑体" w:cs="宋体" w:hAnsi="黑体" w:hint="eastAsia"/>
          <w:b/>
          <w:szCs w:val="21"/>
        </w:rPr>
        <w:t>（一）产品管理人基本信息</w:t>
      </w:r>
    </w:p>
    <w:p w14:paraId="782AB789" w14:textId="77777777" w:rsidP="00810065" w:rsidR="00810065" w:rsidRDefault="00810065">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、机构名称：宁银理财有限责任公司</w:t>
      </w:r>
    </w:p>
    <w:p w14:paraId="19D006DF"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客服热线：400-099-5574</w:t>
      </w:r>
    </w:p>
    <w:p w14:paraId="5CA4557A" w14:textId="77777777" w:rsidP="00810065" w:rsidR="00810065" w:rsidRDefault="00810065">
      <w:pPr>
        <w:ind w:firstLine="420"/>
        <w:jc w:val="left"/>
        <w:rPr>
          <w:rFonts w:ascii="黑体" w:cs="宋体" w:hAnsi="黑体" w:hint="eastAsia"/>
          <w:szCs w:val="21"/>
        </w:rPr>
      </w:pPr>
      <w:r>
        <w:rPr>
          <w:rFonts w:ascii="黑体" w:cs="宋体" w:hAnsi="黑体"/>
          <w:szCs w:val="21"/>
        </w:rPr>
        <w:t xml:space="preserve">   </w:t>
      </w:r>
      <w:r>
        <w:rPr>
          <w:rFonts w:ascii="黑体" w:cs="宋体" w:hAnsi="黑体" w:hint="eastAsia"/>
          <w:szCs w:val="21"/>
        </w:rPr>
        <w:t>官方网站：www.wmbnb.com</w:t>
      </w:r>
    </w:p>
    <w:p w14:paraId="27701991" w14:textId="77777777" w:rsidP="00810065" w:rsidR="00810065" w:rsidRDefault="00810065">
      <w:pPr>
        <w:ind w:firstLine="420"/>
        <w:jc w:val="left"/>
        <w:rPr>
          <w:rFonts w:ascii="黑体" w:cs="Calibri" w:hAnsi="黑体" w:hint="eastAsia"/>
          <w:szCs w:val="21"/>
        </w:rPr>
      </w:pPr>
      <w:r>
        <w:rPr>
          <w:rFonts w:ascii="黑体" w:cs="宋体" w:hAnsi="黑体" w:hint="eastAsia"/>
          <w:szCs w:val="21"/>
        </w:rPr>
        <w:t xml:space="preserve">   住所：浙江省宁波市鄞州区和源路318号中银大厦26层、30层、32层</w:t>
      </w:r>
    </w:p>
    <w:p w14:paraId="129186E7" w14:textId="77777777" w:rsidP="00810065" w:rsidR="00810065" w:rsidRDefault="00810065">
      <w:pPr>
        <w:ind w:firstLine="420"/>
        <w:rPr>
          <w:rFonts w:ascii="黑体" w:cs="宋体" w:hAnsi="黑体" w:hint="eastAsia"/>
          <w:bCs/>
          <w:szCs w:val="21"/>
        </w:rPr>
      </w:pPr>
      <w:r>
        <w:rPr>
          <w:rFonts w:ascii="黑体" w:cs="宋体" w:hAnsi="黑体" w:hint="eastAsia"/>
          <w:bCs/>
          <w:szCs w:val="21"/>
        </w:rPr>
        <w:t>产品管理人主要职责：</w:t>
      </w:r>
    </w:p>
    <w:p w14:paraId="73F0FA5F" w14:textId="77777777" w:rsidP="00810065" w:rsidR="00810065" w:rsidRDefault="00810065">
      <w:pPr>
        <w:ind w:firstLine="420"/>
        <w:rPr>
          <w:rFonts w:ascii="黑体" w:cs="黑体" w:hAnsi="黑体" w:hint="eastAsia"/>
          <w:szCs w:val="21"/>
        </w:rPr>
      </w:pPr>
      <w:r>
        <w:rPr>
          <w:rFonts w:ascii="黑体" w:cs="黑体" w:hAnsi="黑体" w:hint="eastAsia"/>
          <w:szCs w:val="21"/>
        </w:rPr>
        <w:t>1、接受投资者的委托和授权，按照</w:t>
      </w:r>
      <w:r>
        <w:rPr>
          <w:rFonts w:ascii="黑体" w:cs="宋体" w:hAnsi="黑体" w:hint="eastAsia"/>
          <w:bCs/>
          <w:szCs w:val="21"/>
        </w:rPr>
        <w:t>国家法律、法规及其他有关规定和理财产品销售文件约定，遵循诚实信用、勤勉尽责的原则履行受托管理职责，负责本</w:t>
      </w:r>
      <w:r>
        <w:rPr>
          <w:rFonts w:ascii="黑体" w:cs="黑体" w:hAnsi="黑体" w:hint="eastAsia"/>
          <w:szCs w:val="21"/>
        </w:rPr>
        <w:t>理财产品资金的运用和理财产品资产的管理，开展风险管理等；</w:t>
      </w:r>
    </w:p>
    <w:p w14:paraId="7EC20006" w14:textId="77777777" w:rsidP="00810065" w:rsidR="00810065" w:rsidRDefault="00810065">
      <w:pPr>
        <w:ind w:firstLine="420"/>
        <w:rPr>
          <w:rFonts w:ascii="黑体" w:cs="黑体" w:hAnsi="黑体" w:hint="eastAsia"/>
          <w:szCs w:val="21"/>
        </w:rPr>
      </w:pPr>
      <w:r>
        <w:rPr>
          <w:rFonts w:ascii="黑体" w:cs="黑体" w:hAnsi="黑体" w:hint="eastAsia"/>
          <w:szCs w:val="21"/>
        </w:rPr>
        <w:t>2、对产品风险等级开展动态管理</w:t>
      </w:r>
      <w:r>
        <w:rPr>
          <w:rFonts w:ascii="黑体" w:cs="宋体" w:hAnsi="黑体" w:hint="eastAsia"/>
          <w:bCs/>
          <w:szCs w:val="21"/>
        </w:rPr>
        <w:t>，及时将产品风险等级变动情况告知销售机构</w:t>
      </w:r>
      <w:r>
        <w:rPr>
          <w:rFonts w:ascii="黑体" w:cs="黑体" w:hAnsi="黑体" w:hint="eastAsia"/>
          <w:szCs w:val="21"/>
        </w:rPr>
        <w:t>；</w:t>
      </w:r>
    </w:p>
    <w:p w14:paraId="7387ED93" w14:textId="77777777" w:rsidP="00810065" w:rsidR="00810065" w:rsidRDefault="00810065">
      <w:pPr>
        <w:ind w:firstLine="420"/>
        <w:rPr>
          <w:rFonts w:ascii="黑体" w:cs="宋体" w:hAnsi="黑体" w:hint="eastAsia"/>
          <w:szCs w:val="21"/>
        </w:rPr>
      </w:pPr>
      <w:r>
        <w:rPr>
          <w:rFonts w:ascii="黑体" w:cs="黑体" w:hAnsi="黑体" w:hint="eastAsia"/>
          <w:szCs w:val="21"/>
        </w:rPr>
        <w:t>3、按照</w:t>
      </w:r>
      <w:r>
        <w:rPr>
          <w:rFonts w:ascii="黑体" w:cs="宋体" w:hAnsi="黑体" w:hint="eastAsia"/>
          <w:bCs/>
          <w:szCs w:val="21"/>
        </w:rPr>
        <w:t>有关法律法规、监管规定和理财产品销售文件的要求，及时、充分披露本产品的相关信息</w:t>
      </w:r>
      <w:r>
        <w:rPr>
          <w:rFonts w:ascii="黑体" w:cs="黑体" w:hAnsi="黑体" w:hint="eastAsia"/>
          <w:szCs w:val="21"/>
        </w:rPr>
        <w:t>；</w:t>
      </w:r>
    </w:p>
    <w:p w14:paraId="40B202EF" w14:textId="77777777" w:rsidP="00810065" w:rsidR="00810065" w:rsidRDefault="00810065">
      <w:pPr>
        <w:ind w:firstLine="420"/>
        <w:rPr>
          <w:rFonts w:ascii="黑体" w:cs="宋体" w:hAnsi="黑体" w:hint="eastAsia"/>
          <w:szCs w:val="21"/>
        </w:rPr>
      </w:pPr>
      <w:r>
        <w:rPr>
          <w:rFonts w:ascii="黑体" w:cs="宋体" w:hAnsi="黑体" w:hint="eastAsia"/>
          <w:szCs w:val="21"/>
        </w:rPr>
        <w:t>4、</w:t>
      </w:r>
      <w:r>
        <w:rPr>
          <w:rFonts w:ascii="黑体" w:cs="宋体" w:hAnsi="黑体" w:hint="eastAsia"/>
          <w:bCs/>
          <w:szCs w:val="21"/>
        </w:rPr>
        <w:t>按照反洗钱、反恐怖融资及非居民金融账户涉税信息尽职调查等相关法律法规要求识别客户身份并报送相关信息</w:t>
      </w:r>
      <w:r>
        <w:rPr>
          <w:rFonts w:ascii="黑体" w:cs="宋体" w:hAnsi="黑体" w:hint="eastAsia"/>
          <w:szCs w:val="21"/>
        </w:rPr>
        <w:t>；</w:t>
      </w:r>
    </w:p>
    <w:p w14:paraId="08275F46" w14:textId="77777777" w:rsidP="00810065" w:rsidR="00810065" w:rsidRDefault="00810065">
      <w:pPr>
        <w:ind w:firstLine="420"/>
        <w:rPr>
          <w:rFonts w:ascii="黑体" w:cs="黑体" w:hAnsi="黑体" w:hint="eastAsia"/>
          <w:szCs w:val="21"/>
        </w:rPr>
      </w:pPr>
      <w:r>
        <w:rPr>
          <w:rFonts w:ascii="黑体" w:cs="黑体" w:hAnsi="黑体" w:hint="eastAsia"/>
          <w:szCs w:val="21"/>
        </w:rPr>
        <w:t>5、按照</w:t>
      </w:r>
      <w:r>
        <w:rPr>
          <w:rFonts w:ascii="黑体" w:cs="宋体" w:hAnsi="黑体" w:hint="eastAsia"/>
          <w:bCs/>
          <w:szCs w:val="21"/>
        </w:rPr>
        <w:t>国家法律、法规及其他有关规定和理财产品销售文件约定处理投资者个人信息</w:t>
      </w:r>
      <w:r>
        <w:rPr>
          <w:rFonts w:ascii="黑体" w:cs="黑体" w:hAnsi="黑体" w:hint="eastAsia"/>
          <w:szCs w:val="21"/>
        </w:rPr>
        <w:t>并开展个人信息保护工作，除法律、法规、监管规定及销售文件约定外，不得向任何机构或者个人提供投资者个人信息；</w:t>
      </w:r>
    </w:p>
    <w:p w14:paraId="697EA8BD" w14:textId="77777777" w:rsidP="00810065" w:rsidR="00810065" w:rsidRDefault="00810065">
      <w:pPr>
        <w:ind w:firstLine="420"/>
        <w:rPr>
          <w:rFonts w:ascii="黑体" w:cs="宋体" w:hAnsi="黑体" w:hint="eastAsia"/>
          <w:szCs w:val="21"/>
        </w:rPr>
      </w:pPr>
      <w:r>
        <w:rPr>
          <w:rFonts w:ascii="黑体" w:cs="黑体" w:hAnsi="黑体" w:hint="eastAsia"/>
          <w:szCs w:val="21"/>
        </w:rPr>
        <w:t>6、代表投资者利益，按照法律、法规及其他有关规定和理财产品销售文件规定，对理财产品投资产生的风险资产进行多种方式的处置以及</w:t>
      </w:r>
      <w:r>
        <w:rPr>
          <w:rFonts w:ascii="黑体" w:cs="宋体" w:hAnsi="黑体" w:hint="eastAsia"/>
          <w:szCs w:val="21"/>
        </w:rPr>
        <w:t>行使诉讼权利或实施其他法律行为；</w:t>
      </w:r>
    </w:p>
    <w:p w14:paraId="3B1C5039" w14:textId="77777777" w:rsidP="00810065" w:rsidR="00810065" w:rsidRDefault="00810065">
      <w:pPr>
        <w:ind w:firstLine="420"/>
        <w:rPr>
          <w:rFonts w:ascii="黑体" w:cs="黑体" w:hAnsi="黑体" w:hint="eastAsia"/>
          <w:szCs w:val="21"/>
        </w:rPr>
      </w:pPr>
      <w:r>
        <w:rPr>
          <w:rFonts w:ascii="黑体" w:cs="宋体" w:hAnsi="黑体" w:hint="eastAsia"/>
          <w:szCs w:val="21"/>
        </w:rPr>
        <w:t>7、妥善保管投资者理财产品销售相关资料，保管年限不低于法律、法规及监管规定的年限；</w:t>
      </w:r>
    </w:p>
    <w:p w14:paraId="4752FB5F" w14:textId="703F686B" w:rsidP="008F191A" w:rsidR="00810065" w:rsidRDefault="00810065" w:rsidRPr="00F754A5">
      <w:pPr>
        <w:ind w:firstLine="420"/>
        <w:jc w:val="left"/>
        <w:rPr>
          <w:rFonts w:ascii="黑体" w:cs="黑体" w:hAnsi="黑体" w:hint="eastAsia"/>
          <w:szCs w:val="21"/>
        </w:rPr>
      </w:pPr>
      <w:r>
        <w:rPr>
          <w:rFonts w:ascii="黑体" w:cs="宋体" w:hAnsi="黑体" w:hint="eastAsia"/>
          <w:szCs w:val="21"/>
        </w:rPr>
        <w:t>8、法律</w:t>
      </w:r>
      <w:r>
        <w:rPr>
          <w:rFonts w:ascii="黑体" w:cs="宋体" w:hAnsi="黑体"/>
          <w:szCs w:val="21"/>
        </w:rPr>
        <w:t>、法规、</w:t>
      </w:r>
      <w:r>
        <w:rPr>
          <w:rFonts w:ascii="黑体" w:cs="宋体" w:hAnsi="黑体" w:hint="eastAsia"/>
          <w:szCs w:val="21"/>
        </w:rPr>
        <w:t>监管</w:t>
      </w:r>
      <w:r>
        <w:rPr>
          <w:rFonts w:ascii="黑体" w:cs="黑体" w:hAnsi="黑体" w:hint="eastAsia"/>
          <w:szCs w:val="21"/>
        </w:rPr>
        <w:t>规定和理财产品销售文件约定的其他职责。</w:t>
      </w:r>
    </w:p>
    <w:p w14:paraId="3B6566E8" w14:textId="41523A1F" w:rsidR="00041061" w:rsidRDefault="006D0D3E">
      <w:pPr>
        <w:jc w:val="left"/>
        <w:rPr>
          <w:rFonts w:ascii="黑体" w:cs="宋体" w:hAnsi="黑体" w:hint="eastAsia"/>
          <w:bCs/>
          <w:szCs w:val="21"/>
        </w:rPr>
      </w:pPr>
      <w:r>
        <w:rPr>
          <w:rFonts w:ascii="黑体" w:cs="宋体" w:hAnsi="黑体" w:hint="eastAsia"/>
          <w:bCs/>
          <w:szCs w:val="21"/>
        </w:rPr>
        <w:t>（</w:t>
      </w:r>
      <w:r w:rsidR="00810065">
        <w:rPr>
          <w:rFonts w:ascii="黑体" w:cs="宋体" w:hAnsi="黑体" w:hint="eastAsia"/>
          <w:bCs/>
          <w:szCs w:val="21"/>
        </w:rPr>
        <w:t>二</w:t>
      </w:r>
      <w:r>
        <w:rPr>
          <w:rFonts w:ascii="黑体" w:cs="宋体" w:hAnsi="黑体" w:hint="eastAsia"/>
          <w:bCs/>
          <w:szCs w:val="21"/>
        </w:rPr>
        <w:t>）托管机构基本</w:t>
      </w:r>
      <w:r>
        <w:rPr>
          <w:rFonts w:ascii="黑体" w:cs="宋体" w:hAnsi="黑体"/>
          <w:bCs/>
          <w:szCs w:val="21"/>
        </w:rPr>
        <w:t>信息</w:t>
      </w:r>
    </w:p>
    <w:p w14:paraId="61E01A75" w14:textId="77777777" w:rsidR="00041061" w:rsidRDefault="006D0D3E">
      <w:pPr>
        <w:ind w:firstLine="420"/>
        <w:jc w:val="left"/>
        <w:rPr>
          <w:rFonts w:ascii="黑体" w:cs="宋体" w:hAnsi="黑体" w:hint="eastAsia"/>
          <w:szCs w:val="21"/>
        </w:rPr>
      </w:pPr>
      <w:r>
        <w:rPr>
          <w:rFonts w:ascii="黑体" w:cs="宋体" w:hAnsi="黑体" w:hint="eastAsia"/>
          <w:szCs w:val="21"/>
        </w:rPr>
        <w:t>1、机构名称：宁波银行股份有限公司</w:t>
      </w:r>
    </w:p>
    <w:p w14:paraId="3E9A9322" w14:textId="77777777" w:rsidR="00041061" w:rsidRDefault="006D0D3E">
      <w:pPr>
        <w:ind w:firstLine="420"/>
        <w:jc w:val="left"/>
        <w:rPr>
          <w:rFonts w:ascii="黑体" w:cs="宋体" w:hAnsi="黑体" w:hint="eastAsia"/>
          <w:szCs w:val="21"/>
        </w:rPr>
      </w:pPr>
      <w:r>
        <w:rPr>
          <w:rFonts w:ascii="黑体" w:cs="宋体" w:hAnsi="黑体" w:hint="eastAsia"/>
          <w:szCs w:val="21"/>
        </w:rPr>
        <w:lastRenderedPageBreak/>
        <w:t xml:space="preserve">   客服热线：95574</w:t>
      </w:r>
    </w:p>
    <w:p w14:paraId="625CD371" w14:textId="77777777" w:rsidR="00041061" w:rsidRDefault="006D0D3E">
      <w:pPr>
        <w:ind w:firstLine="420"/>
        <w:jc w:val="left"/>
        <w:rPr>
          <w:rFonts w:ascii="黑体" w:cs="宋体" w:hAnsi="黑体" w:hint="eastAsia"/>
          <w:szCs w:val="21"/>
        </w:rPr>
      </w:pPr>
      <w:r>
        <w:rPr>
          <w:rFonts w:ascii="黑体" w:cs="宋体" w:hAnsi="黑体" w:hint="eastAsia"/>
          <w:szCs w:val="21"/>
        </w:rPr>
        <w:t xml:space="preserve">   官方网站：www.nbcb.com.cn</w:t>
      </w:r>
    </w:p>
    <w:p w14:paraId="04883688" w14:textId="4C2984F3" w:rsidP="00810065" w:rsidR="00810065" w:rsidRDefault="00810065" w:rsidRPr="00810065">
      <w:pPr>
        <w:ind w:firstLine="420"/>
        <w:jc w:val="left"/>
        <w:rPr>
          <w:rFonts w:ascii="黑体" w:cs="Calibri" w:hAnsi="黑体" w:hint="eastAsia"/>
          <w:szCs w:val="21"/>
        </w:rPr>
      </w:pPr>
      <w:r>
        <w:rPr>
          <w:rFonts w:ascii="黑体" w:cs="宋体" w:hAnsi="黑体" w:hint="eastAsia"/>
          <w:szCs w:val="21"/>
        </w:rPr>
        <w:t xml:space="preserve">   住所：</w:t>
      </w:r>
      <w:r>
        <w:rPr>
          <w:rFonts w:ascii="黑体" w:cs="宋体" w:hAnsi="黑体"/>
          <w:szCs w:val="21"/>
        </w:rPr>
        <w:t>浙江省宁波市鄞州区宁东路345号</w:t>
      </w:r>
    </w:p>
    <w:p w14:paraId="68F5D143" w14:textId="77777777" w:rsidR="00041061" w:rsidRDefault="006D0D3E">
      <w:pPr>
        <w:ind w:firstLine="420"/>
        <w:jc w:val="left"/>
        <w:rPr>
          <w:rFonts w:ascii="黑体" w:cs="宋体" w:hAnsi="黑体" w:hint="eastAsia"/>
          <w:bCs/>
          <w:szCs w:val="21"/>
        </w:rPr>
      </w:pPr>
      <w:r>
        <w:rPr>
          <w:rFonts w:ascii="黑体" w:cs="宋体" w:hAnsi="黑体" w:hint="eastAsia"/>
          <w:bCs/>
          <w:szCs w:val="21"/>
        </w:rPr>
        <w:t>托管机构主要职责：</w:t>
      </w:r>
    </w:p>
    <w:p w14:paraId="0F2F5FD3" w14:textId="77777777" w:rsidR="00041061" w:rsidRDefault="006D0D3E">
      <w:pPr>
        <w:ind w:firstLine="420"/>
        <w:jc w:val="left"/>
        <w:rPr>
          <w:rFonts w:ascii="黑体" w:cs="宋体" w:hAnsi="黑体" w:hint="eastAsia"/>
          <w:szCs w:val="21"/>
        </w:rPr>
      </w:pPr>
      <w:r>
        <w:rPr>
          <w:rFonts w:ascii="黑体" w:cs="宋体" w:hAnsi="黑体" w:hint="eastAsia"/>
          <w:szCs w:val="21"/>
        </w:rPr>
        <w:t>1、安全托管理财资金及其所投资的资产或保管代表资产的权益凭证或财产清单；</w:t>
      </w:r>
    </w:p>
    <w:p w14:paraId="50EAABE9" w14:textId="77777777" w:rsidR="00041061" w:rsidRDefault="006D0D3E">
      <w:pPr>
        <w:ind w:firstLine="420"/>
        <w:jc w:val="left"/>
        <w:rPr>
          <w:rFonts w:ascii="黑体" w:cs="宋体" w:hAnsi="黑体" w:hint="eastAsia"/>
          <w:szCs w:val="21"/>
        </w:rPr>
      </w:pPr>
      <w:r>
        <w:rPr>
          <w:rFonts w:ascii="黑体" w:cs="宋体" w:hAnsi="黑体" w:hint="eastAsia"/>
          <w:szCs w:val="21"/>
        </w:rPr>
        <w:t>2、为本产品开设独立的托管账户，不同托管账户中的资产应当相互独立；</w:t>
      </w:r>
    </w:p>
    <w:p w14:paraId="2C3CE4A6" w14:textId="77777777" w:rsidR="00041061" w:rsidRDefault="006D0D3E">
      <w:pPr>
        <w:ind w:firstLine="420"/>
        <w:jc w:val="left"/>
        <w:rPr>
          <w:rFonts w:ascii="黑体" w:cs="宋体" w:hAnsi="黑体" w:hint="eastAsia"/>
          <w:szCs w:val="21"/>
        </w:rPr>
      </w:pPr>
      <w:r>
        <w:rPr>
          <w:rFonts w:ascii="黑体" w:cs="宋体" w:hAnsi="黑体" w:hint="eastAsia"/>
          <w:szCs w:val="21"/>
        </w:rPr>
        <w:t>3、按照托管协议约定和产品管理人的投资指令，及时办理清算、交割事宜；</w:t>
      </w:r>
    </w:p>
    <w:p w14:paraId="77FE4607" w14:textId="77777777" w:rsidR="00041061" w:rsidRDefault="006D0D3E">
      <w:pPr>
        <w:ind w:firstLine="420"/>
        <w:jc w:val="left"/>
        <w:rPr>
          <w:rFonts w:ascii="黑体" w:cs="宋体" w:hAnsi="黑体" w:hint="eastAsia"/>
          <w:szCs w:val="21"/>
        </w:rPr>
      </w:pPr>
      <w:r>
        <w:rPr>
          <w:rFonts w:ascii="黑体" w:cs="宋体" w:hAnsi="黑体" w:hint="eastAsia"/>
          <w:szCs w:val="21"/>
        </w:rPr>
        <w:t>4、记录理财资金划拨情况，保存产品管理人的资金用途说明；</w:t>
      </w:r>
    </w:p>
    <w:p w14:paraId="7C114821" w14:textId="77777777" w:rsidR="00041061" w:rsidRDefault="006D0D3E">
      <w:pPr>
        <w:ind w:firstLine="420"/>
        <w:jc w:val="left"/>
        <w:rPr>
          <w:rFonts w:ascii="黑体" w:cs="宋体" w:hAnsi="黑体" w:hint="eastAsia"/>
          <w:szCs w:val="21"/>
        </w:rPr>
      </w:pPr>
      <w:r>
        <w:rPr>
          <w:rFonts w:ascii="黑体" w:cs="宋体" w:hAnsi="黑体" w:hint="eastAsia"/>
          <w:szCs w:val="21"/>
        </w:rPr>
        <w:t>5、负责本产品财产的会计核算；</w:t>
      </w:r>
    </w:p>
    <w:p w14:paraId="4D2F7CB5" w14:textId="77777777" w:rsidR="00041061" w:rsidRDefault="006D0D3E">
      <w:pPr>
        <w:ind w:firstLine="420"/>
        <w:jc w:val="left"/>
        <w:rPr>
          <w:rFonts w:ascii="黑体" w:cs="宋体" w:hAnsi="黑体" w:hint="eastAsia"/>
          <w:szCs w:val="21"/>
        </w:rPr>
      </w:pPr>
      <w:r>
        <w:rPr>
          <w:rFonts w:ascii="黑体" w:cs="宋体" w:hAnsi="黑体"/>
          <w:szCs w:val="21"/>
        </w:rPr>
        <w:t>6</w:t>
      </w:r>
      <w:r>
        <w:rPr>
          <w:rFonts w:ascii="黑体" w:cs="宋体" w:hAnsi="黑体" w:hint="eastAsia"/>
          <w:szCs w:val="21"/>
        </w:rPr>
        <w:t>、建立与产品管理人的对账机制，核对本产品财产交易记录、资金和财产账目、资产净值等数据；</w:t>
      </w:r>
    </w:p>
    <w:p w14:paraId="12EE0C3B" w14:textId="77777777" w:rsidR="00041061" w:rsidRDefault="006D0D3E">
      <w:pPr>
        <w:ind w:firstLine="420"/>
        <w:jc w:val="left"/>
        <w:rPr>
          <w:rFonts w:ascii="黑体" w:cs="宋体" w:hAnsi="黑体" w:hint="eastAsia"/>
          <w:szCs w:val="21"/>
        </w:rPr>
      </w:pPr>
      <w:r>
        <w:rPr>
          <w:rFonts w:ascii="黑体" w:cs="宋体" w:hAnsi="黑体"/>
          <w:szCs w:val="21"/>
        </w:rPr>
        <w:t>7</w:t>
      </w:r>
      <w:r>
        <w:rPr>
          <w:rFonts w:ascii="黑体" w:cs="宋体" w:hAnsi="黑体" w:hint="eastAsia"/>
          <w:szCs w:val="21"/>
        </w:rPr>
        <w:t>、监督本产品投资运作；</w:t>
      </w:r>
    </w:p>
    <w:p w14:paraId="12FDEE7A" w14:textId="77777777" w:rsidR="00041061" w:rsidRDefault="006D0D3E">
      <w:pPr>
        <w:ind w:firstLine="420"/>
        <w:jc w:val="left"/>
        <w:rPr>
          <w:rFonts w:ascii="黑体" w:cs="宋体" w:hAnsi="黑体" w:hint="eastAsia"/>
          <w:szCs w:val="21"/>
        </w:rPr>
      </w:pPr>
      <w:r>
        <w:rPr>
          <w:rFonts w:ascii="黑体" w:cs="宋体" w:hAnsi="黑体"/>
          <w:szCs w:val="21"/>
        </w:rPr>
        <w:t>8</w:t>
      </w:r>
      <w:r>
        <w:rPr>
          <w:rFonts w:ascii="黑体" w:cs="宋体" w:hAnsi="黑体" w:hint="eastAsia"/>
          <w:szCs w:val="21"/>
        </w:rPr>
        <w:t>、办理与本产品托管业务活动相关的信息披露事项；</w:t>
      </w:r>
    </w:p>
    <w:p w14:paraId="14295021" w14:textId="77777777" w:rsidR="00041061" w:rsidRDefault="006D0D3E">
      <w:pPr>
        <w:ind w:firstLine="420"/>
        <w:jc w:val="left"/>
        <w:rPr>
          <w:rFonts w:ascii="黑体" w:cs="宋体" w:hAnsi="黑体" w:hint="eastAsia"/>
          <w:szCs w:val="21"/>
        </w:rPr>
      </w:pPr>
      <w:r>
        <w:rPr>
          <w:rFonts w:ascii="黑体" w:cs="宋体" w:hAnsi="黑体"/>
          <w:szCs w:val="21"/>
        </w:rPr>
        <w:t>9</w:t>
      </w:r>
      <w:r>
        <w:rPr>
          <w:rFonts w:ascii="黑体" w:cs="宋体" w:hAnsi="黑体" w:hint="eastAsia"/>
          <w:szCs w:val="21"/>
        </w:rPr>
        <w:t>、将本产</w:t>
      </w:r>
      <w:r>
        <w:rPr>
          <w:rFonts w:ascii="黑体" w:cs="宋体" w:hAnsi="黑体"/>
          <w:szCs w:val="21"/>
        </w:rPr>
        <w:t>品</w:t>
      </w:r>
      <w:r>
        <w:rPr>
          <w:rFonts w:ascii="黑体" w:cs="宋体" w:hAnsi="黑体" w:hint="eastAsia"/>
          <w:szCs w:val="21"/>
        </w:rPr>
        <w:t>托管业务活动的记录、账册、报表和其他相关资料保存15年以上；</w:t>
      </w:r>
    </w:p>
    <w:p w14:paraId="40098000" w14:textId="77777777" w:rsidR="00041061" w:rsidRDefault="006D0D3E">
      <w:pPr>
        <w:ind w:firstLine="420"/>
        <w:jc w:val="left"/>
        <w:rPr>
          <w:rFonts w:ascii="黑体" w:cs="宋体" w:hAnsi="黑体" w:hint="eastAsia"/>
          <w:szCs w:val="21"/>
        </w:rPr>
      </w:pPr>
      <w:r>
        <w:rPr>
          <w:rFonts w:ascii="黑体" w:cs="宋体" w:hAnsi="黑体"/>
          <w:szCs w:val="21"/>
        </w:rPr>
        <w:t>10</w:t>
      </w:r>
      <w:r>
        <w:rPr>
          <w:rFonts w:ascii="黑体" w:cs="宋体" w:hAnsi="黑体" w:hint="eastAsia"/>
          <w:szCs w:val="21"/>
        </w:rPr>
        <w:t>、对本产品投资信息和相关资料承担保密责任，除法律、行政法规、规章规定、审计要求或者合同约定外，不得向任何机构或者个人提供相关信息和资料；</w:t>
      </w:r>
    </w:p>
    <w:p w14:paraId="681BAA1B" w14:textId="77777777" w:rsidR="00041061" w:rsidRDefault="006D0D3E">
      <w:pPr>
        <w:ind w:firstLine="420"/>
        <w:jc w:val="left"/>
        <w:rPr>
          <w:rFonts w:ascii="黑体" w:cs="宋体" w:hAnsi="黑体" w:hint="eastAsia"/>
          <w:szCs w:val="21"/>
        </w:rPr>
      </w:pPr>
      <w:r>
        <w:rPr>
          <w:rFonts w:ascii="黑体" w:cs="宋体" w:hAnsi="黑体" w:hint="eastAsia"/>
          <w:szCs w:val="21"/>
        </w:rPr>
        <w:t>1</w:t>
      </w:r>
      <w:r>
        <w:rPr>
          <w:rFonts w:ascii="黑体" w:cs="宋体" w:hAnsi="黑体"/>
          <w:szCs w:val="21"/>
        </w:rPr>
        <w:t>1</w:t>
      </w:r>
      <w:r>
        <w:rPr>
          <w:rFonts w:ascii="黑体" w:cs="宋体" w:hAnsi="黑体" w:hint="eastAsia"/>
          <w:szCs w:val="21"/>
        </w:rPr>
        <w:t>、每季度向产品管理人出具本产品的托管业务报告；</w:t>
      </w:r>
    </w:p>
    <w:p w14:paraId="278720E2" w14:textId="77777777" w:rsidR="00041061" w:rsidRDefault="006D0D3E">
      <w:pPr>
        <w:ind w:firstLine="420"/>
        <w:jc w:val="left"/>
        <w:rPr>
          <w:rFonts w:ascii="黑体" w:cs="宋体" w:hAnsi="黑体" w:hint="eastAsia"/>
          <w:szCs w:val="21"/>
        </w:rPr>
      </w:pPr>
      <w:r>
        <w:rPr>
          <w:rFonts w:ascii="黑体" w:cs="宋体" w:hAnsi="黑体"/>
          <w:szCs w:val="21"/>
        </w:rPr>
        <w:t>12</w:t>
      </w:r>
      <w:r>
        <w:rPr>
          <w:rFonts w:ascii="黑体" w:cs="宋体" w:hAnsi="黑体" w:hint="eastAsia"/>
          <w:szCs w:val="21"/>
        </w:rPr>
        <w:t>、法律</w:t>
      </w:r>
      <w:r>
        <w:rPr>
          <w:rFonts w:ascii="黑体" w:cs="宋体" w:hAnsi="黑体"/>
          <w:szCs w:val="21"/>
        </w:rPr>
        <w:t>、法规、</w:t>
      </w:r>
      <w:r>
        <w:rPr>
          <w:rFonts w:ascii="黑体" w:cs="宋体" w:hAnsi="黑体" w:hint="eastAsia"/>
          <w:szCs w:val="21"/>
        </w:rPr>
        <w:t>国务院银行业监督管理机构规定的其他职责。</w:t>
      </w:r>
    </w:p>
    <w:p w14:paraId="554BCE0F" w14:textId="0A8C857E" w:rsidR="00041061" w:rsidRDefault="006D0D3E">
      <w:pPr>
        <w:jc w:val="left"/>
        <w:rPr>
          <w:rFonts w:ascii="黑体" w:cs="宋体" w:hAnsi="黑体" w:hint="eastAsia"/>
          <w:bCs/>
          <w:szCs w:val="21"/>
        </w:rPr>
      </w:pPr>
      <w:r>
        <w:rPr>
          <w:rFonts w:ascii="黑体" w:cs="宋体" w:hAnsi="黑体" w:hint="eastAsia"/>
          <w:bCs/>
          <w:szCs w:val="21"/>
        </w:rPr>
        <w:t>（</w:t>
      </w:r>
      <w:r w:rsidR="0009688C">
        <w:rPr>
          <w:rFonts w:ascii="黑体" w:cs="宋体" w:hAnsi="黑体" w:hint="eastAsia"/>
          <w:bCs/>
          <w:szCs w:val="21"/>
        </w:rPr>
        <w:t>三</w:t>
      </w:r>
      <w:r>
        <w:rPr>
          <w:rFonts w:ascii="黑体" w:cs="宋体" w:hAnsi="黑体" w:hint="eastAsia"/>
          <w:bCs/>
          <w:szCs w:val="21"/>
        </w:rPr>
        <w:t>）销售机构基本信息</w:t>
      </w:r>
    </w:p>
    <w:p w14:paraId="21E9A1DF" w14:textId="77777777" w:rsidR="00041061" w:rsidRDefault="006D0D3E">
      <w:pPr>
        <w:pStyle w:val="aff7"/>
        <w:ind w:left="420"/>
        <w:rPr>
          <w:rFonts w:hint="eastAsia"/>
        </w:rPr>
      </w:pPr>
      <w:r>
        <w:rPr>
          <w:rFonts w:hint="eastAsia"/>
        </w:rPr>
        <w:t>1、机构名称：宁银理财有限责任公司</w:t>
        <w:br/>
        <w:t xml:space="preserve">   客服热线：400-099-5574</w:t>
        <w:br/>
        <w:t xml:space="preserve">   官方网站：www.wmbnb.com</w:t>
        <w:br/>
        <w:t xml:space="preserve">   住所：浙江省宁波市鄞州区和源路318号26层、30层、32层</w:t>
        <w:br/>
        <w:t>2、机构名称：云南红塔银行股份有限公司</w:t>
        <w:br/>
        <w:t xml:space="preserve">   客服热线：0877-96522</w:t>
        <w:br/>
        <w:t xml:space="preserve">   官方网站：www.ynhtbank.com</w:t>
        <w:br/>
        <w:t xml:space="preserve">   住所：云南省玉溪市红塔区东风南路2号</w:t>
        <w:br/>
        <w:t>3、机构名称：江苏江南农村商业银行股份有限公司</w:t>
        <w:br/>
        <w:t xml:space="preserve">   客服热线：0519-96005</w:t>
        <w:br/>
        <w:t xml:space="preserve">   官方网站：www.jnbank.com.cn</w:t>
        <w:br/>
        <w:t xml:space="preserve">   住所：江苏省常州市武进区延政中路9号</w:t>
        <w:br/>
        <w:t>4、机构名称：江苏常熟农村商业银行股份有限公司</w:t>
        <w:br/>
        <w:t xml:space="preserve">   客服热线：956020</w:t>
        <w:br/>
        <w:t xml:space="preserve">   官方网站：www.csrcbank.com</w:t>
        <w:br/>
        <w:t xml:space="preserve">   住所：江苏省常熟市新世纪大道58号</w:t>
        <w:br/>
        <w:t>5、机构名称：江苏张家港农村商业银行股份有限公司</w:t>
        <w:br/>
        <w:t xml:space="preserve">   客服热线：0512-96065</w:t>
        <w:br/>
        <w:t xml:space="preserve">   官方网站：www.zrcbank.com</w:t>
        <w:br/>
        <w:t xml:space="preserve">   住所：江苏省张家港市杨舍镇人民中路66号</w:t>
        <w:br/>
        <w:t>6、机构名称：绍兴银行股份有限公司</w:t>
        <w:br/>
        <w:t xml:space="preserve">   客服热线：0575-96528</w:t>
        <w:br/>
        <w:t xml:space="preserve">   官方网站：www.sxccb.com</w:t>
        <w:br/>
        <w:t xml:space="preserve">   住所：浙江省绍兴市越城区中兴南路1号</w:t>
        <w:br/>
        <w:t>7、机构名称：桂林银行股份有限公司</w:t>
        <w:br/>
        <w:t xml:space="preserve">   客服热线：400-86-96299</w:t>
        <w:br/>
        <w:t xml:space="preserve">   官方网站：www.guilinbank.com.cn</w:t>
        <w:br/>
        <w:t xml:space="preserve">   住所：广西壮族自治区桂林市临桂区公园北路8号</w:t>
        <w:br/>
        <w:t>8、机构名称：河北银行股份有限公司</w:t>
        <w:br/>
        <w:t xml:space="preserve">   客服热线：400-612-9999</w:t>
        <w:br/>
        <w:t xml:space="preserve">   官方网站：www.hebbank.com</w:t>
        <w:br/>
        <w:t xml:space="preserve">   住所：河北省石家庄市平安北大街28号</w:t>
        <w:br/>
        <w:t>9、机构名称：秦皇岛银行股份有限公司</w:t>
        <w:br/>
        <w:t xml:space="preserve">   客服热线：0335-96336</w:t>
        <w:br/>
        <w:t xml:space="preserve">   官方网站：www.qhdbank.cn</w:t>
        <w:br/>
        <w:t xml:space="preserve">   住所：河北省秦皇岛市海港区河北大街西段560号</w:t>
        <w:br/>
        <w:t>10、机构名称：贵阳银行股份有限公司</w:t>
        <w:br/>
        <w:t xml:space="preserve">   客服热线：40011-96033</w:t>
        <w:br/>
        <w:t xml:space="preserve">   官方网站：www.bankgy.cn</w:t>
        <w:br/>
        <w:t xml:space="preserve">   住所：贵州省贵阳市观山湖区长岭北路中天会展城B区金融商务区东区1-6栋</w:t>
        <w:br/>
        <w:t>11、机构名称：天津农村商业银行股份有限公司</w:t>
        <w:br/>
        <w:t xml:space="preserve">   客服热线：022-96155</w:t>
        <w:br/>
        <w:t xml:space="preserve">   官方网站：www.trcbank.com.cn</w:t>
        <w:br/>
        <w:t xml:space="preserve">   住所：天津市河西区友谊路32号</w:t>
        <w:br/>
        <w:t>12、机构名称：中山农村商业银行股份有限公司</w:t>
        <w:br/>
        <w:t xml:space="preserve">   客服热线：020-96138</w:t>
        <w:br/>
        <w:t xml:space="preserve">   官方网站：www.zsebank.com</w:t>
        <w:br/>
        <w:t xml:space="preserve">   住所：广东省中山市东区中山三路26号之一</w:t>
        <w:br/>
        <w:t>13、机构名称：沧州银行股份有限公司</w:t>
        <w:br/>
        <w:t xml:space="preserve">   客服热线：0317-96328</w:t>
        <w:br/>
        <w:t xml:space="preserve">   官方网站：www.bankcz.cn</w:t>
        <w:br/>
        <w:t xml:space="preserve">   住所：河北省沧州市运河区双金路2号</w:t>
        <w:br/>
        <w:t>14、机构名称：温州银行股份有限公司</w:t>
        <w:br/>
        <w:t xml:space="preserve">   客服热线：0577-96699 </w:t>
        <w:br/>
        <w:t xml:space="preserve">   官方网站：www.wzcb.com.cn</w:t>
        <w:br/>
        <w:t xml:space="preserve">   住所：浙江省温州市鹿城区会展路1316号</w:t>
      </w:r>
    </w:p>
    <w:p w14:paraId="1D76C2FA" w14:textId="77777777" w:rsidR="00041061" w:rsidRDefault="006D0D3E">
      <w:pPr>
        <w:pStyle w:val="aff7"/>
        <w:ind w:firstLine="420"/>
        <w:rPr>
          <w:rFonts w:hint="eastAsia"/>
        </w:rPr>
      </w:pPr>
      <w:r>
        <w:rPr>
          <w:rFonts w:hint="eastAsia"/>
        </w:rPr>
        <w:t>销售机构主要职责：</w:t>
      </w:r>
    </w:p>
    <w:p w14:paraId="40E029F0" w14:textId="77777777" w:rsidR="00041061" w:rsidRDefault="006D0D3E">
      <w:pPr>
        <w:ind w:firstLine="420"/>
        <w:jc w:val="left"/>
        <w:rPr>
          <w:rFonts w:ascii="黑体" w:cs="宋体" w:hAnsi="黑体" w:hint="eastAsia"/>
          <w:bCs/>
          <w:szCs w:val="21"/>
        </w:rPr>
      </w:pPr>
      <w:r>
        <w:rPr>
          <w:rFonts w:ascii="黑体" w:cs="宋体" w:hAnsi="黑体"/>
          <w:bCs/>
          <w:szCs w:val="21"/>
        </w:rPr>
        <w:t>1</w:t>
      </w:r>
      <w:r>
        <w:rPr>
          <w:rFonts w:ascii="黑体" w:cs="宋体" w:hAnsi="黑体" w:hint="eastAsia"/>
          <w:bCs/>
          <w:szCs w:val="21"/>
        </w:rPr>
        <w:t>、严格遵循国家法律、法规及其他有关规定和理财产品销售文件的规定，办理本产品销售业务，勤勉、尽责地履行销售机构的职责；</w:t>
      </w:r>
    </w:p>
    <w:p w14:paraId="27B67033" w14:textId="77777777" w:rsidR="00041061" w:rsidRDefault="006D0D3E">
      <w:pPr>
        <w:ind w:firstLine="420"/>
        <w:jc w:val="left"/>
        <w:rPr>
          <w:rFonts w:ascii="黑体" w:cs="宋体" w:hAnsi="黑体" w:hint="eastAsia"/>
          <w:bCs/>
          <w:szCs w:val="21"/>
        </w:rPr>
      </w:pPr>
      <w:r>
        <w:rPr>
          <w:rFonts w:ascii="黑体" w:cs="宋体" w:hAnsi="黑体" w:hint="eastAsia"/>
          <w:bCs/>
          <w:szCs w:val="21"/>
        </w:rPr>
        <w:t>2、应保证在履行理财产品销售文件过程中占有、控制的理财产品资产或理财产品份额持有人的资产与销售机构自身资产相互独立，分别建账，分别管理；</w:t>
      </w:r>
    </w:p>
    <w:p w14:paraId="34500670" w14:textId="77777777" w:rsidR="00041061" w:rsidRDefault="006D0D3E">
      <w:pPr>
        <w:ind w:firstLine="420"/>
        <w:jc w:val="left"/>
        <w:rPr>
          <w:rFonts w:ascii="黑体" w:cs="宋体" w:hAnsi="黑体" w:hint="eastAsia"/>
          <w:bCs/>
          <w:szCs w:val="21"/>
        </w:rPr>
      </w:pPr>
      <w:r>
        <w:rPr>
          <w:rFonts w:ascii="黑体" w:cs="宋体" w:hAnsi="黑体" w:hint="eastAsia"/>
          <w:bCs/>
          <w:szCs w:val="21"/>
        </w:rPr>
        <w:t>3、对投资者身份信息的真实性进行验证；</w:t>
      </w:r>
    </w:p>
    <w:p w14:paraId="1F4FFB26" w14:textId="77777777" w:rsidR="00041061" w:rsidRDefault="006D0D3E">
      <w:pPr>
        <w:ind w:firstLine="420"/>
        <w:jc w:val="left"/>
        <w:rPr>
          <w:rFonts w:ascii="黑体" w:cs="宋体" w:hAnsi="黑体" w:hint="eastAsia"/>
          <w:bCs/>
          <w:szCs w:val="21"/>
        </w:rPr>
      </w:pPr>
      <w:r>
        <w:rPr>
          <w:rFonts w:ascii="黑体" w:cs="宋体" w:hAnsi="黑体"/>
          <w:bCs/>
          <w:szCs w:val="21"/>
        </w:rPr>
        <w:t>4</w:t>
      </w:r>
      <w:r>
        <w:rPr>
          <w:rFonts w:ascii="黑体" w:cs="宋体" w:hAnsi="黑体" w:hint="eastAsia"/>
          <w:bCs/>
          <w:szCs w:val="21"/>
        </w:rPr>
        <w:t>、对</w:t>
      </w:r>
      <w:r>
        <w:rPr>
          <w:rFonts w:ascii="黑体" w:cs="宋体" w:hAnsi="黑体" w:hint="eastAsia"/>
          <w:bCs/>
          <w:szCs w:val="21"/>
          <w:lang w:eastAsia="zh"/>
        </w:rPr>
        <w:t>普通</w:t>
      </w:r>
      <w:r>
        <w:rPr>
          <w:rFonts w:ascii="黑体" w:cs="宋体" w:hAnsi="黑体" w:hint="eastAsia"/>
          <w:bCs/>
          <w:szCs w:val="21"/>
        </w:rPr>
        <w:t>投资者严谨客观实施风险承受能力评估并持续跟进，根据投资者的风险承受能力销售不同风险等级的产品，把合适的理财产品销售给合适的投资者；</w:t>
      </w:r>
    </w:p>
    <w:p w14:paraId="5E66315C" w14:textId="4BE9D82A" w:rsidR="00041061" w:rsidRDefault="006D0D3E">
      <w:pPr>
        <w:ind w:firstLine="420"/>
        <w:jc w:val="left"/>
        <w:rPr>
          <w:rFonts w:ascii="黑体" w:cs="宋体" w:hAnsi="黑体" w:hint="eastAsia"/>
          <w:bCs/>
          <w:szCs w:val="21"/>
        </w:rPr>
      </w:pPr>
      <w:r>
        <w:rPr>
          <w:rFonts w:ascii="黑体" w:cs="宋体" w:hAnsi="黑体"/>
          <w:bCs/>
          <w:szCs w:val="21"/>
        </w:rPr>
        <w:t>5</w:t>
      </w:r>
      <w:r>
        <w:rPr>
          <w:rFonts w:ascii="黑体" w:cs="宋体" w:hAnsi="黑体" w:hint="eastAsia"/>
          <w:bCs/>
          <w:szCs w:val="21"/>
        </w:rPr>
        <w:t>、向投资者提供持续信息服务，包括但不限于以下方面</w:t>
      </w:r>
      <w:r w:rsidR="00DE411F">
        <w:rPr>
          <w:rFonts w:ascii="黑体" w:cs="宋体" w:hAnsi="黑体" w:hint="eastAsia"/>
          <w:bCs/>
          <w:szCs w:val="21"/>
        </w:rPr>
        <w:t>：</w:t>
      </w:r>
      <w:r>
        <w:rPr>
          <w:rFonts w:ascii="黑体" w:cs="宋体" w:hAnsi="黑体" w:hint="eastAsia"/>
          <w:bCs/>
          <w:szCs w:val="21"/>
        </w:rPr>
        <w:t>及时向投资者告知申赎理财产品的确认日期、确认份额和金额等信息；定期向投资者提供其所持有的理财产品基本信息；及时向投资者告知对其决策有重大影响的信息；</w:t>
      </w:r>
    </w:p>
    <w:p w14:paraId="56BE68FF" w14:textId="77777777" w:rsidR="00041061" w:rsidRDefault="006D0D3E">
      <w:pPr>
        <w:ind w:firstLine="420"/>
        <w:jc w:val="left"/>
        <w:rPr>
          <w:rFonts w:ascii="黑体" w:cs="宋体" w:hAnsi="黑体" w:hint="eastAsia"/>
          <w:bCs/>
          <w:szCs w:val="21"/>
        </w:rPr>
      </w:pPr>
      <w:r>
        <w:rPr>
          <w:rFonts w:ascii="黑体" w:cs="宋体" w:hAnsi="黑体"/>
          <w:bCs/>
          <w:szCs w:val="21"/>
        </w:rPr>
        <w:t>6</w:t>
      </w:r>
      <w:r>
        <w:rPr>
          <w:rFonts w:ascii="黑体" w:cs="宋体" w:hAnsi="黑体" w:hint="eastAsia"/>
          <w:bCs/>
          <w:szCs w:val="21"/>
        </w:rPr>
        <w:t>、充分了解面向特定对象销售的理财产品的投资者信息，收集、核验投资者金融资产证明、收入证明或纳税凭证等材料；</w:t>
      </w:r>
    </w:p>
    <w:p w14:paraId="0C6A2AE2" w14:textId="77777777" w:rsidR="00041061" w:rsidRDefault="006D0D3E">
      <w:pPr>
        <w:ind w:firstLine="420"/>
        <w:jc w:val="left"/>
        <w:rPr>
          <w:rFonts w:ascii="黑体" w:cs="宋体" w:hAnsi="黑体" w:hint="eastAsia"/>
          <w:bCs/>
          <w:szCs w:val="21"/>
        </w:rPr>
      </w:pPr>
      <w:r>
        <w:rPr>
          <w:rFonts w:ascii="黑体" w:cs="宋体" w:hAnsi="黑体"/>
          <w:bCs/>
          <w:szCs w:val="21"/>
        </w:rPr>
        <w:t>7</w:t>
      </w:r>
      <w:r>
        <w:rPr>
          <w:rFonts w:ascii="黑体" w:cs="宋体" w:hAnsi="黑体" w:hint="eastAsia"/>
          <w:bCs/>
          <w:szCs w:val="21"/>
        </w:rPr>
        <w:t>、根据反洗钱、反恐怖融资及非居民金融账户涉税信息尽职调查等相关法律法规要求识别客户身份；</w:t>
      </w:r>
    </w:p>
    <w:p w14:paraId="07ABA20D" w14:textId="77777777" w:rsidR="00041061" w:rsidRDefault="006D0D3E">
      <w:pPr>
        <w:ind w:firstLine="420"/>
        <w:jc w:val="left"/>
        <w:rPr>
          <w:rFonts w:ascii="黑体" w:cs="宋体" w:hAnsi="黑体" w:hint="eastAsia"/>
          <w:bCs/>
          <w:szCs w:val="21"/>
        </w:rPr>
      </w:pPr>
      <w:r>
        <w:rPr>
          <w:rFonts w:ascii="黑体" w:cs="宋体" w:hAnsi="黑体"/>
          <w:bCs/>
          <w:szCs w:val="21"/>
        </w:rPr>
        <w:t>8</w:t>
      </w:r>
      <w:r>
        <w:rPr>
          <w:rFonts w:ascii="黑体" w:cs="宋体" w:hAnsi="黑体" w:hint="eastAsia"/>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14:textId="77777777" w:rsidR="00041061" w:rsidRDefault="006D0D3E">
      <w:pPr>
        <w:ind w:firstLine="420"/>
        <w:jc w:val="left"/>
        <w:rPr>
          <w:rFonts w:ascii="黑体" w:cs="宋体" w:hAnsi="黑体" w:hint="eastAsia"/>
          <w:bCs/>
          <w:szCs w:val="21"/>
        </w:rPr>
      </w:pPr>
      <w:r>
        <w:rPr>
          <w:rFonts w:ascii="黑体" w:cs="宋体" w:hAnsi="黑体"/>
          <w:bCs/>
          <w:szCs w:val="21"/>
        </w:rPr>
        <w:t>9、完整记录和保存销售业务活动信息，确保记录信息全面、准确和</w:t>
      </w:r>
      <w:r>
        <w:rPr>
          <w:rFonts w:ascii="黑体" w:cs="宋体" w:hAnsi="黑体" w:hint="eastAsia"/>
          <w:bCs/>
          <w:szCs w:val="21"/>
        </w:rPr>
        <w:t>不可篡改；</w:t>
      </w:r>
    </w:p>
    <w:p w14:paraId="03CAC915" w14:textId="77777777" w:rsidR="00041061" w:rsidRDefault="006D0D3E">
      <w:pPr>
        <w:ind w:firstLine="420"/>
        <w:jc w:val="left"/>
        <w:rPr>
          <w:rFonts w:ascii="黑体" w:cs="宋体" w:hAnsi="黑体" w:hint="eastAsia"/>
          <w:bCs/>
          <w:szCs w:val="21"/>
        </w:rPr>
      </w:pPr>
      <w:r>
        <w:rPr>
          <w:rFonts w:ascii="黑体" w:cs="宋体" w:hAnsi="黑体"/>
          <w:bCs/>
          <w:szCs w:val="21"/>
        </w:rPr>
        <w:t>10</w:t>
      </w:r>
      <w:r>
        <w:rPr>
          <w:rFonts w:ascii="黑体" w:cs="宋体" w:hAnsi="黑体" w:hint="eastAsia"/>
          <w:bCs/>
          <w:szCs w:val="21"/>
        </w:rPr>
        <w:t>、根据有关法律法规、监管规定和理财产品销售文件的要求，及时、充分披露本产品的相关信息；</w:t>
      </w:r>
    </w:p>
    <w:p w14:paraId="518512F7" w14:textId="77777777" w:rsidR="00041061" w:rsidRDefault="006D0D3E">
      <w:pPr>
        <w:ind w:firstLine="420"/>
        <w:jc w:val="left"/>
        <w:rPr>
          <w:rFonts w:ascii="黑体" w:cs="宋体" w:hAnsi="黑体" w:hint="eastAsia"/>
          <w:bCs/>
          <w:szCs w:val="21"/>
        </w:rPr>
      </w:pPr>
      <w:r>
        <w:rPr>
          <w:rFonts w:ascii="黑体" w:cs="宋体" w:hAnsi="黑体"/>
          <w:bCs/>
          <w:szCs w:val="21"/>
        </w:rPr>
        <w:t>11</w:t>
      </w:r>
      <w:r>
        <w:rPr>
          <w:rFonts w:ascii="黑体" w:cs="宋体" w:hAnsi="黑体" w:hint="eastAsia"/>
          <w:bCs/>
          <w:szCs w:val="21"/>
        </w:rPr>
        <w:t>、建立健全档案管理制度，妥善保管投资者理财产品销售相关资料，保管年限不得低于法规规定的年限；</w:t>
      </w:r>
    </w:p>
    <w:p w14:paraId="21A883F5" w14:textId="77777777" w:rsidR="00041061" w:rsidRDefault="006D0D3E">
      <w:pPr>
        <w:ind w:firstLine="420"/>
        <w:jc w:val="left"/>
        <w:rPr>
          <w:rFonts w:ascii="黑体" w:cs="宋体" w:hAnsi="黑体" w:hint="eastAsia"/>
          <w:szCs w:val="21"/>
        </w:rPr>
      </w:pPr>
      <w:r>
        <w:rPr>
          <w:rFonts w:ascii="黑体" w:cs="宋体" w:hAnsi="黑体"/>
          <w:bCs/>
          <w:szCs w:val="21"/>
        </w:rPr>
        <w:t>12</w:t>
      </w:r>
      <w:r>
        <w:rPr>
          <w:rFonts w:ascii="黑体" w:cs="宋体" w:hAnsi="黑体" w:hint="eastAsia"/>
          <w:bCs/>
          <w:szCs w:val="21"/>
        </w:rPr>
        <w:t>、法律、法规</w:t>
      </w:r>
      <w:r>
        <w:rPr>
          <w:rFonts w:ascii="黑体" w:cs="宋体" w:hAnsi="黑体"/>
          <w:bCs/>
          <w:szCs w:val="21"/>
        </w:rPr>
        <w:t>、</w:t>
      </w:r>
      <w:r>
        <w:rPr>
          <w:rFonts w:ascii="黑体" w:cs="宋体" w:hAnsi="黑体" w:hint="eastAsia"/>
          <w:bCs/>
          <w:szCs w:val="21"/>
        </w:rPr>
        <w:t>国务院银行业监督管理机构规定、理财产品销售文件约定的其他职责。</w:t>
      </w:r>
    </w:p>
    <w:p w14:paraId="244BE5D0" w14:textId="77777777" w:rsidP="00AA22A4" w:rsidR="00AA22A4" w:rsidRDefault="00AA22A4">
      <w:pPr>
        <w:rPr>
          <w:rFonts w:ascii="黑体" w:cs="宋体" w:hAnsi="黑体" w:hint="eastAsia"/>
          <w:bCs/>
          <w:szCs w:val="21"/>
        </w:rPr>
      </w:pPr>
    </w:p>
    <w:p w14:paraId="0EBC1091" w14:textId="77777777" w:rsidP="00AA22A4" w:rsidR="00AA22A4" w:rsidRDefault="00AA22A4">
      <w:pPr>
        <w:jc w:val="left"/>
        <w:rPr>
          <w:rFonts w:ascii="黑体" w:cs="宋体" w:hAnsi="黑体" w:hint="eastAsia"/>
          <w:b/>
          <w:szCs w:val="21"/>
        </w:rPr>
      </w:pPr>
      <w:r>
        <w:rPr>
          <w:rFonts w:ascii="黑体" w:cs="宋体" w:hAnsi="黑体" w:hint="eastAsia"/>
          <w:b/>
          <w:szCs w:val="21"/>
        </w:rPr>
        <w:t>（四）管理人与托管机构、销售机构的关联关系</w:t>
      </w:r>
    </w:p>
    <w:p w14:paraId="5FD44066" w14:textId="77777777" w:rsidP="00AA22A4" w:rsidR="00AA22A4" w:rsidRDefault="00AA22A4">
      <w:pPr>
        <w:ind w:firstLine="422" w:firstLineChars="200"/>
        <w:jc w:val="left"/>
        <w:rPr>
          <w:rFonts w:ascii="黑体" w:cs="宋体" w:hAnsi="黑体" w:hint="eastAsia"/>
          <w:szCs w:val="21"/>
        </w:rPr>
      </w:pPr>
      <w:r>
        <w:rPr>
          <w:rFonts w:ascii="黑体" w:cs="黑体" w:hAnsi="黑体" w:hint="eastAsia"/>
          <w:b/>
          <w:szCs w:val="21"/>
        </w:rPr>
        <w:t>本产品托管机构宁波银行股份有限公司为管理人宁银理财有限责任公司的关联方。上述关联关系可能导致影响管理人独立决策的潜在风险，投资者已充分知悉并接受前述关联关系。</w:t>
      </w:r>
    </w:p>
    <w:p w14:paraId="09A9E165" w14:textId="77777777" w:rsidR="00041061" w:rsidRDefault="00041061" w:rsidRPr="00AA22A4">
      <w:pPr>
        <w:jc w:val="left"/>
        <w:rPr>
          <w:rFonts w:ascii="黑体" w:cs="宋体" w:hAnsi="黑体" w:hint="eastAsia"/>
          <w:b/>
          <w:szCs w:val="21"/>
        </w:rPr>
      </w:pPr>
    </w:p>
    <w:p w14:paraId="75616F31" w14:textId="77777777" w:rsidR="00041061" w:rsidRDefault="006D0D3E">
      <w:pPr>
        <w:jc w:val="left"/>
        <w:rPr>
          <w:rFonts w:ascii="黑体" w:cs="宋体" w:hAnsi="黑体" w:hint="eastAsia"/>
          <w:szCs w:val="21"/>
        </w:rPr>
      </w:pPr>
      <w:r>
        <w:rPr>
          <w:rFonts w:ascii="黑体" w:cs="宋体" w:hAnsi="黑体" w:hint="eastAsia"/>
          <w:b/>
          <w:szCs w:val="21"/>
        </w:rPr>
        <w:t>九、投资合作机构</w:t>
      </w:r>
    </w:p>
    <w:p w14:paraId="76273E95" w14:textId="77777777" w:rsidR="00041061" w:rsidRDefault="006D0D3E">
      <w:pPr>
        <w:ind w:firstLine="420"/>
        <w:jc w:val="left"/>
        <w:rPr>
          <w:rFonts w:ascii="黑体" w:cs="黑体" w:hAnsi="黑体" w:hint="eastAsia"/>
          <w:szCs w:val="21"/>
        </w:rPr>
      </w:pPr>
      <w:r>
        <w:rPr>
          <w:rFonts w:ascii="黑体" w:cs="黑体" w:hAnsi="黑体" w:hint="eastAsia"/>
          <w:szCs w:val="21"/>
        </w:rPr>
        <w:lastRenderedPageBreak/>
        <w:t>投资合作机构的主要职责为进行受托资金的投资管理，根据合同约定从事受托投资或提供投资顾问等服务，具体职责以产品管理人与投资合作机构签署的合同为准。</w:t>
      </w:r>
    </w:p>
    <w:p w14:paraId="382321D3" w14:textId="77777777" w:rsidR="00041061" w:rsidRDefault="00041061">
      <w:pPr>
        <w:ind w:firstLine="422"/>
        <w:jc w:val="left"/>
        <w:rPr>
          <w:rFonts w:ascii="黑体" w:cs="黑体" w:hAnsi="黑体" w:hint="eastAsia"/>
          <w:b/>
          <w:bCs/>
          <w:szCs w:val="21"/>
        </w:rPr>
      </w:pPr>
    </w:p>
    <w:p w14:paraId="628D108F" w14:textId="77777777" w:rsidR="00041061" w:rsidRDefault="006D0D3E">
      <w:pPr>
        <w:jc w:val="left"/>
        <w:rPr>
          <w:rFonts w:ascii="黑体" w:cs="宋体" w:hAnsi="黑体" w:hint="eastAsia"/>
          <w:b/>
          <w:szCs w:val="21"/>
        </w:rPr>
      </w:pPr>
      <w:r>
        <w:rPr>
          <w:rFonts w:ascii="黑体" w:cs="宋体" w:hAnsi="黑体" w:hint="eastAsia"/>
          <w:b/>
          <w:szCs w:val="21"/>
        </w:rPr>
        <w:t>十、信息披露</w:t>
      </w:r>
    </w:p>
    <w:p w14:paraId="31796B80" w14:textId="77777777" w:rsidR="00041061" w:rsidRDefault="006D0D3E">
      <w:pPr>
        <w:jc w:val="left"/>
        <w:rPr>
          <w:rFonts w:ascii="黑体" w:cs="宋体" w:hAnsi="黑体" w:hint="eastAsia"/>
          <w:szCs w:val="21"/>
        </w:rPr>
      </w:pPr>
      <w:r>
        <w:rPr>
          <w:rFonts w:ascii="黑体" w:cs="宋体" w:hAnsi="黑体" w:hint="eastAsia"/>
          <w:szCs w:val="21"/>
        </w:rPr>
        <w:t>（一</w:t>
      </w:r>
      <w:r>
        <w:rPr>
          <w:rFonts w:ascii="黑体" w:cs="宋体" w:hAnsi="黑体"/>
          <w:szCs w:val="21"/>
        </w:rPr>
        <w:t>）信息披露内容</w:t>
      </w:r>
    </w:p>
    <w:p w14:paraId="7C006614" w14:textId="266D97B0" w:rsidR="00041061" w:rsidRDefault="006D0D3E">
      <w:pPr>
        <w:pStyle w:val="aff7"/>
        <w:ind w:firstLine="420"/>
        <w:rPr>
          <w:rFonts w:hint="eastAsia"/>
        </w:rPr>
      </w:pPr>
      <w:r>
        <w:t>产品管理人将于产品募集期间、存续期间和终止时，</w:t>
      </w:r>
      <w:r>
        <w:rPr>
          <w:rFonts w:hint="eastAsia"/>
        </w:rPr>
        <w:t>通过</w:t>
      </w:r>
      <w:r w:rsidR="00AA22A4" w:rsidRPr="00EB530E">
        <w:rPr>
          <w:rFonts w:cs="黑体"/>
        </w:rPr>
        <w:t>行业统一信息披露平台（中国理财网）、</w:t>
      </w:r>
      <w:r>
        <w:rPr>
          <w:rFonts w:hint="eastAsia"/>
        </w:rPr>
        <w:t>宁银理财官网（</w:t>
      </w:r>
      <w:r>
        <w:t>www.wmbnb.com)、</w:t>
      </w:r>
      <w:r>
        <w:rPr>
          <w:rFonts w:hint="eastAsia"/>
        </w:rPr>
        <w:t>宁银理财直销APP、</w:t>
      </w:r>
      <w:r>
        <w:t>宁银理财相关产品代理销售机构官方渠道或其他适当的方式披露以下产品信息：</w:t>
      </w:r>
    </w:p>
    <w:p w14:paraId="458E55EA" w14:textId="77777777" w:rsidR="00041061" w:rsidRDefault="006D0D3E">
      <w:pPr>
        <w:ind w:firstLine="420"/>
        <w:jc w:val="left"/>
        <w:rPr>
          <w:rFonts w:ascii="黑体" w:cs="宋体" w:hAnsi="黑体" w:hint="eastAsia"/>
          <w:szCs w:val="21"/>
        </w:rPr>
      </w:pPr>
      <w:r>
        <w:rPr>
          <w:rFonts w:ascii="黑体" w:cs="宋体" w:hAnsi="黑体"/>
          <w:szCs w:val="21"/>
        </w:rPr>
        <w:t>1、</w:t>
      </w:r>
      <w:r>
        <w:rPr>
          <w:rFonts w:ascii="黑体" w:cs="宋体" w:hAnsi="黑体" w:hint="eastAsia"/>
          <w:szCs w:val="21"/>
        </w:rPr>
        <w:t>理财产品销售文件，包括《理财产品说明书》、《风险揭示书》、</w:t>
      </w:r>
      <w:r>
        <w:rPr>
          <w:rFonts w:ascii="黑体" w:cs="黑体" w:hAnsi="黑体" w:hint="eastAsia"/>
          <w:szCs w:val="21"/>
        </w:rPr>
        <w:t>《销售（代理销售）协议书》</w:t>
      </w:r>
      <w:r>
        <w:rPr>
          <w:rFonts w:ascii="黑体" w:cs="宋体" w:hAnsi="黑体" w:hint="eastAsia"/>
          <w:szCs w:val="21"/>
        </w:rPr>
        <w:t>、《投资协议书》和《投资者权益须知》等有关文件，以及对以上文件的有效修改或补充；</w:t>
      </w:r>
    </w:p>
    <w:p w14:paraId="5A797216" w14:textId="77777777" w:rsidR="00041061" w:rsidRDefault="006D0D3E">
      <w:pPr>
        <w:ind w:firstLine="420"/>
        <w:jc w:val="left"/>
        <w:rPr>
          <w:rFonts w:ascii="黑体" w:cs="宋体" w:hAnsi="黑体" w:hint="eastAsia"/>
          <w:szCs w:val="21"/>
        </w:rPr>
      </w:pPr>
      <w:r>
        <w:rPr>
          <w:rFonts w:ascii="黑体" w:cs="宋体" w:hAnsi="黑体" w:hint="eastAsia"/>
          <w:szCs w:val="21"/>
        </w:rPr>
        <w:t>2、发行公告，包括本产品成立日期和募集规模等信息，产品管理人将在本理财产品成立后5个工作日内披露产品发行公告；</w:t>
      </w:r>
    </w:p>
    <w:p w14:paraId="235E1E1B" w14:textId="7B4ED96F" w:rsidP="002A5C19" w:rsidR="002A5C19" w:rsidRDefault="006D0D3E">
      <w:pPr>
        <w:ind w:firstLine="420"/>
        <w:rPr>
          <w:rFonts w:ascii="黑体" w:cs="黑体" w:hAnsi="黑体" w:hint="eastAsia"/>
          <w:szCs w:val="21"/>
        </w:rPr>
      </w:pPr>
      <w:r>
        <w:rPr>
          <w:rFonts w:ascii="黑体" w:cs="宋体" w:hAnsi="黑体" w:hint="eastAsia"/>
          <w:szCs w:val="21"/>
        </w:rPr>
        <w:t>3、定期报告，包括</w:t>
      </w:r>
      <w:r w:rsidR="002A5C19">
        <w:rPr>
          <w:rFonts w:ascii="黑体" w:cs="黑体" w:hAnsi="黑体" w:hint="eastAsia"/>
          <w:szCs w:val="21"/>
        </w:rPr>
        <w:t>：</w:t>
      </w:r>
    </w:p>
    <w:p w14:paraId="6CB5C726" w14:textId="77777777" w:rsidP="002A5C19" w:rsidR="002A5C19" w:rsidRDefault="002A5C19">
      <w:pPr>
        <w:ind w:firstLine="420"/>
        <w:rPr>
          <w:rFonts w:ascii="黑体" w:cs="黑体" w:hAnsi="黑体" w:hint="eastAsia"/>
          <w:szCs w:val="21"/>
        </w:rPr>
      </w:pPr>
      <w:r>
        <w:rPr>
          <w:rFonts w:ascii="黑体" w:cs="黑体" w:hAnsi="黑体" w:hint="eastAsia"/>
          <w:szCs w:val="21"/>
        </w:rPr>
        <w:t>（1）产品存续规模、杠杆水平等。</w:t>
      </w:r>
    </w:p>
    <w:p w14:paraId="14A5F8BD" w14:textId="77777777" w:rsidP="002A5C19" w:rsidR="002A5C19" w:rsidRDefault="002A5C19">
      <w:pPr>
        <w:ind w:firstLine="420"/>
        <w:rPr>
          <w:rFonts w:ascii="黑体" w:cs="黑体" w:hAnsi="黑体" w:hint="eastAsia"/>
          <w:szCs w:val="21"/>
        </w:rPr>
      </w:pPr>
      <w:r>
        <w:rPr>
          <w:rFonts w:ascii="黑体" w:cs="黑体" w:hAnsi="黑体" w:hint="eastAsia"/>
          <w:szCs w:val="21"/>
        </w:rPr>
        <w:t>（2）本报告期期末的产品份额净值、份额累计净值和资产净值，本报告期收益表现情况、收益分配情况。</w:t>
      </w:r>
    </w:p>
    <w:p w14:paraId="3E442EEC" w14:textId="77777777" w:rsidP="002A5C19" w:rsidR="002A5C19" w:rsidRDefault="002A5C19">
      <w:pPr>
        <w:ind w:firstLine="420"/>
        <w:rPr>
          <w:rFonts w:ascii="黑体" w:cs="黑体" w:hAnsi="黑体" w:hint="eastAsia"/>
          <w:szCs w:val="21"/>
        </w:rPr>
      </w:pPr>
      <w:r>
        <w:rPr>
          <w:rFonts w:ascii="黑体" w:cs="黑体" w:hAnsi="黑体" w:hint="eastAsia"/>
          <w:szCs w:val="21"/>
        </w:rPr>
        <w:t>（3）产品投资账户信息。</w:t>
      </w:r>
    </w:p>
    <w:p w14:paraId="58C8D96B" w14:textId="77777777" w:rsidP="002A5C19" w:rsidR="002A5C19" w:rsidRDefault="002A5C19">
      <w:pPr>
        <w:ind w:firstLine="420"/>
        <w:rPr>
          <w:rFonts w:ascii="黑体" w:cs="黑体" w:hAnsi="黑体" w:hint="eastAsia"/>
          <w:szCs w:val="21"/>
        </w:rPr>
      </w:pPr>
      <w:r>
        <w:rPr>
          <w:rFonts w:ascii="黑体" w:cs="黑体" w:hAnsi="黑体" w:hint="eastAsia"/>
          <w:szCs w:val="21"/>
        </w:rPr>
        <w:t>（4）产品主要投资资产情况，包括穿透前和穿透后的资产种类、投资比例等信息。</w:t>
      </w:r>
    </w:p>
    <w:p w14:paraId="2C49B4DD" w14:textId="77777777" w:rsidP="002A5C19" w:rsidR="002A5C19" w:rsidRDefault="002A5C19">
      <w:pPr>
        <w:ind w:firstLine="420"/>
        <w:rPr>
          <w:rFonts w:ascii="黑体" w:cs="黑体" w:hAnsi="黑体" w:hint="eastAsia"/>
          <w:szCs w:val="21"/>
        </w:rPr>
      </w:pPr>
      <w:r>
        <w:rPr>
          <w:rFonts w:ascii="黑体" w:cs="黑体" w:hAnsi="黑体" w:hint="eastAsia"/>
          <w:szCs w:val="21"/>
        </w:rPr>
        <w:t>（5）相关投资风险。</w:t>
      </w:r>
    </w:p>
    <w:p w14:paraId="22AC57B5" w14:textId="77777777" w:rsidP="002A5C19" w:rsidR="002A5C19" w:rsidRDefault="002A5C19">
      <w:pPr>
        <w:ind w:firstLine="420"/>
        <w:rPr>
          <w:rFonts w:ascii="黑体" w:cs="黑体" w:hAnsi="黑体" w:hint="eastAsia"/>
          <w:szCs w:val="21"/>
        </w:rPr>
      </w:pPr>
      <w:r>
        <w:rPr>
          <w:rFonts w:ascii="黑体" w:cs="黑体" w:hAnsi="黑体" w:hint="eastAsia"/>
          <w:szCs w:val="21"/>
        </w:rPr>
        <w:t>（6）本报告期产品投资产品管理人、托管机构，及其控股股东、实际控制人、与其有其他重大利害关系的公司发行或者承销期内承销的证券，或者从事其他重大关联交易的情况。</w:t>
      </w:r>
    </w:p>
    <w:p w14:paraId="48AD70ED" w14:textId="77777777" w:rsidP="002A5C19" w:rsidR="002A5C19" w:rsidRDefault="002A5C19">
      <w:pPr>
        <w:ind w:firstLine="420"/>
        <w:rPr>
          <w:rFonts w:ascii="黑体" w:cs="黑体" w:hAnsi="黑体" w:hint="eastAsia"/>
          <w:szCs w:val="21"/>
        </w:rPr>
      </w:pPr>
      <w:r>
        <w:rPr>
          <w:rFonts w:ascii="黑体" w:cs="黑体" w:hAnsi="黑体" w:hint="eastAsia"/>
          <w:szCs w:val="21"/>
        </w:rPr>
        <w:t>（7）产品的年度报告（附产品的财务会计报告）。其中，产品按照监管规定需要进行单独外部审计的，其年度报告所附的财务会计报告应当经外部审计，并同时披露外部审计意见。</w:t>
      </w:r>
    </w:p>
    <w:p w14:paraId="40D21A73" w14:textId="77777777" w:rsidP="002A5C19" w:rsidR="002A5C19" w:rsidRDefault="002A5C19">
      <w:pPr>
        <w:ind w:firstLine="420"/>
        <w:rPr>
          <w:rFonts w:ascii="黑体" w:cs="黑体" w:hAnsi="黑体" w:hint="eastAsia"/>
          <w:szCs w:val="21"/>
        </w:rPr>
      </w:pPr>
      <w:r>
        <w:rPr>
          <w:rFonts w:ascii="黑体" w:cs="黑体" w:hAnsi="黑体" w:hint="eastAsia"/>
          <w:szCs w:val="21"/>
        </w:rPr>
        <w:t>（8）法律法规以及国家金融监督管理总局规定的其他内容。</w:t>
      </w:r>
    </w:p>
    <w:p w14:paraId="574D8C43" w14:textId="77777777" w:rsidP="002A5C19" w:rsidR="002A5C19" w:rsidRDefault="002A5C19">
      <w:pPr>
        <w:ind w:firstLine="420"/>
        <w:rPr>
          <w:rFonts w:ascii="黑体" w:cs="黑体" w:hAnsi="黑体" w:hint="eastAsia"/>
          <w:szCs w:val="21"/>
        </w:rPr>
      </w:pPr>
      <w:r>
        <w:rPr>
          <w:rFonts w:ascii="黑体" w:cs="黑体" w:hAnsi="黑体" w:hint="eastAsia"/>
          <w:szCs w:val="21"/>
        </w:rPr>
        <w:t>产品管理人将在每个季度结束之日起15个工作日内披露本理财产品的季度报告，每年8月3</w:t>
      </w:r>
      <w:r>
        <w:rPr>
          <w:rFonts w:ascii="黑体" w:cs="黑体" w:hAnsi="黑体"/>
          <w:szCs w:val="21"/>
        </w:rPr>
        <w:t>1</w:t>
      </w:r>
      <w:r>
        <w:rPr>
          <w:rFonts w:ascii="黑体" w:cs="黑体" w:hAnsi="黑体" w:hint="eastAsia"/>
          <w:szCs w:val="21"/>
        </w:rPr>
        <w:t>前披露本理财产品的半年度报告，每年4月3</w:t>
      </w:r>
      <w:r>
        <w:rPr>
          <w:rFonts w:ascii="黑体" w:cs="黑体" w:hAnsi="黑体"/>
          <w:szCs w:val="21"/>
        </w:rPr>
        <w:t>0</w:t>
      </w:r>
      <w:r>
        <w:rPr>
          <w:rFonts w:ascii="黑体" w:cs="黑体" w:hAnsi="黑体" w:hint="eastAsia"/>
          <w:szCs w:val="21"/>
        </w:rPr>
        <w:t>日前披露本理财产品的上一年度年度报告。如果本理财产品成立不足90个自然日的，可以不编制当期的季度、半年度和年度报告。本理财产品剩余存续期不足完整报告期，且到期公告包括对应定期报告内容的，产品管理人可以不编制剩余存续期所对应的季度、半年度和年度报告。</w:t>
      </w:r>
    </w:p>
    <w:p w14:paraId="53F3934D" w14:textId="77777777" w:rsidR="00041061" w:rsidRDefault="006D0D3E">
      <w:pPr>
        <w:ind w:firstLine="420"/>
        <w:jc w:val="left"/>
        <w:rPr>
          <w:rFonts w:ascii="黑体" w:cs="宋体" w:hAnsi="黑体" w:hint="eastAsia"/>
          <w:szCs w:val="21"/>
        </w:rPr>
      </w:pPr>
      <w:r>
        <w:rPr>
          <w:rFonts w:ascii="黑体" w:cs="宋体" w:hAnsi="黑体" w:hint="eastAsia"/>
          <w:szCs w:val="21"/>
        </w:rPr>
        <w:t>4、到期公告，包括本产品的存续期限、终止日期、收费情况和收益分配情况等信息，产品管理人将在本理财产品终止后5个工作日内披露产品到期公告；</w:t>
      </w:r>
    </w:p>
    <w:p w14:paraId="55312B9C" w14:textId="77777777" w:rsidR="00041061" w:rsidRDefault="006D0D3E">
      <w:pPr>
        <w:ind w:firstLine="420"/>
        <w:jc w:val="left"/>
        <w:rPr>
          <w:rFonts w:ascii="黑体" w:cs="宋体" w:hAnsi="黑体" w:hint="eastAsia"/>
          <w:szCs w:val="21"/>
        </w:rPr>
      </w:pPr>
      <w:r>
        <w:rPr>
          <w:rFonts w:ascii="黑体" w:cs="宋体" w:hAnsi="黑体" w:hint="eastAsia"/>
          <w:szCs w:val="21"/>
        </w:rPr>
        <w:t>5、重大事项公告；</w:t>
      </w:r>
    </w:p>
    <w:p w14:paraId="33E2ABC2" w14:textId="77777777" w:rsidR="00041061" w:rsidRDefault="006D0D3E">
      <w:pPr>
        <w:ind w:firstLine="420"/>
        <w:jc w:val="left"/>
        <w:rPr>
          <w:rFonts w:ascii="黑体" w:cs="宋体" w:hAnsi="黑体" w:hint="eastAsia"/>
          <w:szCs w:val="21"/>
        </w:rPr>
      </w:pPr>
      <w:r>
        <w:rPr>
          <w:rFonts w:ascii="黑体" w:cs="宋体" w:hAnsi="黑体" w:hint="eastAsia"/>
          <w:szCs w:val="21"/>
        </w:rPr>
        <w:t>6、临时性信息披露；</w:t>
      </w:r>
    </w:p>
    <w:p w14:paraId="7FD8929D" w14:textId="77777777" w:rsidR="00041061" w:rsidRDefault="006D0D3E">
      <w:pPr>
        <w:ind w:firstLine="420"/>
        <w:jc w:val="left"/>
        <w:rPr>
          <w:rFonts w:ascii="黑体" w:cs="宋体" w:hAnsi="黑体" w:hint="eastAsia"/>
          <w:szCs w:val="21"/>
        </w:rPr>
      </w:pPr>
      <w:r>
        <w:rPr>
          <w:rFonts w:ascii="黑体" w:cs="宋体" w:hAnsi="黑体" w:hint="eastAsia"/>
          <w:szCs w:val="21"/>
        </w:rPr>
        <w:t>7、国务院银行业监督管理机构规定的其他信息；</w:t>
      </w:r>
    </w:p>
    <w:p w14:paraId="378FF38A" w14:textId="77777777" w:rsidR="00041061" w:rsidRDefault="006D0D3E">
      <w:pPr>
        <w:ind w:firstLine="420"/>
        <w:jc w:val="left"/>
        <w:rPr>
          <w:rFonts w:ascii="黑体" w:cs="宋体" w:hAnsi="黑体" w:hint="eastAsia"/>
          <w:szCs w:val="21"/>
        </w:rPr>
      </w:pPr>
      <w:r>
        <w:rPr>
          <w:rFonts w:ascii="黑体" w:cs="宋体" w:hAnsi="黑体" w:hint="eastAsia"/>
          <w:szCs w:val="21"/>
        </w:rPr>
        <w:t>8、产品管理人认为需要披露的其他信息。</w:t>
      </w:r>
    </w:p>
    <w:p w14:paraId="53933A4D" w14:textId="77777777" w:rsidR="00041061" w:rsidRDefault="006D0D3E">
      <w:pPr>
        <w:jc w:val="left"/>
        <w:rPr>
          <w:rFonts w:ascii="黑体" w:cs="宋体" w:hAnsi="黑体" w:hint="eastAsia"/>
          <w:b/>
          <w:szCs w:val="21"/>
        </w:rPr>
      </w:pPr>
      <w:r>
        <w:rPr>
          <w:rFonts w:ascii="黑体" w:cs="宋体" w:hAnsi="黑体" w:hint="eastAsia"/>
          <w:b/>
          <w:szCs w:val="21"/>
        </w:rPr>
        <w:t>（二</w:t>
      </w:r>
      <w:r>
        <w:rPr>
          <w:rFonts w:ascii="黑体" w:cs="宋体" w:hAnsi="黑体"/>
          <w:b/>
          <w:szCs w:val="21"/>
        </w:rPr>
        <w:t>）</w:t>
      </w:r>
      <w:r>
        <w:rPr>
          <w:rFonts w:ascii="黑体" w:cs="宋体" w:hAnsi="黑体" w:hint="eastAsia"/>
          <w:b/>
          <w:szCs w:val="21"/>
        </w:rPr>
        <w:t>投资者同意，产品管理人或销售</w:t>
      </w:r>
      <w:r>
        <w:rPr>
          <w:rFonts w:ascii="黑体" w:cs="宋体" w:hAnsi="黑体"/>
          <w:b/>
          <w:szCs w:val="21"/>
        </w:rPr>
        <w:t>机构</w:t>
      </w:r>
      <w:r>
        <w:rPr>
          <w:rFonts w:ascii="黑体" w:cs="宋体" w:hAnsi="黑体" w:hint="eastAsia"/>
          <w:b/>
          <w:szCs w:val="21"/>
        </w:rPr>
        <w:t>通过</w:t>
      </w:r>
      <w:r>
        <w:rPr>
          <w:rFonts w:ascii="黑体" w:cs="宋体" w:hAnsi="黑体"/>
          <w:b/>
          <w:szCs w:val="21"/>
        </w:rPr>
        <w:t>上述</w:t>
      </w:r>
      <w:r>
        <w:rPr>
          <w:rFonts w:ascii="黑体" w:cs="宋体" w:hAnsi="黑体" w:hint="eastAsia"/>
          <w:b/>
          <w:szCs w:val="21"/>
        </w:rPr>
        <w:t>方式及</w:t>
      </w:r>
      <w:r>
        <w:rPr>
          <w:rFonts w:ascii="黑体" w:cs="宋体" w:hAnsi="黑体"/>
          <w:b/>
          <w:szCs w:val="21"/>
        </w:rPr>
        <w:t>频率</w:t>
      </w:r>
      <w:r>
        <w:rPr>
          <w:rFonts w:ascii="黑体" w:cs="宋体" w:hAnsi="黑体" w:hint="eastAsia"/>
          <w:b/>
          <w:szCs w:val="21"/>
        </w:rPr>
        <w:t>进行信息披露，</w:t>
      </w:r>
      <w:r>
        <w:rPr>
          <w:rFonts w:ascii="黑体" w:cs="宋体" w:hAnsi="黑体"/>
          <w:b/>
          <w:szCs w:val="21"/>
        </w:rPr>
        <w:t>视为完全履行信息</w:t>
      </w:r>
      <w:r>
        <w:rPr>
          <w:rFonts w:ascii="黑体" w:cs="宋体" w:hAnsi="黑体" w:hint="eastAsia"/>
          <w:b/>
          <w:szCs w:val="21"/>
        </w:rPr>
        <w:t>披露</w:t>
      </w:r>
      <w:r>
        <w:rPr>
          <w:rFonts w:ascii="黑体" w:cs="宋体" w:hAnsi="黑体"/>
          <w:b/>
          <w:szCs w:val="21"/>
        </w:rPr>
        <w:t>义务</w:t>
      </w:r>
      <w:r>
        <w:rPr>
          <w:rFonts w:ascii="黑体" w:cs="宋体" w:hAnsi="黑体" w:hint="eastAsia"/>
          <w:b/>
          <w:szCs w:val="21"/>
        </w:rPr>
        <w:t>，如果投资者未及时查询，或由于通讯故障、非产品管理人原因的系统故障以及其他不可抗力等因素的影响</w:t>
      </w:r>
      <w:r>
        <w:rPr>
          <w:rFonts w:ascii="黑体" w:cs="宋体" w:hAnsi="黑体"/>
          <w:b/>
          <w:szCs w:val="21"/>
        </w:rPr>
        <w:t>,致使投资者无法及时了解产品信息，因此而产生的（包括但不限于因未及时获知信息而错过资金使用和再投资的机会等）全部责任和风险，由投资者自行承担。</w:t>
      </w:r>
    </w:p>
    <w:p w14:paraId="160EAC37" w14:textId="77777777" w:rsidR="00041061" w:rsidRDefault="00041061">
      <w:pPr>
        <w:ind w:firstLine="420"/>
        <w:jc w:val="left"/>
        <w:rPr>
          <w:rFonts w:ascii="黑体" w:cs="宋体" w:hAnsi="黑体" w:hint="eastAsia"/>
          <w:szCs w:val="21"/>
        </w:rPr>
      </w:pPr>
    </w:p>
    <w:p w14:paraId="023220F2" w14:textId="77777777" w:rsidR="00041061" w:rsidRDefault="006D0D3E">
      <w:pPr>
        <w:jc w:val="left"/>
        <w:rPr>
          <w:rFonts w:ascii="黑体" w:cs="黑体" w:hAnsi="黑体" w:hint="eastAsia"/>
          <w:b/>
          <w:szCs w:val="21"/>
        </w:rPr>
      </w:pPr>
      <w:r>
        <w:rPr>
          <w:rFonts w:ascii="黑体" w:cs="黑体" w:hAnsi="黑体" w:hint="eastAsia"/>
          <w:b/>
          <w:szCs w:val="21"/>
        </w:rPr>
        <w:t>十一、特别提示</w:t>
      </w:r>
    </w:p>
    <w:p w14:paraId="2E21BC23" w14:textId="77777777" w:rsidR="00041061" w:rsidRDefault="006D0D3E">
      <w:pPr>
        <w:ind w:firstLine="422"/>
        <w:jc w:val="left"/>
        <w:rPr>
          <w:rFonts w:ascii="黑体" w:cs="宋体" w:hAnsi="黑体" w:hint="eastAsia"/>
          <w:b/>
          <w:szCs w:val="21"/>
        </w:rPr>
      </w:pPr>
      <w:r>
        <w:rPr>
          <w:rFonts w:ascii="黑体" w:cs="宋体" w:hAnsi="黑体" w:hint="eastAsia"/>
          <w:b/>
          <w:szCs w:val="21"/>
        </w:rPr>
        <w:t>1、本产品业绩比较基准、产品的过往业绩仅供投资者参考，并不作为产品管理人向投资者支付本产品本金</w:t>
      </w:r>
      <w:r>
        <w:rPr>
          <w:rFonts w:ascii="黑体" w:cs="宋体" w:hAnsi="黑体"/>
          <w:b/>
          <w:szCs w:val="21"/>
        </w:rPr>
        <w:t>或</w:t>
      </w:r>
      <w:r>
        <w:rPr>
          <w:rFonts w:ascii="黑体" w:cs="宋体" w:hAnsi="黑体" w:hint="eastAsia"/>
          <w:b/>
          <w:szCs w:val="21"/>
        </w:rPr>
        <w:t>收益的承诺；投资者所能获得的最终收益以产品实际</w:t>
      </w:r>
      <w:r>
        <w:rPr>
          <w:rFonts w:ascii="黑体" w:cs="宋体" w:hAnsi="黑体"/>
          <w:b/>
          <w:szCs w:val="21"/>
        </w:rPr>
        <w:t>情况</w:t>
      </w:r>
      <w:r>
        <w:rPr>
          <w:rFonts w:ascii="黑体" w:cs="宋体" w:hAnsi="黑体" w:hint="eastAsia"/>
          <w:b/>
          <w:szCs w:val="21"/>
        </w:rPr>
        <w:t>为准。</w:t>
      </w:r>
    </w:p>
    <w:p w14:paraId="7BE84B62" w14:textId="77777777" w:rsidR="00041061" w:rsidRDefault="006D0D3E">
      <w:pPr>
        <w:ind w:firstLine="422"/>
        <w:jc w:val="left"/>
        <w:rPr>
          <w:rFonts w:ascii="黑体" w:cs="宋体" w:hAnsi="黑体" w:hint="eastAsia"/>
          <w:b/>
          <w:szCs w:val="21"/>
        </w:rPr>
      </w:pPr>
      <w:r>
        <w:rPr>
          <w:rFonts w:ascii="黑体" w:cs="宋体" w:hAnsi="黑体"/>
          <w:b/>
          <w:szCs w:val="21"/>
        </w:rPr>
        <w:t>2</w:t>
      </w:r>
      <w:r>
        <w:rPr>
          <w:rFonts w:ascii="黑体" w:cs="宋体" w:hAnsi="黑体" w:hint="eastAsia"/>
          <w:b/>
          <w:szCs w:val="21"/>
        </w:rPr>
        <w:t>、投资者在投资前，请仔细阅读本说明书，并作出独立的投资决策。</w:t>
      </w:r>
    </w:p>
    <w:p w14:paraId="7176C8DA" w14:textId="77777777" w:rsidR="00041061" w:rsidRDefault="006D0D3E">
      <w:pPr>
        <w:ind w:firstLine="422"/>
        <w:jc w:val="left"/>
        <w:rPr>
          <w:rFonts w:ascii="黑体" w:cs="宋体" w:hAnsi="黑体" w:hint="eastAsia"/>
          <w:b/>
          <w:szCs w:val="21"/>
        </w:rPr>
      </w:pPr>
      <w:r>
        <w:rPr>
          <w:rFonts w:ascii="黑体" w:cs="宋体" w:hAnsi="黑体"/>
          <w:b/>
          <w:szCs w:val="21"/>
        </w:rPr>
        <w:t>3、产品管理人</w:t>
      </w:r>
      <w:r>
        <w:rPr>
          <w:rFonts w:ascii="黑体" w:cs="宋体" w:hAnsi="黑体" w:hint="eastAsia"/>
          <w:b/>
          <w:szCs w:val="21"/>
        </w:rPr>
        <w:t>将恪守勤勉尽责的原则，合理配置资产组合，为投资者提供专业化的理财服务。</w:t>
      </w:r>
    </w:p>
    <w:p w14:paraId="77DDADD5" w14:textId="77777777" w:rsidR="00041061" w:rsidRDefault="006D0D3E">
      <w:pPr>
        <w:ind w:firstLine="422"/>
        <w:jc w:val="left"/>
        <w:rPr>
          <w:rFonts w:ascii="黑体" w:cs="宋体" w:hAnsi="黑体" w:hint="eastAsia"/>
          <w:b/>
          <w:szCs w:val="21"/>
        </w:rPr>
      </w:pPr>
      <w:r>
        <w:rPr>
          <w:rFonts w:ascii="黑体" w:cs="宋体" w:hAnsi="黑体"/>
          <w:b/>
          <w:szCs w:val="21"/>
        </w:rPr>
        <w:t>4</w:t>
      </w:r>
      <w:r>
        <w:rPr>
          <w:rFonts w:ascii="黑体" w:cs="宋体" w:hAnsi="黑体" w:hint="eastAsia"/>
          <w:b/>
          <w:szCs w:val="21"/>
        </w:rPr>
        <w:t>、投资者应密切关注产品管理人或</w:t>
      </w:r>
      <w:r>
        <w:rPr>
          <w:rFonts w:ascii="黑体" w:cs="宋体" w:hAnsi="黑体"/>
          <w:b/>
          <w:szCs w:val="21"/>
        </w:rPr>
        <w:t>销售机构发布的</w:t>
      </w:r>
      <w:r>
        <w:rPr>
          <w:rFonts w:ascii="黑体" w:cs="宋体" w:hAnsi="黑体" w:hint="eastAsia"/>
          <w:b/>
          <w:szCs w:val="21"/>
        </w:rPr>
        <w:t>与本产品有关的信息披露公告，</w:t>
      </w:r>
      <w:r>
        <w:rPr>
          <w:rFonts w:ascii="黑体" w:cs="宋体" w:hAnsi="黑体" w:hint="eastAsia"/>
          <w:b/>
          <w:szCs w:val="21"/>
        </w:rPr>
        <w:lastRenderedPageBreak/>
        <w:t>以免造成不必要的损失。</w:t>
      </w:r>
    </w:p>
    <w:p w14:paraId="14CA4F3D" w14:textId="77777777" w:rsidR="00041061" w:rsidRDefault="006D0D3E">
      <w:pPr>
        <w:pStyle w:val="aff6"/>
        <w:rPr>
          <w:rFonts w:hint="eastAsia"/>
        </w:rPr>
      </w:pPr>
      <w:r>
        <w:t>5、其他：</w:t>
      </w:r>
      <w:r>
        <w:rPr>
          <w:rFonts w:hint="eastAsia"/>
        </w:rPr>
        <w:t>无。</w:t>
      </w:r>
    </w:p>
    <w:p w14:paraId="77B55AD5" w14:textId="77777777" w:rsidR="00041061" w:rsidRDefault="00041061">
      <w:pPr>
        <w:pStyle w:val="aff7"/>
        <w:rPr>
          <w:rFonts w:hint="eastAsia"/>
        </w:rPr>
      </w:pPr>
    </w:p>
    <w:p w14:paraId="73389E2A" w14:textId="77777777" w:rsidR="00041061" w:rsidRDefault="006D0D3E">
      <w:pPr>
        <w:jc w:val="left"/>
        <w:rPr>
          <w:rFonts w:ascii="黑体" w:hAnsi="黑体" w:hint="eastAsia"/>
          <w:b/>
          <w:szCs w:val="21"/>
        </w:rPr>
      </w:pPr>
      <w:r>
        <w:rPr>
          <w:rFonts w:ascii="黑体" w:hAnsi="黑体" w:hint="eastAsia"/>
          <w:b/>
          <w:szCs w:val="21"/>
        </w:rPr>
        <w:t>十二、其他</w:t>
      </w:r>
    </w:p>
    <w:p w14:paraId="38830493" w14:textId="77777777" w:rsidR="00041061" w:rsidRDefault="006D0D3E">
      <w:pPr>
        <w:ind w:firstLine="422"/>
        <w:jc w:val="left"/>
        <w:rPr>
          <w:rFonts w:ascii="黑体" w:hAnsi="黑体" w:hint="eastAsia"/>
          <w:b/>
          <w:szCs w:val="21"/>
        </w:rPr>
      </w:pPr>
      <w:r>
        <w:rPr>
          <w:rFonts w:ascii="黑体" w:hAnsi="黑体"/>
          <w:b/>
          <w:szCs w:val="21"/>
        </w:rPr>
        <w:t>1、除产品管理人</w:t>
      </w:r>
      <w:r>
        <w:rPr>
          <w:rFonts w:ascii="黑体" w:hAnsi="黑体" w:hint="eastAsia"/>
          <w:b/>
          <w:szCs w:val="21"/>
        </w:rPr>
        <w:t>同意外</w:t>
      </w:r>
      <w:r>
        <w:rPr>
          <w:rFonts w:ascii="黑体" w:hAnsi="黑体"/>
          <w:b/>
          <w:szCs w:val="21"/>
        </w:rPr>
        <w:t>，本产品</w:t>
      </w:r>
      <w:r>
        <w:rPr>
          <w:rFonts w:ascii="黑体" w:hAnsi="黑体" w:hint="eastAsia"/>
          <w:b/>
          <w:szCs w:val="21"/>
        </w:rPr>
        <w:t>不</w:t>
      </w:r>
      <w:r>
        <w:rPr>
          <w:rFonts w:ascii="黑体" w:hAnsi="黑体"/>
          <w:b/>
          <w:szCs w:val="21"/>
        </w:rPr>
        <w:t>允许</w:t>
      </w:r>
      <w:r>
        <w:rPr>
          <w:rFonts w:ascii="黑体" w:hAnsi="黑体" w:hint="eastAsia"/>
          <w:b/>
          <w:szCs w:val="21"/>
        </w:rPr>
        <w:t>投资者办理</w:t>
      </w:r>
      <w:r>
        <w:rPr>
          <w:rFonts w:ascii="黑体" w:hAnsi="黑体"/>
          <w:b/>
          <w:szCs w:val="21"/>
        </w:rPr>
        <w:t>提前赎回</w:t>
      </w:r>
      <w:r>
        <w:rPr>
          <w:rFonts w:ascii="黑体" w:hAnsi="黑体" w:hint="eastAsia"/>
          <w:b/>
          <w:szCs w:val="21"/>
        </w:rPr>
        <w:t>。</w:t>
      </w:r>
    </w:p>
    <w:p w14:paraId="17D9B1E7" w14:textId="77777777" w:rsidR="00041061" w:rsidRDefault="006D0D3E">
      <w:pPr>
        <w:pStyle w:val="aff6"/>
        <w:rPr>
          <w:rFonts w:hint="eastAsia"/>
        </w:rPr>
      </w:pPr>
      <w:r>
        <w:t xml:space="preserve">    2、其他：</w:t>
      </w:r>
      <w:r>
        <w:rPr>
          <w:rFonts w:hint="eastAsia"/>
        </w:rPr>
        <w:t>无。</w:t>
      </w:r>
    </w:p>
    <w:p w14:paraId="616C40CC" w14:textId="77777777" w:rsidR="00041061" w:rsidRDefault="00041061">
      <w:pPr>
        <w:ind w:firstLine="420"/>
        <w:jc w:val="left"/>
        <w:rPr>
          <w:rFonts w:ascii="黑体" w:hAnsi="黑体" w:hint="eastAsia"/>
          <w:szCs w:val="21"/>
        </w:rPr>
      </w:pPr>
    </w:p>
    <w:p w14:paraId="3549EF62" w14:textId="77777777" w:rsidR="00041061" w:rsidRDefault="006D0D3E">
      <w:pPr>
        <w:ind w:firstLine="422"/>
        <w:rPr>
          <w:rFonts w:ascii="黑体" w:hAnsi="黑体" w:hint="eastAsia"/>
          <w:b/>
          <w:szCs w:val="21"/>
        </w:rPr>
      </w:pPr>
      <w:r>
        <w:rPr>
          <w:rFonts w:ascii="黑体" w:hAnsi="黑体" w:hint="eastAsia"/>
          <w:b/>
          <w:szCs w:val="21"/>
        </w:rPr>
        <w:t>以下内容由投资者确认并</w:t>
      </w:r>
      <w:r>
        <w:rPr>
          <w:rFonts w:ascii="黑体" w:hAnsi="黑体"/>
          <w:b/>
          <w:szCs w:val="21"/>
        </w:rPr>
        <w:t>签字</w:t>
      </w:r>
      <w:r>
        <w:rPr>
          <w:rFonts w:ascii="黑体" w:hAnsi="黑体" w:hint="eastAsia"/>
          <w:b/>
          <w:szCs w:val="21"/>
        </w:rPr>
        <w:t>（机构投资者需盖章），如通过线上渠道购买，认（申）购确认即视为投资者同意并确认下述内容：</w:t>
      </w:r>
    </w:p>
    <w:p w14:paraId="4C969790" w14:textId="77777777" w:rsidR="00041061" w:rsidRDefault="006D0D3E">
      <w:pPr>
        <w:ind w:firstLine="420"/>
        <w:rPr>
          <w:rFonts w:ascii="黑体" w:hAnsi="黑体" w:hint="eastAsia"/>
          <w:szCs w:val="21"/>
        </w:rPr>
      </w:pPr>
      <w:r>
        <w:rPr>
          <w:rFonts w:ascii="黑体" w:hAnsi="黑体" w:hint="eastAsia"/>
          <w:szCs w:val="21"/>
        </w:rPr>
        <w:t>声明：本人/本机构充分阅读本</w:t>
      </w:r>
      <w:r>
        <w:rPr>
          <w:rFonts w:ascii="黑体" w:hAnsi="黑体"/>
          <w:szCs w:val="21"/>
        </w:rPr>
        <w:t>说明书及</w:t>
      </w:r>
      <w:r>
        <w:rPr>
          <w:rFonts w:ascii="黑体" w:hAnsi="黑体" w:hint="eastAsia"/>
          <w:szCs w:val="21"/>
        </w:rPr>
        <w:t>本理财产品的《风险揭示书》、</w:t>
      </w:r>
      <w:r>
        <w:rPr>
          <w:rFonts w:ascii="黑体" w:cs="黑体" w:hAnsi="黑体" w:hint="eastAsia"/>
          <w:szCs w:val="21"/>
        </w:rPr>
        <w:t>《销售（代理销售）协议书》</w:t>
      </w:r>
      <w:r>
        <w:rPr>
          <w:rFonts w:ascii="黑体" w:hAnsi="黑体" w:hint="eastAsia"/>
          <w:szCs w:val="21"/>
        </w:rPr>
        <w:t>、《投资协议书》、《投资者权益须知》等理财产品销售文件，已全面、准确地理解本产品，充分认识到投资本产品需要承担的风险，并自愿承担此风险。</w:t>
      </w:r>
    </w:p>
    <w:p w14:paraId="05E02328" w14:textId="77777777" w:rsidR="00041061" w:rsidRDefault="00041061">
      <w:pPr>
        <w:ind w:firstLine="420"/>
        <w:jc w:val="left"/>
        <w:rPr>
          <w:rFonts w:ascii="黑体" w:hAnsi="黑体" w:hint="eastAsia"/>
          <w:szCs w:val="21"/>
        </w:rPr>
      </w:pPr>
    </w:p>
    <w:p w14:paraId="77D4B315"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（自然人签署适用）</w:t>
      </w:r>
    </w:p>
    <w:p w14:paraId="35E7209E"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投资者签字</w:t>
      </w:r>
      <w:r>
        <w:rPr>
          <w:rFonts w:ascii="黑体" w:hAnsi="黑体"/>
          <w:b/>
          <w:szCs w:val="21"/>
        </w:rPr>
        <w:t>____________</w:t>
      </w:r>
    </w:p>
    <w:p w14:paraId="7EDB2E21" w14:textId="77777777" w:rsidR="00041061" w:rsidRDefault="00041061">
      <w:pPr>
        <w:autoSpaceDE w:val="0"/>
        <w:autoSpaceDN w:val="0"/>
        <w:adjustRightInd w:val="0"/>
        <w:ind w:firstLine="422" w:firstLineChars="200"/>
        <w:jc w:val="left"/>
        <w:rPr>
          <w:rFonts w:ascii="黑体" w:hAnsi="黑体" w:hint="eastAsia"/>
          <w:b/>
          <w:szCs w:val="21"/>
        </w:rPr>
      </w:pPr>
    </w:p>
    <w:p w14:paraId="398594E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hint="eastAsia"/>
          <w:b/>
          <w:szCs w:val="21"/>
        </w:rPr>
        <w:t>（机构投资者签署适用）</w:t>
      </w:r>
    </w:p>
    <w:p w14:paraId="54AF72DC"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公章（或经公章授权的其他有效印鉴）：</w:t>
      </w:r>
    </w:p>
    <w:p w14:paraId="69D63A2F" w14:textId="77777777" w:rsidR="00041061" w:rsidRDefault="006D0D3E">
      <w:pPr>
        <w:autoSpaceDE w:val="0"/>
        <w:autoSpaceDN w:val="0"/>
        <w:adjustRightInd w:val="0"/>
        <w:ind w:firstLine="422" w:firstLineChars="200"/>
        <w:jc w:val="left"/>
        <w:rPr>
          <w:rFonts w:ascii="黑体" w:hAnsi="黑体" w:hint="eastAsia"/>
          <w:b/>
          <w:szCs w:val="21"/>
        </w:rPr>
      </w:pPr>
      <w:r>
        <w:rPr>
          <w:rFonts w:ascii="黑体" w:hAnsi="黑体"/>
          <w:b/>
          <w:szCs w:val="21"/>
        </w:rPr>
        <w:t>法定代表人（负责人）或授权代理人签字/签章：</w:t>
      </w:r>
    </w:p>
    <w:p w14:paraId="5A831C3A" w14:textId="77777777" w:rsidR="00041061" w:rsidRDefault="00041061">
      <w:pPr>
        <w:autoSpaceDE w:val="0"/>
        <w:autoSpaceDN w:val="0"/>
        <w:adjustRightInd w:val="0"/>
        <w:ind w:firstLine="422" w:firstLineChars="200"/>
        <w:jc w:val="left"/>
        <w:rPr>
          <w:rFonts w:ascii="黑体" w:hAnsi="黑体" w:hint="eastAsia"/>
          <w:b/>
          <w:szCs w:val="21"/>
        </w:rPr>
      </w:pPr>
    </w:p>
    <w:p w14:paraId="72DEC046" w14:textId="77777777" w:rsidR="00041061" w:rsidRDefault="00041061">
      <w:pPr>
        <w:autoSpaceDE w:val="0"/>
        <w:autoSpaceDN w:val="0"/>
        <w:adjustRightInd w:val="0"/>
        <w:ind w:firstLine="422" w:firstLineChars="200"/>
        <w:jc w:val="left"/>
        <w:rPr>
          <w:rFonts w:ascii="黑体" w:hAnsi="黑体" w:hint="eastAsia"/>
          <w:b/>
          <w:szCs w:val="21"/>
        </w:rPr>
      </w:pPr>
    </w:p>
    <w:p w14:paraId="00E352E1" w14:textId="77777777" w:rsidP="00513670" w:rsidR="00513670" w:rsidRDefault="00513670">
      <w:pPr>
        <w:autoSpaceDE w:val="0"/>
        <w:autoSpaceDN w:val="0"/>
        <w:adjustRightInd w:val="0"/>
        <w:ind w:firstLine="422" w:firstLineChars="200"/>
        <w:jc w:val="left"/>
        <w:rPr>
          <w:rFonts w:ascii="黑体" w:hAnsi="黑体" w:hint="eastAsia"/>
          <w:b/>
          <w:szCs w:val="21"/>
        </w:rPr>
      </w:pPr>
      <w:r>
        <w:rPr>
          <w:rFonts w:ascii="黑体" w:hAnsi="黑体" w:hint="eastAsia"/>
          <w:b/>
          <w:szCs w:val="21"/>
        </w:rPr>
        <w:t>日期</w:t>
      </w:r>
      <w:r>
        <w:rPr>
          <w:rFonts w:ascii="黑体" w:hAnsi="黑体"/>
          <w:b/>
          <w:szCs w:val="21"/>
        </w:rPr>
        <w:t>_______________</w:t>
      </w:r>
    </w:p>
    <w:p w14:paraId="2BEF2B8D" w14:textId="77777777" w:rsidP="00513670" w:rsidR="00513670" w:rsidRDefault="00513670">
      <w:pPr>
        <w:pageBreakBefore/>
        <w:rPr>
          <w:rFonts w:ascii="黑体" w:cs="黑体" w:hAnsi="黑体" w:hint="eastAsia"/>
          <w:b/>
          <w:bCs/>
        </w:rPr>
      </w:pPr>
      <w:r>
        <w:rPr>
          <w:rFonts w:ascii="黑体" w:cs="黑体" w:hAnsi="黑体" w:hint="eastAsia"/>
          <w:b/>
          <w:bCs/>
        </w:rPr>
        <w:lastRenderedPageBreak/>
        <w:t/>
      </w:r>
    </w:p>
    <w:p w14:paraId="1600FD15" w14:textId="77777777" w:rsidP="00513670" w:rsidR="00513670" w:rsidRDefault="00513670">
      <w:pPr>
        <w:widowControl/>
        <w:jc w:val="left"/>
        <w:rPr>
          <w:rFonts w:ascii="黑体" w:hAnsi="黑体" w:hint="eastAsia"/>
          <w:b/>
          <w:bCs/>
        </w:rPr>
      </w:pPr>
      <w:r>
        <w:rPr>
          <w:rFonts w:ascii="黑体" w:hAnsi="黑体" w:hint="eastAsia"/>
          <w:b/>
          <w:bCs/>
        </w:rPr>
        <w:t/>
      </w:r>
    </w:p>
    <w:p w14:paraId="47FE2D10" w14:textId="77777777" w:rsidR="00041061" w:rsidRDefault="00041061">
      <w:pPr>
        <w:widowControl/>
        <w:jc w:val="left"/>
        <w:rPr>
          <w:rFonts w:ascii="黑体" w:hAnsi="黑体" w:hint="eastAsia"/>
          <w:szCs w:val="21"/>
        </w:rPr>
      </w:pPr>
    </w:p>
    <w:sectPr w:rsidR="00041061">
      <w:pgSz w:h="16838" w:w="11906"/>
      <w:pgMar w:bottom="1440" w:footer="992" w:gutter="0" w:header="851" w:left="1800" w:right="1800" w:top="144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F1977" w14:textId="77777777" w:rsidR="00083351" w:rsidRDefault="00083351" w:rsidP="00C548A4">
      <w:pPr>
        <w:rPr>
          <w:rFonts w:hint="eastAsia"/>
        </w:rPr>
      </w:pPr>
      <w:r>
        <w:separator/>
      </w:r>
    </w:p>
  </w:endnote>
  <w:endnote w:type="continuationSeparator" w:id="0">
    <w:p w14:paraId="5B8DC3B4" w14:textId="77777777" w:rsidR="00083351" w:rsidRDefault="00083351" w:rsidP="00C548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ËÎÌå">
    <w:altName w:val="Times New Roman"/>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27BC" w14:textId="77777777" w:rsidR="00083351" w:rsidRDefault="00083351" w:rsidP="00C548A4">
      <w:pPr>
        <w:rPr>
          <w:rFonts w:hint="eastAsia"/>
        </w:rPr>
      </w:pPr>
      <w:r>
        <w:separator/>
      </w:r>
    </w:p>
  </w:footnote>
  <w:footnote w:type="continuationSeparator" w:id="0">
    <w:p w14:paraId="2D46A77A" w14:textId="77777777" w:rsidR="00083351" w:rsidRDefault="00083351" w:rsidP="00C548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CB8104"/>
    <w:multiLevelType w:val="singleLevel"/>
    <w:tmpl w:val="81CB8104"/>
    <w:lvl w:ilvl="0">
      <w:start w:val="1"/>
      <w:numFmt w:val="decimal"/>
      <w:suff w:val="nothing"/>
      <w:lvlText w:val="（%1）"/>
      <w:lvlJc w:val="left"/>
    </w:lvl>
  </w:abstractNum>
  <w:abstractNum w:abstractNumId="1" w15:restartNumberingAfterBreak="0">
    <w:nsid w:val="99548618"/>
    <w:multiLevelType w:val="singleLevel"/>
    <w:tmpl w:val="99548618"/>
    <w:lvl w:ilvl="0">
      <w:start w:val="1"/>
      <w:numFmt w:val="decimal"/>
      <w:suff w:val="nothing"/>
      <w:lvlText w:val="（%1）"/>
      <w:lvlJc w:val="left"/>
    </w:lvl>
  </w:abstractNum>
  <w:abstractNum w:abstractNumId="2" w15:restartNumberingAfterBreak="0">
    <w:nsid w:val="A8AD748C"/>
    <w:multiLevelType w:val="singleLevel"/>
    <w:tmpl w:val="A8AD748C"/>
    <w:lvl w:ilvl="0">
      <w:start w:val="1"/>
      <w:numFmt w:val="decimal"/>
      <w:suff w:val="nothing"/>
      <w:lvlText w:val="（%1）"/>
      <w:lvlJc w:val="left"/>
    </w:lvl>
  </w:abstractNum>
  <w:abstractNum w:abstractNumId="3" w15:restartNumberingAfterBreak="0">
    <w:nsid w:val="B681CF22"/>
    <w:multiLevelType w:val="singleLevel"/>
    <w:tmpl w:val="B681CF22"/>
    <w:lvl w:ilvl="0">
      <w:start w:val="1"/>
      <w:numFmt w:val="decimal"/>
      <w:suff w:val="nothing"/>
      <w:lvlText w:val="（%1）"/>
      <w:lvlJc w:val="left"/>
    </w:lvl>
  </w:abstractNum>
  <w:abstractNum w:abstractNumId="4" w15:restartNumberingAfterBreak="0">
    <w:nsid w:val="CDF20D10"/>
    <w:multiLevelType w:val="singleLevel"/>
    <w:tmpl w:val="CDF20D10"/>
    <w:lvl w:ilvl="0">
      <w:start w:val="1"/>
      <w:numFmt w:val="decimal"/>
      <w:suff w:val="nothing"/>
      <w:lvlText w:val="（%1）"/>
      <w:lvlJc w:val="left"/>
    </w:lvl>
  </w:abstractNum>
  <w:abstractNum w:abstractNumId="5" w15:restartNumberingAfterBreak="0">
    <w:nsid w:val="CF092B84"/>
    <w:multiLevelType w:val="multilevel"/>
    <w:tmpl w:val="CF092B84"/>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EC3771CB"/>
    <w:multiLevelType w:val="singleLevel"/>
    <w:tmpl w:val="EC3771CB"/>
    <w:lvl w:ilvl="0">
      <w:start w:val="2"/>
      <w:numFmt w:val="upperLetter"/>
      <w:lvlText w:val="%1."/>
      <w:lvlJc w:val="left"/>
      <w:pPr>
        <w:tabs>
          <w:tab w:val="left" w:pos="312"/>
        </w:tabs>
      </w:pPr>
    </w:lvl>
  </w:abstractNum>
  <w:abstractNum w:abstractNumId="7" w15:restartNumberingAfterBreak="0">
    <w:nsid w:val="F5AB896D"/>
    <w:multiLevelType w:val="singleLevel"/>
    <w:tmpl w:val="F5AB896D"/>
    <w:lvl w:ilvl="0">
      <w:start w:val="1"/>
      <w:numFmt w:val="upperLetter"/>
      <w:lvlText w:val="%1."/>
      <w:lvlJc w:val="left"/>
      <w:pPr>
        <w:tabs>
          <w:tab w:val="left" w:pos="312"/>
        </w:tabs>
      </w:pPr>
    </w:lvl>
  </w:abstractNum>
  <w:abstractNum w:abstractNumId="8" w15:restartNumberingAfterBreak="0">
    <w:nsid w:val="0053208E"/>
    <w:multiLevelType w:val="multilevel"/>
    <w:tmpl w:val="0053208E"/>
    <w:lvl w:ilvl="0">
      <w:start w:val="1"/>
      <w:numFmt w:val="decimal"/>
      <w:suff w:val="nothing"/>
      <w:lvlText w:val="%1、"/>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1C7693ED"/>
    <w:multiLevelType w:val="singleLevel"/>
    <w:tmpl w:val="1C7693ED"/>
    <w:lvl w:ilvl="0">
      <w:start w:val="1"/>
      <w:numFmt w:val="decimal"/>
      <w:suff w:val="nothing"/>
      <w:lvlText w:val="（%1）"/>
      <w:lvlJc w:val="left"/>
    </w:lvl>
  </w:abstractNum>
  <w:abstractNum w:abstractNumId="10" w15:restartNumberingAfterBreak="0">
    <w:nsid w:val="350363DF"/>
    <w:multiLevelType w:val="multilevel"/>
    <w:tmpl w:val="350363DF"/>
    <w:lvl w:ilvl="0">
      <w:start w:val="1"/>
      <w:numFmt w:val="decimal"/>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5292FC7"/>
    <w:multiLevelType w:val="singleLevel"/>
    <w:tmpl w:val="45292FC7"/>
    <w:lvl w:ilvl="0">
      <w:start w:val="1"/>
      <w:numFmt w:val="decimal"/>
      <w:suff w:val="nothing"/>
      <w:lvlText w:val="（%1）"/>
      <w:lvlJc w:val="left"/>
    </w:lvl>
  </w:abstractNum>
  <w:num w:numId="1" w16cid:durableId="812064166">
    <w:abstractNumId w:val="0"/>
  </w:num>
  <w:num w:numId="2" w16cid:durableId="598563301">
    <w:abstractNumId w:val="2"/>
  </w:num>
  <w:num w:numId="3" w16cid:durableId="825977908">
    <w:abstractNumId w:val="10"/>
  </w:num>
  <w:num w:numId="4" w16cid:durableId="1338847933">
    <w:abstractNumId w:val="3"/>
  </w:num>
  <w:num w:numId="5" w16cid:durableId="1429816995">
    <w:abstractNumId w:val="6"/>
  </w:num>
  <w:num w:numId="6" w16cid:durableId="1112359014">
    <w:abstractNumId w:val="7"/>
  </w:num>
  <w:num w:numId="7" w16cid:durableId="1357384544">
    <w:abstractNumId w:val="4"/>
  </w:num>
  <w:num w:numId="8" w16cid:durableId="775711719">
    <w:abstractNumId w:val="11"/>
  </w:num>
  <w:num w:numId="9" w16cid:durableId="1483347247">
    <w:abstractNumId w:val="9"/>
  </w:num>
  <w:num w:numId="10" w16cid:durableId="866792323">
    <w:abstractNumId w:val="1"/>
  </w:num>
  <w:num w:numId="11" w16cid:durableId="1962148553">
    <w:abstractNumId w:val="8"/>
  </w:num>
  <w:num w:numId="12" w16cid:durableId="1030646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trackRevisions/>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5AD"/>
    <w:rsid w:val="00036AFC"/>
    <w:rsid w:val="00041061"/>
    <w:rsid w:val="000452F9"/>
    <w:rsid w:val="00063373"/>
    <w:rsid w:val="00074A58"/>
    <w:rsid w:val="000776B4"/>
    <w:rsid w:val="00083351"/>
    <w:rsid w:val="00083902"/>
    <w:rsid w:val="0009688C"/>
    <w:rsid w:val="000C43F0"/>
    <w:rsid w:val="000E66E2"/>
    <w:rsid w:val="000F554C"/>
    <w:rsid w:val="001105BB"/>
    <w:rsid w:val="00131A16"/>
    <w:rsid w:val="00146B7E"/>
    <w:rsid w:val="001E04DC"/>
    <w:rsid w:val="001E48AD"/>
    <w:rsid w:val="001F7D09"/>
    <w:rsid w:val="002A471B"/>
    <w:rsid w:val="002A5C19"/>
    <w:rsid w:val="002B38E2"/>
    <w:rsid w:val="002B4F06"/>
    <w:rsid w:val="002D5A61"/>
    <w:rsid w:val="002E1B69"/>
    <w:rsid w:val="002F1438"/>
    <w:rsid w:val="00334318"/>
    <w:rsid w:val="00345B3F"/>
    <w:rsid w:val="003466BA"/>
    <w:rsid w:val="003A234B"/>
    <w:rsid w:val="003D4AF9"/>
    <w:rsid w:val="004406FB"/>
    <w:rsid w:val="00450668"/>
    <w:rsid w:val="00487F37"/>
    <w:rsid w:val="004C0DF0"/>
    <w:rsid w:val="00513670"/>
    <w:rsid w:val="00563B9B"/>
    <w:rsid w:val="005A4B80"/>
    <w:rsid w:val="006531CE"/>
    <w:rsid w:val="006767AE"/>
    <w:rsid w:val="006B0E81"/>
    <w:rsid w:val="006D0D3E"/>
    <w:rsid w:val="00783003"/>
    <w:rsid w:val="008063A0"/>
    <w:rsid w:val="00810065"/>
    <w:rsid w:val="00837DC3"/>
    <w:rsid w:val="00861EBE"/>
    <w:rsid w:val="00874C82"/>
    <w:rsid w:val="008A55AD"/>
    <w:rsid w:val="008F191A"/>
    <w:rsid w:val="00935A0A"/>
    <w:rsid w:val="00936A0A"/>
    <w:rsid w:val="00965B73"/>
    <w:rsid w:val="009710CA"/>
    <w:rsid w:val="009804BB"/>
    <w:rsid w:val="009A18B9"/>
    <w:rsid w:val="009F0F8F"/>
    <w:rsid w:val="00A25310"/>
    <w:rsid w:val="00A51EF2"/>
    <w:rsid w:val="00A853CB"/>
    <w:rsid w:val="00AA22A4"/>
    <w:rsid w:val="00AA33D1"/>
    <w:rsid w:val="00B612FD"/>
    <w:rsid w:val="00B81493"/>
    <w:rsid w:val="00BE3C98"/>
    <w:rsid w:val="00C01A62"/>
    <w:rsid w:val="00C1689E"/>
    <w:rsid w:val="00C2442F"/>
    <w:rsid w:val="00C33F7A"/>
    <w:rsid w:val="00C3624C"/>
    <w:rsid w:val="00C51598"/>
    <w:rsid w:val="00C548A4"/>
    <w:rsid w:val="00C64DF8"/>
    <w:rsid w:val="00CA2469"/>
    <w:rsid w:val="00D2788E"/>
    <w:rsid w:val="00D87445"/>
    <w:rsid w:val="00DA0082"/>
    <w:rsid w:val="00DD5A41"/>
    <w:rsid w:val="00DE0271"/>
    <w:rsid w:val="00DE411F"/>
    <w:rsid w:val="00DF6BEC"/>
    <w:rsid w:val="00E32426"/>
    <w:rsid w:val="00E464F9"/>
    <w:rsid w:val="00EC4D40"/>
    <w:rsid w:val="00EE438D"/>
    <w:rsid w:val="00F64368"/>
    <w:rsid w:val="00F754A5"/>
    <w:rsid w:val="013171D3"/>
    <w:rsid w:val="02290F60"/>
    <w:rsid w:val="085D7896"/>
    <w:rsid w:val="088219ED"/>
    <w:rsid w:val="0EC266A4"/>
    <w:rsid w:val="0F7B7754"/>
    <w:rsid w:val="11EB5F12"/>
    <w:rsid w:val="12A47B4F"/>
    <w:rsid w:val="168816ED"/>
    <w:rsid w:val="23CD2F64"/>
    <w:rsid w:val="243E6375"/>
    <w:rsid w:val="27575806"/>
    <w:rsid w:val="36B2235B"/>
    <w:rsid w:val="58596B7D"/>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387EFF"/>
  <w15:docId w15:val="{C5AFEA81-85F5-4F7A-8297-26E239D5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黑体" w:hAnsiTheme="minorHAnsi" w:cstheme="minorBidi"/>
      <w:sz w:val="21"/>
      <w:szCs w:val="22"/>
    </w:r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F5496"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44546A" w:themeColor="text2"/>
      <w:sz w:val="18"/>
      <w:szCs w:val="18"/>
    </w:rPr>
  </w:style>
  <w:style w:type="paragraph" w:styleId="a4">
    <w:name w:val="annotation text"/>
    <w:basedOn w:val="a"/>
    <w:link w:val="a5"/>
    <w:uiPriority w:val="99"/>
    <w:semiHidden/>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Normal (Web)"/>
    <w:basedOn w:val="a"/>
    <w:uiPriority w:val="99"/>
    <w:unhideWhenUsed/>
    <w:qFormat/>
    <w:pPr>
      <w:spacing w:beforeAutospacing="1" w:afterAutospacing="1"/>
      <w:jc w:val="left"/>
    </w:pPr>
    <w:rPr>
      <w:rFonts w:cs="Times New Roman"/>
      <w:sz w:val="24"/>
    </w:rPr>
  </w:style>
  <w:style w:type="paragraph" w:styleId="af4">
    <w:name w:val="Title"/>
    <w:basedOn w:val="a"/>
    <w:next w:val="a"/>
    <w:link w:val="af5"/>
    <w:uiPriority w:val="10"/>
    <w:qFormat/>
    <w:pPr>
      <w:spacing w:after="80"/>
      <w:contextualSpacing/>
    </w:pPr>
    <w:rPr>
      <w:rFonts w:ascii="Arial" w:eastAsia="Arial" w:hAnsi="Arial" w:cs="Arial"/>
      <w:spacing w:val="-10"/>
      <w:sz w:val="56"/>
      <w:szCs w:val="56"/>
    </w:rPr>
  </w:style>
  <w:style w:type="paragraph" w:styleId="af6">
    <w:name w:val="annotation subject"/>
    <w:basedOn w:val="a4"/>
    <w:next w:val="a4"/>
    <w:link w:val="af7"/>
    <w:uiPriority w:val="99"/>
    <w:semiHidden/>
    <w:unhideWhenUsed/>
    <w:qFormat/>
    <w:rPr>
      <w:b/>
      <w:bCs/>
    </w:rPr>
  </w:style>
  <w:style w:type="table" w:styleId="af8">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rPr>
      <w:b/>
      <w:bCs/>
    </w:rPr>
  </w:style>
  <w:style w:type="character" w:styleId="afa">
    <w:name w:val="endnote reference"/>
    <w:basedOn w:val="a0"/>
    <w:uiPriority w:val="99"/>
    <w:semiHidden/>
    <w:unhideWhenUsed/>
    <w:qFormat/>
    <w:rPr>
      <w:vertAlign w:val="superscript"/>
    </w:rPr>
  </w:style>
  <w:style w:type="character" w:styleId="afb">
    <w:name w:val="FollowedHyperlink"/>
    <w:basedOn w:val="a0"/>
    <w:uiPriority w:val="99"/>
    <w:semiHidden/>
    <w:unhideWhenUsed/>
    <w:qFormat/>
    <w:rPr>
      <w:color w:val="954F72" w:themeColor="followedHyperlink"/>
      <w:u w:val="single"/>
    </w:rPr>
  </w:style>
  <w:style w:type="character" w:styleId="afc">
    <w:name w:val="Emphasis"/>
    <w:basedOn w:val="a0"/>
    <w:uiPriority w:val="20"/>
    <w:qFormat/>
    <w:rPr>
      <w:i/>
      <w:iCs/>
    </w:rPr>
  </w:style>
  <w:style w:type="character" w:styleId="afd">
    <w:name w:val="Hyperlink"/>
    <w:basedOn w:val="a0"/>
    <w:uiPriority w:val="99"/>
    <w:unhideWhenUsed/>
    <w:qFormat/>
    <w:rPr>
      <w:color w:val="0563C1" w:themeColor="hyperlink"/>
      <w:u w:val="single"/>
    </w:rPr>
  </w:style>
  <w:style w:type="character" w:styleId="afe">
    <w:name w:val="annotation reference"/>
    <w:basedOn w:val="a0"/>
    <w:uiPriority w:val="99"/>
    <w:semiHidden/>
    <w:unhideWhenUsed/>
    <w:qFormat/>
    <w:rPr>
      <w:sz w:val="21"/>
      <w:szCs w:val="21"/>
    </w:rPr>
  </w:style>
  <w:style w:type="character" w:styleId="aff">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a0"/>
    <w:uiPriority w:val="9"/>
    <w:qFormat/>
    <w:rPr>
      <w:rFonts w:ascii="Arial" w:eastAsia="Arial" w:hAnsi="Arial" w:cs="Arial"/>
      <w:color w:val="2F5496" w:themeColor="accent1" w:themeShade="BF"/>
      <w:sz w:val="40"/>
      <w:szCs w:val="40"/>
    </w:rPr>
  </w:style>
  <w:style w:type="character" w:customStyle="1" w:styleId="20">
    <w:name w:val="标题 2 字符"/>
    <w:basedOn w:val="a0"/>
    <w:link w:val="2"/>
    <w:uiPriority w:val="9"/>
    <w:qFormat/>
    <w:rPr>
      <w:rFonts w:ascii="Arial" w:eastAsia="Arial" w:hAnsi="Arial" w:cs="Arial"/>
      <w:color w:val="2F5496" w:themeColor="accent1" w:themeShade="BF"/>
      <w:sz w:val="32"/>
      <w:szCs w:val="32"/>
    </w:rPr>
  </w:style>
  <w:style w:type="character" w:customStyle="1" w:styleId="30">
    <w:name w:val="标题 3 字符"/>
    <w:basedOn w:val="a0"/>
    <w:link w:val="3"/>
    <w:uiPriority w:val="9"/>
    <w:qFormat/>
    <w:rPr>
      <w:rFonts w:ascii="Arial" w:eastAsia="Arial" w:hAnsi="Arial" w:cs="Arial"/>
      <w:color w:val="2F5496" w:themeColor="accent1" w:themeShade="BF"/>
      <w:sz w:val="28"/>
      <w:szCs w:val="28"/>
    </w:rPr>
  </w:style>
  <w:style w:type="character" w:customStyle="1" w:styleId="40">
    <w:name w:val="标题 4 字符"/>
    <w:basedOn w:val="a0"/>
    <w:link w:val="4"/>
    <w:uiPriority w:val="9"/>
    <w:qFormat/>
    <w:rPr>
      <w:rFonts w:ascii="Arial" w:eastAsia="Arial" w:hAnsi="Arial" w:cs="Arial"/>
      <w:i/>
      <w:iCs/>
      <w:color w:val="2F5496" w:themeColor="accent1" w:themeShade="BF"/>
    </w:rPr>
  </w:style>
  <w:style w:type="character" w:customStyle="1" w:styleId="50">
    <w:name w:val="标题 5 字符"/>
    <w:basedOn w:val="a0"/>
    <w:link w:val="5"/>
    <w:uiPriority w:val="9"/>
    <w:qFormat/>
    <w:rPr>
      <w:rFonts w:ascii="Arial" w:eastAsia="Arial" w:hAnsi="Arial" w:cs="Arial"/>
      <w:color w:val="2F5496"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5">
    <w:name w:val="标题 字符"/>
    <w:basedOn w:val="a0"/>
    <w:link w:val="af4"/>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0">
    <w:name w:val="Quote"/>
    <w:basedOn w:val="a"/>
    <w:next w:val="a"/>
    <w:link w:val="aff1"/>
    <w:uiPriority w:val="29"/>
    <w:qFormat/>
    <w:pPr>
      <w:spacing w:before="160"/>
      <w:jc w:val="center"/>
    </w:pPr>
    <w:rPr>
      <w:i/>
      <w:iCs/>
      <w:color w:val="404040" w:themeColor="text1" w:themeTint="BF"/>
    </w:rPr>
  </w:style>
  <w:style w:type="character" w:customStyle="1" w:styleId="aff1">
    <w:name w:val="引用 字符"/>
    <w:basedOn w:val="a0"/>
    <w:link w:val="aff0"/>
    <w:uiPriority w:val="29"/>
    <w:qFormat/>
    <w:rPr>
      <w:i/>
      <w:iCs/>
      <w:color w:val="404040" w:themeColor="text1" w:themeTint="BF"/>
    </w:rPr>
  </w:style>
  <w:style w:type="character" w:customStyle="1" w:styleId="12">
    <w:name w:val="明显强调1"/>
    <w:basedOn w:val="a0"/>
    <w:uiPriority w:val="21"/>
    <w:qFormat/>
    <w:rPr>
      <w:i/>
      <w:iCs/>
      <w:color w:val="2F5496" w:themeColor="accent1" w:themeShade="BF"/>
    </w:rPr>
  </w:style>
  <w:style w:type="paragraph" w:styleId="aff2">
    <w:name w:val="Intense Quote"/>
    <w:basedOn w:val="a"/>
    <w:next w:val="a"/>
    <w:link w:val="aff3"/>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3">
    <w:name w:val="明显引用 字符"/>
    <w:basedOn w:val="a0"/>
    <w:link w:val="aff2"/>
    <w:uiPriority w:val="30"/>
    <w:qFormat/>
    <w:rPr>
      <w:i/>
      <w:iCs/>
      <w:color w:val="2F5496" w:themeColor="accent1" w:themeShade="BF"/>
    </w:rPr>
  </w:style>
  <w:style w:type="character" w:customStyle="1" w:styleId="13">
    <w:name w:val="明显参考1"/>
    <w:basedOn w:val="a0"/>
    <w:uiPriority w:val="32"/>
    <w:qFormat/>
    <w:rPr>
      <w:b/>
      <w:bCs/>
      <w:smallCaps/>
      <w:color w:val="2F5496" w:themeColor="accent1" w:themeShade="BF"/>
      <w:spacing w:val="5"/>
    </w:rPr>
  </w:style>
  <w:style w:type="paragraph" w:styleId="aff4">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rPr>
      <w:rFonts w:ascii="Times New Roman" w:eastAsia="宋体" w:hAnsi="Times New Roman"/>
    </w:rPr>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10">
    <w:name w:val="标题 1 字符"/>
    <w:basedOn w:val="a0"/>
    <w:link w:val="1"/>
    <w:uiPriority w:val="9"/>
    <w:qFormat/>
    <w:rPr>
      <w:b/>
      <w:bCs/>
      <w:sz w:val="44"/>
      <w:szCs w:val="44"/>
    </w:rPr>
  </w:style>
  <w:style w:type="paragraph" w:styleId="aff5">
    <w:name w:val="List Paragraph"/>
    <w:basedOn w:val="a"/>
    <w:uiPriority w:val="34"/>
    <w:qFormat/>
    <w:pPr>
      <w:ind w:firstLine="420"/>
    </w:pPr>
  </w:style>
  <w:style w:type="paragraph" w:customStyle="1" w:styleId="aff6">
    <w:name w:val="说明书正文粗"/>
    <w:basedOn w:val="aff7"/>
    <w:next w:val="a"/>
    <w:link w:val="aff8"/>
    <w:qFormat/>
    <w:rPr>
      <w:b/>
    </w:rPr>
  </w:style>
  <w:style w:type="paragraph" w:customStyle="1" w:styleId="aff7">
    <w:name w:val="说明书正文细"/>
    <w:basedOn w:val="a"/>
    <w:link w:val="aff9"/>
    <w:qFormat/>
    <w:rPr>
      <w:rFonts w:ascii="黑体" w:hAnsi="黑体" w:cs="宋体"/>
      <w:szCs w:val="21"/>
    </w:rPr>
  </w:style>
  <w:style w:type="character" w:customStyle="1" w:styleId="aff8">
    <w:name w:val="说明书正文粗 字符"/>
    <w:basedOn w:val="a0"/>
    <w:link w:val="aff6"/>
    <w:qFormat/>
    <w:rPr>
      <w:rFonts w:ascii="黑体" w:eastAsia="黑体" w:hAnsi="黑体" w:cs="宋体"/>
      <w:b/>
      <w:szCs w:val="21"/>
    </w:rPr>
  </w:style>
  <w:style w:type="paragraph" w:customStyle="1" w:styleId="affa">
    <w:name w:val="说明书标题"/>
    <w:basedOn w:val="a"/>
    <w:link w:val="affb"/>
    <w:qFormat/>
    <w:pPr>
      <w:ind w:firstLine="420"/>
      <w:jc w:val="center"/>
    </w:pPr>
    <w:rPr>
      <w:rFonts w:ascii="黑体" w:hAnsi="黑体" w:cs="宋体"/>
      <w:sz w:val="44"/>
      <w:szCs w:val="44"/>
    </w:rPr>
  </w:style>
  <w:style w:type="character" w:customStyle="1" w:styleId="aff9">
    <w:name w:val="说明书正文细 字符"/>
    <w:basedOn w:val="a0"/>
    <w:link w:val="aff7"/>
    <w:qFormat/>
    <w:rPr>
      <w:rFonts w:ascii="黑体" w:eastAsia="黑体" w:hAnsi="黑体" w:cs="宋体"/>
      <w:szCs w:val="21"/>
    </w:rPr>
  </w:style>
  <w:style w:type="character" w:customStyle="1" w:styleId="affb">
    <w:name w:val="说明书标题 字符"/>
    <w:basedOn w:val="a0"/>
    <w:link w:val="affa"/>
    <w:qFormat/>
    <w:rPr>
      <w:rFonts w:ascii="黑体" w:eastAsia="黑体" w:hAnsi="黑体" w:cs="宋体"/>
      <w:sz w:val="44"/>
      <w:szCs w:val="44"/>
    </w:rPr>
  </w:style>
  <w:style w:type="table" w:customStyle="1" w:styleId="affc">
    <w:name w:val="说明书表格"/>
    <w:basedOn w:val="a1"/>
    <w:uiPriority w:val="99"/>
    <w:qFormat/>
    <w:rPr>
      <w:rFonts w:eastAsia="黑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d">
    <w:name w:val="说明书表格字体"/>
    <w:basedOn w:val="a"/>
    <w:link w:val="affe"/>
    <w:qFormat/>
    <w:pPr>
      <w:jc w:val="left"/>
    </w:pPr>
    <w:rPr>
      <w:rFonts w:ascii="黑体" w:hAnsi="黑体" w:cs="黑体"/>
      <w:szCs w:val="21"/>
    </w:rPr>
  </w:style>
  <w:style w:type="paragraph" w:customStyle="1" w:styleId="afff">
    <w:name w:val="说明书正文"/>
    <w:basedOn w:val="a"/>
    <w:link w:val="afff0"/>
    <w:qFormat/>
    <w:pPr>
      <w:ind w:firstLine="420"/>
    </w:pPr>
    <w:rPr>
      <w:rFonts w:ascii="黑体" w:hAnsi="黑体" w:cs="黑体"/>
      <w:szCs w:val="21"/>
    </w:rPr>
  </w:style>
  <w:style w:type="character" w:customStyle="1" w:styleId="affe">
    <w:name w:val="说明书表格字体 字符"/>
    <w:basedOn w:val="a0"/>
    <w:link w:val="affd"/>
    <w:qFormat/>
    <w:rPr>
      <w:rFonts w:ascii="黑体" w:eastAsia="黑体" w:hAnsi="黑体" w:cs="黑体"/>
      <w:szCs w:val="21"/>
    </w:rPr>
  </w:style>
  <w:style w:type="character" w:customStyle="1" w:styleId="afff0">
    <w:name w:val="说明书正文 字符"/>
    <w:basedOn w:val="a0"/>
    <w:link w:val="afff"/>
    <w:qFormat/>
    <w:rPr>
      <w:rFonts w:ascii="黑体" w:eastAsia="黑体" w:hAnsi="黑体" w:cs="黑体"/>
      <w:szCs w:val="21"/>
    </w:rPr>
  </w:style>
  <w:style w:type="character" w:customStyle="1" w:styleId="a9">
    <w:name w:val="批注框文本 字符"/>
    <w:basedOn w:val="a0"/>
    <w:link w:val="a8"/>
    <w:uiPriority w:val="99"/>
    <w:semiHidden/>
    <w:qFormat/>
    <w:rPr>
      <w:rFonts w:eastAsia="黑体"/>
      <w:sz w:val="18"/>
      <w:szCs w:val="18"/>
    </w:rPr>
  </w:style>
  <w:style w:type="paragraph" w:customStyle="1" w:styleId="17">
    <w:name w:val="修订1"/>
    <w:hidden/>
    <w:uiPriority w:val="99"/>
    <w:semiHidden/>
    <w:qFormat/>
    <w:rPr>
      <w:rFonts w:asciiTheme="minorHAnsi" w:eastAsia="黑体" w:hAnsiTheme="minorHAnsi" w:cstheme="minorBidi"/>
      <w:sz w:val="21"/>
      <w:szCs w:val="22"/>
    </w:rPr>
  </w:style>
  <w:style w:type="character" w:customStyle="1" w:styleId="a5">
    <w:name w:val="批注文字 字符"/>
    <w:basedOn w:val="a0"/>
    <w:link w:val="a4"/>
    <w:uiPriority w:val="99"/>
    <w:semiHidden/>
    <w:qFormat/>
    <w:rPr>
      <w:rFonts w:asciiTheme="minorHAnsi" w:eastAsia="黑体" w:hAnsiTheme="minorHAnsi" w:cstheme="minorBidi"/>
      <w:sz w:val="21"/>
      <w:szCs w:val="22"/>
    </w:rPr>
  </w:style>
  <w:style w:type="character" w:customStyle="1" w:styleId="af7">
    <w:name w:val="批注主题 字符"/>
    <w:basedOn w:val="a5"/>
    <w:link w:val="af6"/>
    <w:uiPriority w:val="99"/>
    <w:semiHidden/>
    <w:qFormat/>
    <w:rPr>
      <w:rFonts w:asciiTheme="minorHAnsi" w:eastAsia="黑体" w:hAnsiTheme="minorHAnsi" w:cstheme="minorBidi"/>
      <w:b/>
      <w:bCs/>
      <w:sz w:val="21"/>
      <w:szCs w:val="22"/>
    </w:rPr>
  </w:style>
  <w:style w:type="paragraph" w:styleId="afff1">
    <w:name w:val="Revision"/>
    <w:hidden/>
    <w:uiPriority w:val="99"/>
    <w:semiHidden/>
    <w:rsid w:val="00C548A4"/>
    <w:rPr>
      <w:rFonts w:asciiTheme="minorHAnsi" w:eastAsia="黑体" w:hAnsiTheme="minorHAnsi"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13</Pages>
  <Words>7573</Words>
  <Characters>8634</Characters>
  <Application>Microsoft Office Word</Application>
  <DocSecurity>0</DocSecurity>
  <Lines>345</Lines>
  <Paragraphs>337</Paragraphs>
  <ScaleCrop>false</ScaleCrop>
  <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2023-01-17T17:09:00Z</dcterms:created>
  <dc:creator>Lenovo</dc:creator>
  <cp:lastModifiedBy>卓鑫 楼</cp:lastModifiedBy>
  <dcterms:modified xsi:type="dcterms:W3CDTF">2026-08-21T02:15:00Z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52AF844FC3C79DEF2DBAAA697F3DF948_43</vt:lpwstr>
  </property>
  <property fmtid="{D5CDD505-2E9C-101B-9397-08002B2CF9AE}" pid="4" name="KSOTemplateDocerSaveRecord">
    <vt:lpwstr>eyJoZGlkIjoiOTBiN2EyNmE4OWNhOTEwMTdlNTFlMWMxNWJjNjY0ZWUiLCJ1c2VySWQiOiI4MjY4NzA1MjkifQ==</vt:lpwstr>
  </property>
</Properties>
</file>