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highlight w:val="none"/>
        </w:rPr>
      </w:pPr>
      <w:bookmarkStart w:id="0" w:name="_GoBack"/>
      <w:bookmarkEnd w:id="0"/>
      <w:r>
        <w:rPr>
          <w:rFonts w:hint="eastAsia" w:ascii="黑体" w:eastAsia="黑体"/>
          <w:sz w:val="30"/>
          <w:szCs w:val="30"/>
          <w:highlight w:val="none"/>
        </w:rPr>
        <w:t>温州银行“</w:t>
      </w:r>
      <w:r>
        <w:rPr>
          <w:rFonts w:hint="eastAsia" w:ascii="黑体" w:eastAsia="黑体"/>
          <w:sz w:val="30"/>
          <w:szCs w:val="30"/>
          <w:highlight w:val="none"/>
          <w:lang w:eastAsia="zh-CN"/>
        </w:rPr>
        <w:t>温银理财</w:t>
      </w:r>
      <w:r>
        <w:rPr>
          <w:rFonts w:hint="eastAsia" w:ascii="黑体" w:eastAsia="黑体"/>
          <w:sz w:val="30"/>
          <w:szCs w:val="30"/>
          <w:highlight w:val="none"/>
        </w:rPr>
        <w:t>-普惠季享”</w:t>
      </w:r>
      <w:r>
        <w:rPr>
          <w:rFonts w:ascii="黑体" w:eastAsia="黑体"/>
          <w:color w:val="000000"/>
          <w:sz w:val="30"/>
          <w:szCs w:val="30"/>
          <w:highlight w:val="none"/>
          <w:u w:val="single"/>
        </w:rPr>
        <w:t>26031</w:t>
      </w:r>
      <w:r>
        <w:rPr>
          <w:rFonts w:hint="eastAsia" w:ascii="黑体" w:eastAsia="黑体"/>
          <w:sz w:val="30"/>
          <w:szCs w:val="30"/>
          <w:highlight w:val="none"/>
        </w:rPr>
        <w:t>号（稳健低波款）</w:t>
      </w:r>
    </w:p>
    <w:p>
      <w:pPr>
        <w:spacing w:line="372" w:lineRule="auto"/>
        <w:jc w:val="center"/>
        <w:rPr>
          <w:rFonts w:ascii="宋体" w:hAnsi="宋体"/>
          <w:sz w:val="30"/>
          <w:szCs w:val="30"/>
          <w:highlight w:val="none"/>
        </w:rPr>
      </w:pPr>
      <w:r>
        <w:rPr>
          <w:rFonts w:hint="eastAsia" w:ascii="黑体" w:eastAsia="黑体"/>
          <w:sz w:val="30"/>
          <w:szCs w:val="30"/>
          <w:highlight w:val="none"/>
        </w:rPr>
        <w:t>银行理财计划风险揭示书</w:t>
      </w:r>
    </w:p>
    <w:p>
      <w:pPr>
        <w:adjustRightInd w:val="0"/>
        <w:snapToGrid w:val="0"/>
        <w:spacing w:before="240" w:line="36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6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，请在认购该理财产品前特别注意以下事项：</w:t>
      </w:r>
    </w:p>
    <w:p>
      <w:pPr>
        <w:adjustRightInd w:val="0"/>
        <w:snapToGrid w:val="0"/>
        <w:spacing w:line="360"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您将认购的温州银行“</w:t>
      </w:r>
      <w:r>
        <w:rPr>
          <w:rFonts w:hint="eastAsia"/>
          <w:szCs w:val="21"/>
          <w:highlight w:val="none"/>
          <w:lang w:eastAsia="zh-CN"/>
        </w:rPr>
        <w:t>温银理财</w:t>
      </w:r>
      <w:r>
        <w:rPr>
          <w:rFonts w:hint="eastAsia" w:ascii="宋体" w:hAnsi="宋体"/>
          <w:szCs w:val="21"/>
          <w:highlight w:val="none"/>
        </w:rPr>
        <w:t>-</w:t>
      </w:r>
      <w:r>
        <w:rPr>
          <w:rFonts w:hint="eastAsia"/>
          <w:szCs w:val="21"/>
          <w:highlight w:val="none"/>
        </w:rPr>
        <w:t>普惠季享”</w:t>
      </w:r>
      <w:r>
        <w:rPr>
          <w:color w:val="000000"/>
          <w:szCs w:val="21"/>
          <w:highlight w:val="none"/>
          <w:u w:val="single"/>
        </w:rPr>
        <w:t>26031</w:t>
      </w:r>
      <w:r>
        <w:rPr>
          <w:rFonts w:hint="eastAsia"/>
          <w:szCs w:val="21"/>
          <w:highlight w:val="none"/>
        </w:rPr>
        <w:t>号（稳健低波款）银行理财计划，投资类型属于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封闭式净值型</w:t>
      </w:r>
      <w:r>
        <w:rPr>
          <w:rFonts w:hint="eastAsia"/>
          <w:szCs w:val="21"/>
          <w:highlight w:val="none"/>
        </w:rPr>
        <w:t>，理财期限为</w:t>
      </w:r>
      <w:r>
        <w:rPr>
          <w:rFonts w:hint="eastAsia"/>
          <w:color w:val="000000"/>
          <w:szCs w:val="21"/>
          <w:u w:val="single"/>
          <w:lang w:val="en-US" w:eastAsia="zh-CN"/>
        </w:rPr>
        <w:t>405</w:t>
      </w:r>
      <w:r>
        <w:rPr>
          <w:rFonts w:hint="eastAsia"/>
          <w:szCs w:val="21"/>
          <w:highlight w:val="none"/>
        </w:rPr>
        <w:t>天，本产品客户无提前赎回权。</w:t>
      </w:r>
      <w:r>
        <w:rPr>
          <w:rFonts w:hint="eastAsia"/>
          <w:b/>
          <w:szCs w:val="21"/>
          <w:highlight w:val="none"/>
        </w:rPr>
        <w:t>根据温</w:t>
      </w:r>
      <w:r>
        <w:rPr>
          <w:rFonts w:hint="eastAsia" w:ascii="宋体" w:hAnsi="宋体"/>
          <w:b/>
          <w:szCs w:val="21"/>
          <w:highlight w:val="none"/>
        </w:rPr>
        <w:t>州银行内部风险评级标准，该产品的风险等级为</w:t>
      </w:r>
      <w:r>
        <w:rPr>
          <w:rFonts w:hint="eastAsia" w:ascii="宋体" w:hAnsi="宋体"/>
          <w:b/>
          <w:szCs w:val="21"/>
          <w:highlight w:val="none"/>
          <w:u w:val="single"/>
        </w:rPr>
        <w:t>PR</w:t>
      </w:r>
      <w:r>
        <w:rPr>
          <w:rFonts w:ascii="宋体" w:hAnsi="宋体"/>
          <w:b/>
          <w:szCs w:val="21"/>
          <w:highlight w:val="none"/>
          <w:u w:val="single"/>
        </w:rPr>
        <w:t>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（稳健型）：总体风险程度较低，银行不承诺本金保障，产品收益随投资表现变动。业绩比较基准/过往业绩不是预期收益率，不代表产品的未来表现和实际收益，不构成对产品收益的承诺。</w:t>
      </w:r>
      <w:r>
        <w:rPr>
          <w:rFonts w:hint="eastAsia" w:ascii="宋体" w:hAnsi="宋体"/>
          <w:szCs w:val="21"/>
          <w:highlight w:val="none"/>
        </w:rPr>
        <w:t>本理财产品适合客户：经温州银行评估为稳健型、平衡型、进取型、激进型的个人投资者。</w:t>
      </w:r>
      <w:r>
        <w:rPr>
          <w:rFonts w:hint="eastAsia" w:ascii="宋体" w:hAnsi="宋体"/>
          <w:b/>
          <w:bCs/>
          <w:szCs w:val="21"/>
          <w:highlight w:val="none"/>
        </w:rPr>
        <w:t>如影响您风险承受能力的因素发生变化，请在认购前及时重新完成风险承受能力评估。</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三、本风险揭示书及《温州银行“</w:t>
      </w:r>
      <w:r>
        <w:rPr>
          <w:rFonts w:hint="eastAsia" w:ascii="宋体" w:hAnsi="宋体"/>
          <w:szCs w:val="21"/>
          <w:highlight w:val="none"/>
          <w:lang w:eastAsia="zh-CN"/>
        </w:rPr>
        <w:t>温银理财</w:t>
      </w:r>
      <w:r>
        <w:rPr>
          <w:rFonts w:hint="eastAsia" w:ascii="宋体" w:hAnsi="宋体"/>
          <w:szCs w:val="21"/>
          <w:highlight w:val="none"/>
        </w:rPr>
        <w:t>-普惠季享”</w:t>
      </w:r>
      <w:r>
        <w:rPr>
          <w:rFonts w:ascii="宋体"/>
          <w:color w:val="000000"/>
          <w:szCs w:val="21"/>
          <w:highlight w:val="none"/>
          <w:u w:val="single"/>
        </w:rPr>
        <w:t>26031</w:t>
      </w:r>
      <w:r>
        <w:rPr>
          <w:rFonts w:hint="eastAsia" w:ascii="宋体" w:hAnsi="宋体"/>
          <w:szCs w:val="21"/>
          <w:highlight w:val="none"/>
        </w:rPr>
        <w:t>号</w:t>
      </w:r>
      <w:r>
        <w:rPr>
          <w:rFonts w:hint="eastAsia"/>
          <w:szCs w:val="21"/>
          <w:highlight w:val="none"/>
        </w:rPr>
        <w:t>（稳健低波款）</w:t>
      </w:r>
      <w:r>
        <w:rPr>
          <w:rFonts w:hint="eastAsia" w:ascii="宋体" w:hAnsi="宋体"/>
          <w:szCs w:val="21"/>
          <w:highlight w:val="none"/>
        </w:rPr>
        <w:t>银行理财计划产品说明书》所揭示事项仅为列举性质，未能详尽列明投资者参与理财计划所面临的全部风险和可能导致投资者资产损失的所有因素。在您签约购买本理财产品前，应当仔细阅读本风险揭示书、《温州银行理财计划合约》、《温州银行“</w:t>
      </w:r>
      <w:r>
        <w:rPr>
          <w:rFonts w:hint="eastAsia" w:ascii="宋体" w:hAnsi="宋体"/>
          <w:szCs w:val="21"/>
          <w:highlight w:val="none"/>
          <w:lang w:eastAsia="zh-CN"/>
        </w:rPr>
        <w:t>温银理财</w:t>
      </w:r>
      <w:r>
        <w:rPr>
          <w:rFonts w:hint="eastAsia" w:ascii="宋体" w:hAnsi="宋体"/>
          <w:szCs w:val="21"/>
          <w:highlight w:val="none"/>
        </w:rPr>
        <w:t>-普惠季享”</w:t>
      </w:r>
      <w:r>
        <w:rPr>
          <w:rFonts w:ascii="宋体"/>
          <w:color w:val="000000"/>
          <w:szCs w:val="21"/>
          <w:highlight w:val="none"/>
          <w:u w:val="single"/>
        </w:rPr>
        <w:t>26031</w:t>
      </w:r>
      <w:r>
        <w:rPr>
          <w:rFonts w:hint="eastAsia" w:ascii="宋体" w:hAnsi="宋体"/>
          <w:szCs w:val="21"/>
          <w:highlight w:val="none"/>
        </w:rPr>
        <w:t>号</w:t>
      </w:r>
      <w:r>
        <w:rPr>
          <w:rFonts w:hint="eastAsia"/>
          <w:szCs w:val="21"/>
          <w:highlight w:val="none"/>
        </w:rPr>
        <w:t>（稳健低波款）</w:t>
      </w:r>
      <w:r>
        <w:rPr>
          <w:rFonts w:hint="eastAsia" w:ascii="宋体" w:hAnsi="宋体"/>
          <w:szCs w:val="21"/>
          <w:highlight w:val="none"/>
        </w:rPr>
        <w:t>银行理财计划产品说明书》和《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60"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60"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6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6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60"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6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60" w:lineRule="auto"/>
        <w:ind w:firstLine="840" w:firstLineChars="400"/>
        <w:rPr>
          <w:rFonts w:ascii="宋体" w:hAnsi="宋体"/>
          <w:szCs w:val="21"/>
          <w:highlight w:val="none"/>
        </w:rPr>
      </w:pPr>
    </w:p>
    <w:p>
      <w:pPr>
        <w:adjustRightInd w:val="0"/>
        <w:snapToGrid w:val="0"/>
        <w:spacing w:line="360" w:lineRule="auto"/>
        <w:ind w:firstLine="840" w:firstLineChars="400"/>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pStyle w:val="17"/>
        <w:adjustRightInd w:val="0"/>
        <w:snapToGrid w:val="0"/>
        <w:spacing w:before="0" w:beforeAutospacing="0" w:after="0" w:afterAutospacing="0" w:line="360" w:lineRule="auto"/>
        <w:jc w:val="center"/>
        <w:rPr>
          <w:rFonts w:ascii="黑体" w:eastAsia="黑体"/>
          <w:bCs/>
          <w:sz w:val="30"/>
          <w:szCs w:val="30"/>
          <w:highlight w:val="none"/>
        </w:rPr>
      </w:pPr>
    </w:p>
    <w:p>
      <w:pPr>
        <w:adjustRightInd w:val="0"/>
        <w:snapToGrid w:val="0"/>
        <w:spacing w:before="0" w:beforeAutospacing="0" w:after="0" w:afterAutospacing="0" w:line="360" w:lineRule="auto"/>
        <w:jc w:val="center"/>
        <w:rPr>
          <w:rFonts w:hint="eastAsia" w:ascii="黑体" w:eastAsia="黑体"/>
          <w:bCs/>
          <w:sz w:val="30"/>
          <w:szCs w:val="30"/>
          <w:highlight w:val="none"/>
        </w:rPr>
      </w:pPr>
      <w:r>
        <w:rPr>
          <w:rFonts w:hint="eastAsia" w:ascii="黑体" w:eastAsia="黑体"/>
          <w:bCs/>
          <w:sz w:val="30"/>
          <w:szCs w:val="30"/>
          <w:highlight w:val="none"/>
        </w:rPr>
        <w:br w:type="page"/>
      </w:r>
    </w:p>
    <w:p>
      <w:pPr>
        <w:pStyle w:val="17"/>
        <w:adjustRightInd w:val="0"/>
        <w:snapToGrid w:val="0"/>
        <w:spacing w:before="0" w:beforeAutospacing="0" w:after="0" w:afterAutospacing="0" w:line="360" w:lineRule="auto"/>
        <w:jc w:val="center"/>
        <w:rPr>
          <w:rFonts w:ascii="黑体" w:eastAsia="黑体"/>
          <w:bCs/>
          <w:sz w:val="30"/>
          <w:szCs w:val="30"/>
          <w:highlight w:val="none"/>
        </w:rPr>
      </w:pPr>
      <w:r>
        <w:rPr>
          <w:rFonts w:hint="eastAsia" w:ascii="黑体" w:eastAsia="黑体"/>
          <w:bCs/>
          <w:sz w:val="30"/>
          <w:szCs w:val="30"/>
          <w:highlight w:val="none"/>
        </w:rPr>
        <w:t>温州银行“</w:t>
      </w:r>
      <w:r>
        <w:rPr>
          <w:rFonts w:hint="eastAsia" w:ascii="黑体" w:eastAsia="黑体"/>
          <w:bCs/>
          <w:sz w:val="30"/>
          <w:szCs w:val="30"/>
          <w:highlight w:val="none"/>
          <w:lang w:eastAsia="zh-CN"/>
        </w:rPr>
        <w:t>温银理财</w:t>
      </w:r>
      <w:r>
        <w:rPr>
          <w:rFonts w:hint="eastAsia" w:ascii="黑体" w:eastAsia="黑体"/>
          <w:bCs/>
          <w:sz w:val="30"/>
          <w:szCs w:val="30"/>
          <w:highlight w:val="none"/>
        </w:rPr>
        <w:t>-普惠季享”</w:t>
      </w:r>
      <w:r>
        <w:rPr>
          <w:rFonts w:ascii="黑体" w:eastAsia="黑体"/>
          <w:color w:val="000000"/>
          <w:sz w:val="30"/>
          <w:szCs w:val="30"/>
          <w:highlight w:val="none"/>
          <w:u w:val="single"/>
        </w:rPr>
        <w:t>26031</w:t>
      </w:r>
      <w:r>
        <w:rPr>
          <w:rFonts w:hint="eastAsia" w:ascii="黑体" w:eastAsia="黑体"/>
          <w:bCs/>
          <w:sz w:val="30"/>
          <w:szCs w:val="30"/>
          <w:highlight w:val="none"/>
        </w:rPr>
        <w:t>号（稳健低波款）</w:t>
      </w:r>
    </w:p>
    <w:p>
      <w:pPr>
        <w:pStyle w:val="17"/>
        <w:adjustRightInd w:val="0"/>
        <w:snapToGrid w:val="0"/>
        <w:spacing w:before="0" w:beforeAutospacing="0" w:after="0" w:afterAutospacing="0" w:line="360" w:lineRule="auto"/>
        <w:jc w:val="center"/>
        <w:rPr>
          <w:rFonts w:ascii="黑体" w:eastAsia="黑体"/>
          <w:bCs/>
          <w:sz w:val="30"/>
          <w:szCs w:val="30"/>
          <w:highlight w:val="none"/>
        </w:rPr>
      </w:pPr>
      <w:r>
        <w:rPr>
          <w:rFonts w:hint="eastAsia" w:ascii="黑体" w:eastAsia="黑体"/>
          <w:bCs/>
          <w:sz w:val="30"/>
          <w:szCs w:val="30"/>
          <w:highlight w:val="none"/>
        </w:rPr>
        <w:t>银行理财计划产品说明书</w:t>
      </w:r>
    </w:p>
    <w:p>
      <w:pPr>
        <w:adjustRightInd w:val="0"/>
        <w:snapToGrid w:val="0"/>
        <w:spacing w:before="120" w:line="300" w:lineRule="auto"/>
        <w:rPr>
          <w:b/>
          <w:sz w:val="18"/>
          <w:szCs w:val="18"/>
          <w:highlight w:val="none"/>
        </w:rPr>
      </w:pPr>
      <w:r>
        <w:rPr>
          <w:rFonts w:hint="eastAsia"/>
          <w:b/>
          <w:sz w:val="18"/>
          <w:szCs w:val="18"/>
          <w:highlight w:val="none"/>
        </w:rPr>
        <w:t>重要须知</w:t>
      </w:r>
    </w:p>
    <w:p>
      <w:pPr>
        <w:adjustRightInd w:val="0"/>
        <w:snapToGrid w:val="0"/>
        <w:spacing w:line="300"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300" w:lineRule="auto"/>
        <w:rPr>
          <w:sz w:val="18"/>
          <w:szCs w:val="18"/>
          <w:highlight w:val="none"/>
        </w:rPr>
      </w:pPr>
      <w:r>
        <w:rPr>
          <w:rFonts w:hint="eastAsia"/>
          <w:sz w:val="18"/>
          <w:szCs w:val="18"/>
          <w:highlight w:val="none"/>
        </w:rPr>
        <w:t>本产品适合于经温州银行评估为稳健型、平衡型、进取型、激进型的个人投资者。</w:t>
      </w:r>
    </w:p>
    <w:p>
      <w:pPr>
        <w:adjustRightInd w:val="0"/>
        <w:snapToGrid w:val="0"/>
        <w:spacing w:line="300" w:lineRule="auto"/>
        <w:rPr>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highlight w:val="none"/>
        </w:rPr>
      </w:pPr>
      <w:r>
        <w:rPr>
          <w:rFonts w:hint="eastAsia"/>
          <w:sz w:val="18"/>
          <w:szCs w:val="18"/>
          <w:highlight w:val="none"/>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highlight w:val="none"/>
        </w:rPr>
      </w:pPr>
      <w:r>
        <w:rPr>
          <w:rFonts w:hint="eastAsia"/>
          <w:sz w:val="18"/>
          <w:szCs w:val="18"/>
          <w:highlight w:val="none"/>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300" w:lineRule="auto"/>
        <w:rPr>
          <w:b/>
          <w:sz w:val="18"/>
          <w:szCs w:val="18"/>
          <w:highlight w:val="none"/>
        </w:rPr>
      </w:pPr>
      <w:r>
        <w:rPr>
          <w:rFonts w:hint="eastAsia"/>
          <w:b/>
          <w:sz w:val="18"/>
          <w:szCs w:val="18"/>
          <w:highlight w:val="none"/>
        </w:rPr>
        <w:t>释义</w:t>
      </w:r>
    </w:p>
    <w:p>
      <w:pPr>
        <w:adjustRightInd w:val="0"/>
        <w:snapToGrid w:val="0"/>
        <w:spacing w:line="300"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300" w:lineRule="auto"/>
        <w:rPr>
          <w:sz w:val="18"/>
          <w:szCs w:val="18"/>
          <w:highlight w:val="none"/>
        </w:rPr>
      </w:pPr>
      <w:r>
        <w:rPr>
          <w:rFonts w:hint="eastAsia"/>
          <w:sz w:val="18"/>
          <w:szCs w:val="18"/>
          <w:highlight w:val="none"/>
        </w:rPr>
        <w:t>产品：指“</w:t>
      </w:r>
      <w:r>
        <w:rPr>
          <w:rFonts w:hint="eastAsia"/>
          <w:sz w:val="18"/>
          <w:szCs w:val="18"/>
          <w:highlight w:val="none"/>
          <w:lang w:eastAsia="zh-CN"/>
        </w:rPr>
        <w:t>温银理财</w:t>
      </w:r>
      <w:r>
        <w:rPr>
          <w:rFonts w:hint="eastAsia" w:ascii="宋体" w:hAnsi="宋体"/>
          <w:sz w:val="18"/>
          <w:szCs w:val="18"/>
          <w:highlight w:val="none"/>
        </w:rPr>
        <w:t>-</w:t>
      </w:r>
      <w:r>
        <w:rPr>
          <w:rFonts w:hint="eastAsia"/>
          <w:sz w:val="18"/>
          <w:szCs w:val="18"/>
          <w:highlight w:val="none"/>
        </w:rPr>
        <w:t>普惠季享”</w:t>
      </w:r>
      <w:r>
        <w:rPr>
          <w:color w:val="000000"/>
          <w:sz w:val="18"/>
          <w:szCs w:val="18"/>
          <w:highlight w:val="none"/>
        </w:rPr>
        <w:t>26031</w:t>
      </w:r>
      <w:r>
        <w:rPr>
          <w:rFonts w:hint="eastAsia"/>
          <w:sz w:val="18"/>
          <w:szCs w:val="18"/>
          <w:highlight w:val="none"/>
        </w:rPr>
        <w:t>号（稳健低波款）银行理财计划</w:t>
      </w:r>
    </w:p>
    <w:p>
      <w:pPr>
        <w:adjustRightInd w:val="0"/>
        <w:snapToGrid w:val="0"/>
        <w:spacing w:line="300" w:lineRule="auto"/>
        <w:rPr>
          <w:sz w:val="18"/>
          <w:szCs w:val="18"/>
          <w:highlight w:val="none"/>
        </w:rPr>
      </w:pPr>
      <w:r>
        <w:rPr>
          <w:rFonts w:hint="eastAsia"/>
          <w:sz w:val="18"/>
          <w:szCs w:val="18"/>
          <w:highlight w:val="none"/>
        </w:rPr>
        <w:t>发行银行：指温州银行股份有限公司</w:t>
      </w:r>
    </w:p>
    <w:p>
      <w:pPr>
        <w:adjustRightInd w:val="0"/>
        <w:snapToGrid w:val="0"/>
        <w:spacing w:line="300"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300"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w:t>
      </w:r>
      <w:r>
        <w:rPr>
          <w:b/>
          <w:sz w:val="18"/>
          <w:szCs w:val="18"/>
          <w:highlight w:val="none"/>
        </w:rPr>
        <w:t>2</w:t>
      </w:r>
    </w:p>
    <w:p>
      <w:pPr>
        <w:widowControl/>
        <w:adjustRightInd w:val="0"/>
        <w:snapToGrid w:val="0"/>
        <w:spacing w:line="300" w:lineRule="auto"/>
        <w:outlineLvl w:val="0"/>
        <w:rPr>
          <w:b/>
          <w:sz w:val="18"/>
          <w:szCs w:val="18"/>
          <w:highlight w:val="none"/>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w:t>
      </w:r>
      <w:r>
        <w:rPr>
          <w:sz w:val="18"/>
          <w:szCs w:val="18"/>
          <w:highlight w:val="none"/>
        </w:rPr>
        <w:t>2</w:t>
      </w:r>
      <w:r>
        <w:rPr>
          <w:rFonts w:hint="eastAsia"/>
          <w:sz w:val="18"/>
          <w:szCs w:val="18"/>
          <w:highlight w:val="none"/>
        </w:rPr>
        <w:t>。在本理财产品存续期内，本理财产品风险等级可能会进行调整</w:t>
      </w:r>
      <w:r>
        <w:rPr>
          <w:rFonts w:hint="eastAsia"/>
          <w:sz w:val="18"/>
          <w:szCs w:val="18"/>
          <w:highlight w:val="none"/>
          <w:lang w:eastAsia="zh-CN"/>
        </w:rPr>
        <w:t>。</w:t>
      </w:r>
      <w:r>
        <w:rPr>
          <w:rFonts w:hint="eastAsia"/>
          <w:sz w:val="18"/>
          <w:szCs w:val="18"/>
          <w:highlight w:val="none"/>
        </w:rPr>
        <w:t>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8"/>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sz w:val="18"/>
                <w:szCs w:val="18"/>
                <w:highlight w:val="none"/>
              </w:rPr>
              <w:t xml:space="preserve"> “</w:t>
            </w:r>
            <w:r>
              <w:rPr>
                <w:rFonts w:hint="eastAsia"/>
                <w:sz w:val="18"/>
                <w:szCs w:val="18"/>
                <w:highlight w:val="none"/>
                <w:lang w:eastAsia="zh-CN"/>
              </w:rPr>
              <w:t>温银理财</w:t>
            </w:r>
            <w:r>
              <w:rPr>
                <w:sz w:val="18"/>
                <w:szCs w:val="18"/>
                <w:highlight w:val="none"/>
              </w:rPr>
              <w:t>-</w:t>
            </w:r>
            <w:r>
              <w:rPr>
                <w:rFonts w:hint="eastAsia"/>
                <w:sz w:val="18"/>
                <w:szCs w:val="18"/>
                <w:highlight w:val="none"/>
              </w:rPr>
              <w:t>普惠季享</w:t>
            </w:r>
            <w:r>
              <w:rPr>
                <w:sz w:val="18"/>
                <w:szCs w:val="18"/>
                <w:highlight w:val="none"/>
              </w:rPr>
              <w:t>”</w:t>
            </w:r>
            <w:r>
              <w:rPr>
                <w:color w:val="000000"/>
                <w:sz w:val="18"/>
                <w:szCs w:val="18"/>
                <w:highlight w:val="none"/>
                <w:u w:val="single"/>
              </w:rPr>
              <w:t>26031</w:t>
            </w:r>
            <w:r>
              <w:rPr>
                <w:sz w:val="18"/>
                <w:szCs w:val="18"/>
                <w:highlight w:val="none"/>
              </w:rPr>
              <w:t>号</w:t>
            </w:r>
            <w:r>
              <w:rPr>
                <w:rFonts w:hint="eastAsia"/>
                <w:sz w:val="18"/>
                <w:szCs w:val="18"/>
                <w:highlight w:val="none"/>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color w:val="000000"/>
                <w:sz w:val="18"/>
                <w:szCs w:val="18"/>
                <w:highlight w:val="none"/>
              </w:rPr>
              <w:t>JW2631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color w:val="000000"/>
                <w:sz w:val="18"/>
                <w:szCs w:val="18"/>
                <w:highlight w:val="none"/>
              </w:rPr>
              <w:t>C1092226000047</w:t>
            </w:r>
          </w:p>
          <w:p>
            <w:pPr>
              <w:adjustRightInd w:val="0"/>
              <w:snapToGrid w:val="0"/>
              <w:spacing w:line="288" w:lineRule="auto"/>
              <w:jc w:val="center"/>
              <w:rPr>
                <w:sz w:val="18"/>
                <w:szCs w:val="18"/>
                <w:highlight w:val="none"/>
              </w:rPr>
            </w:pPr>
            <w:r>
              <w:rPr>
                <w:sz w:val="18"/>
                <w:szCs w:val="18"/>
                <w:highlight w:val="none"/>
              </w:rPr>
              <w:t>(</w:t>
            </w:r>
            <w:r>
              <w:rPr>
                <w:rFonts w:hint="eastAsia"/>
                <w:sz w:val="18"/>
                <w:szCs w:val="18"/>
                <w:highlight w:val="none"/>
              </w:rPr>
              <w:t>投资者可登录中国理财网</w:t>
            </w:r>
            <w:r>
              <w:rPr>
                <w:sz w:val="18"/>
                <w:szCs w:val="18"/>
                <w:highlight w:val="none"/>
                <w:u w:val="single"/>
              </w:rPr>
              <w:t>www.chinawealth.com.cn</w:t>
            </w:r>
            <w:r>
              <w:rPr>
                <w:rFonts w:hint="eastAsia"/>
                <w:sz w:val="18"/>
                <w:szCs w:val="18"/>
                <w:highlight w:val="none"/>
              </w:rPr>
              <w:t>查询产品信息</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根据温州银行内部风险评级标准，本产品的风险等级为</w:t>
            </w:r>
            <w:r>
              <w:rPr>
                <w:sz w:val="18"/>
                <w:szCs w:val="18"/>
                <w:highlight w:val="none"/>
              </w:rPr>
              <w:t>PR2</w:t>
            </w:r>
            <w:r>
              <w:rPr>
                <w:rFonts w:hint="eastAsia"/>
                <w:sz w:val="18"/>
                <w:szCs w:val="18"/>
                <w:highlight w:val="none"/>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经温州银行风险承受能力评估为稳健型、平衡型、进取型、激进型的个人投资者。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理财期限（</w:t>
            </w:r>
            <w:r>
              <w:rPr>
                <w:sz w:val="18"/>
                <w:szCs w:val="18"/>
                <w:highlight w:val="none"/>
              </w:rPr>
              <w:t>T</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color w:val="000000"/>
                <w:sz w:val="18"/>
                <w:szCs w:val="18"/>
                <w:u w:val="single"/>
                <w:lang w:val="en-US" w:eastAsia="zh-CN"/>
              </w:rPr>
              <w:t>405</w:t>
            </w:r>
            <w:r>
              <w:rPr>
                <w:rFonts w:hint="eastAsia"/>
                <w:sz w:val="18"/>
                <w:szCs w:val="18"/>
                <w:highlight w:val="none"/>
              </w:rPr>
              <w:t>天</w:t>
            </w:r>
            <w:r>
              <w:rPr>
                <w:sz w:val="18"/>
                <w:szCs w:val="18"/>
                <w:highlight w:val="none"/>
              </w:rPr>
              <w:t xml:space="preserve">  </w:t>
            </w:r>
            <w:r>
              <w:rPr>
                <w:rFonts w:hint="eastAsia"/>
                <w:sz w:val="18"/>
                <w:szCs w:val="18"/>
                <w:highlight w:val="none"/>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nil"/>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交易币种</w:t>
            </w:r>
          </w:p>
        </w:tc>
        <w:tc>
          <w:tcPr>
            <w:tcW w:w="7918" w:type="dxa"/>
            <w:tcBorders>
              <w:top w:val="single" w:color="auto" w:sz="4" w:space="0"/>
              <w:left w:val="single" w:color="auto" w:sz="4" w:space="0"/>
              <w:bottom w:val="nil"/>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发售规模不超过20</w:t>
            </w:r>
            <w:r>
              <w:rPr>
                <w:sz w:val="18"/>
                <w:szCs w:val="18"/>
                <w:highlight w:val="none"/>
              </w:rPr>
              <w:t>000</w:t>
            </w:r>
            <w:r>
              <w:rPr>
                <w:rFonts w:hint="eastAsia"/>
                <w:sz w:val="18"/>
                <w:szCs w:val="18"/>
                <w:highlight w:val="none"/>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u w:val="single"/>
              </w:rPr>
            </w:pPr>
            <w:r>
              <w:rPr>
                <w:color w:val="000000"/>
                <w:sz w:val="18"/>
                <w:highlight w:val="none"/>
                <w:u w:val="single"/>
              </w:rPr>
              <w:t>2026年9月1日</w:t>
            </w:r>
            <w:r>
              <w:rPr>
                <w:rFonts w:hint="eastAsia"/>
                <w:sz w:val="18"/>
                <w:highlight w:val="none"/>
                <w:u w:val="single"/>
              </w:rPr>
              <w:t>至</w:t>
            </w:r>
            <w:r>
              <w:rPr>
                <w:color w:val="000000"/>
                <w:sz w:val="18"/>
                <w:highlight w:val="none"/>
                <w:u w:val="single"/>
              </w:rPr>
              <w:t>2026年9月7日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理财开始日</w:t>
            </w:r>
          </w:p>
          <w:p>
            <w:pPr>
              <w:adjustRightInd w:val="0"/>
              <w:snapToGrid w:val="0"/>
              <w:spacing w:line="288" w:lineRule="auto"/>
              <w:jc w:val="center"/>
              <w:rPr>
                <w:sz w:val="18"/>
                <w:szCs w:val="18"/>
                <w:highlight w:val="none"/>
              </w:rPr>
            </w:pPr>
            <w:r>
              <w:rPr>
                <w:rFonts w:hint="eastAsia"/>
                <w:sz w:val="18"/>
                <w:szCs w:val="18"/>
                <w:highlight w:val="none"/>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color w:val="000000"/>
                <w:sz w:val="18"/>
                <w:szCs w:val="18"/>
                <w:u w:val="single"/>
                <w:lang w:val="en-US" w:eastAsia="zh-CN"/>
              </w:rPr>
              <w:t>2026年9月8日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highlight w:val="none"/>
                <w:u w:val="single"/>
              </w:rPr>
            </w:pPr>
            <w:r>
              <w:rPr>
                <w:rFonts w:hint="eastAsia"/>
                <w:color w:val="000000"/>
                <w:sz w:val="18"/>
                <w:szCs w:val="24"/>
                <w:u w:val="single"/>
                <w:lang w:val="en-US" w:eastAsia="zh-CN"/>
              </w:rPr>
              <w:t>2027年10月18日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业绩比较基准（</w:t>
            </w:r>
            <w:r>
              <w:rPr>
                <w:sz w:val="18"/>
                <w:szCs w:val="18"/>
                <w:highlight w:val="none"/>
              </w:rPr>
              <w:t>R</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color w:val="000000"/>
                <w:sz w:val="18"/>
                <w:szCs w:val="18"/>
                <w:lang w:val="en-US" w:eastAsia="zh-CN"/>
              </w:rPr>
              <w:t>2.40%</w:t>
            </w:r>
            <w:r>
              <w:rPr>
                <w:rFonts w:hint="eastAsia"/>
                <w:sz w:val="18"/>
                <w:szCs w:val="18"/>
                <w:highlight w:val="none"/>
              </w:rPr>
              <w:t>（年化）</w:t>
            </w:r>
          </w:p>
          <w:p>
            <w:pPr>
              <w:adjustRightInd w:val="0"/>
              <w:snapToGrid w:val="0"/>
              <w:spacing w:line="288" w:lineRule="auto"/>
              <w:jc w:val="left"/>
              <w:rPr>
                <w:sz w:val="18"/>
                <w:szCs w:val="18"/>
                <w:highlight w:val="none"/>
              </w:rPr>
            </w:pPr>
            <w:r>
              <w:rPr>
                <w:rFonts w:hint="eastAsia"/>
                <w:sz w:val="18"/>
                <w:szCs w:val="18"/>
                <w:highlight w:val="none"/>
              </w:rPr>
              <w:t>本产品为净值型理财产品，其业绩表现将随市场波动具有不确定性。</w:t>
            </w:r>
            <w:r>
              <w:rPr>
                <w:rFonts w:hint="eastAsia"/>
                <w:b/>
                <w:bCs/>
                <w:sz w:val="18"/>
                <w:szCs w:val="18"/>
                <w:highlight w:val="none"/>
              </w:rPr>
              <w:t>业绩比较基准/过往业绩不是预期收益率，不代表产品的未来表现和实际收益，不构成对产品收益的承诺。</w:t>
            </w:r>
            <w:r>
              <w:rPr>
                <w:rFonts w:hint="eastAsia"/>
                <w:sz w:val="18"/>
                <w:szCs w:val="18"/>
                <w:highlight w:val="none"/>
              </w:rPr>
              <w:t>业绩比较基准测算依据：管理人</w:t>
            </w:r>
            <w:r>
              <w:rPr>
                <w:sz w:val="18"/>
                <w:szCs w:val="18"/>
                <w:highlight w:val="none"/>
              </w:rPr>
              <w:t>参考过往投资经验，依据近期货币市场工具、债券等资产</w:t>
            </w:r>
            <w:r>
              <w:rPr>
                <w:rFonts w:hint="eastAsia"/>
                <w:sz w:val="18"/>
                <w:szCs w:val="18"/>
                <w:highlight w:val="none"/>
              </w:rPr>
              <w:t>投资</w:t>
            </w:r>
            <w:r>
              <w:rPr>
                <w:sz w:val="18"/>
                <w:szCs w:val="18"/>
                <w:highlight w:val="none"/>
              </w:rPr>
              <w:t>收益水平，在产品说明书约定的投资范围和投资比例内</w:t>
            </w:r>
            <w:r>
              <w:rPr>
                <w:rFonts w:hint="eastAsia"/>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highlight w:val="none"/>
              </w:rPr>
            </w:pPr>
            <w:r>
              <w:rPr>
                <w:rFonts w:hint="eastAsia"/>
                <w:sz w:val="18"/>
                <w:szCs w:val="18"/>
                <w:highlight w:val="none"/>
              </w:rPr>
              <w:t>最高不超过</w:t>
            </w:r>
            <w:r>
              <w:rPr>
                <w:rFonts w:hint="eastAsia"/>
                <w:sz w:val="18"/>
                <w:szCs w:val="18"/>
                <w:highlight w:val="none"/>
                <w:lang w:eastAsia="zh-CN"/>
              </w:rPr>
              <w:t>0.6</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sz w:val="18"/>
                <w:szCs w:val="18"/>
                <w:highlight w:val="none"/>
              </w:rPr>
              <w:t>0.0</w:t>
            </w:r>
            <w:r>
              <w:rPr>
                <w:rFonts w:hint="eastAsia"/>
                <w:sz w:val="18"/>
                <w:szCs w:val="18"/>
                <w:highlight w:val="none"/>
              </w:rPr>
              <w:t>05</w:t>
            </w:r>
            <w:r>
              <w:rPr>
                <w:sz w:val="18"/>
                <w:szCs w:val="18"/>
                <w:highlight w:val="none"/>
              </w:rPr>
              <w:t>%</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若本理财产品扣除产品固定管理费（如有）、托管费及其他费用（如有）后</w:t>
            </w:r>
            <w:r>
              <w:rPr>
                <w:sz w:val="18"/>
                <w:szCs w:val="18"/>
                <w:highlight w:val="none"/>
              </w:rPr>
              <w:t>,</w:t>
            </w:r>
            <w:r>
              <w:rPr>
                <w:rFonts w:hint="eastAsia"/>
                <w:sz w:val="18"/>
                <w:szCs w:val="18"/>
                <w:highlight w:val="none"/>
              </w:rPr>
              <w:t>期末累计单位净值年化增长率超过业绩比较基准，则超出部分2</w:t>
            </w:r>
            <w:r>
              <w:rPr>
                <w:sz w:val="18"/>
                <w:szCs w:val="18"/>
                <w:highlight w:val="none"/>
              </w:rPr>
              <w:t>0%</w:t>
            </w:r>
            <w:r>
              <w:rPr>
                <w:rFonts w:hint="eastAsia"/>
                <w:sz w:val="18"/>
                <w:szCs w:val="18"/>
                <w:highlight w:val="none"/>
              </w:rPr>
              <w:t>归客户所有，80</w:t>
            </w:r>
            <w:r>
              <w:rPr>
                <w:sz w:val="18"/>
                <w:szCs w:val="18"/>
                <w:highlight w:val="none"/>
              </w:rPr>
              <w:t>%</w:t>
            </w:r>
            <w:r>
              <w:rPr>
                <w:rFonts w:hint="eastAsia"/>
                <w:sz w:val="18"/>
                <w:szCs w:val="18"/>
                <w:highlight w:val="none"/>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rPr>
                <w:szCs w:val="21"/>
                <w:highlight w:val="none"/>
              </w:rPr>
            </w:pPr>
            <w:r>
              <w:rPr>
                <w:rFonts w:hint="eastAsia" w:ascii="宋体" w:hAnsi="宋体"/>
                <w:sz w:val="18"/>
                <w:szCs w:val="18"/>
                <w:highlight w:val="none"/>
                <w:lang w:eastAsia="zh-CN"/>
              </w:rPr>
              <w:t>单一投资者持有份额最高不超2000万，</w:t>
            </w:r>
            <w:r>
              <w:rPr>
                <w:rFonts w:hint="eastAsia" w:ascii="宋体" w:hAnsi="宋体"/>
                <w:sz w:val="18"/>
                <w:szCs w:val="18"/>
                <w:highlight w:val="none"/>
                <w:lang w:val="en-US" w:eastAsia="zh-CN"/>
              </w:rPr>
              <w:t>且</w:t>
            </w:r>
            <w:r>
              <w:rPr>
                <w:rFonts w:hint="eastAsia" w:ascii="宋体" w:hAnsi="宋体"/>
                <w:sz w:val="18"/>
                <w:szCs w:val="18"/>
                <w:highlight w:val="none"/>
              </w:rPr>
              <w:t>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highlight w:val="none"/>
              </w:rPr>
            </w:pPr>
            <w:r>
              <w:rPr>
                <w:rFonts w:hint="eastAsia"/>
                <w:sz w:val="18"/>
                <w:szCs w:val="18"/>
                <w:highlight w:val="none"/>
              </w:rPr>
              <w:t>单位净值为提取相关费用后的单位理财产品份额净值，理财产品估值日单位净值=理财产品估值日理财产品总净值/产品总份额。理财产品总净值=</w:t>
            </w:r>
            <w:r>
              <w:rPr>
                <w:rFonts w:hint="eastAsia" w:ascii="宋体" w:hAnsi="宋体"/>
                <w:kern w:val="0"/>
                <w:sz w:val="18"/>
                <w:szCs w:val="18"/>
                <w:highlight w:val="none"/>
                <w:lang w:val="en-US" w:eastAsia="zh-CN"/>
              </w:rPr>
              <w:t>理财产品资产总值-理财产品负债总值</w:t>
            </w:r>
            <w:r>
              <w:rPr>
                <w:rFonts w:hint="eastAsia" w:ascii="宋体" w:hAnsi="宋体"/>
                <w:kern w:val="0"/>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销售机构</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温州银行股份有限公司（含分支机构）。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温州银行将在温州银行官方网站或电子银行等信息平台定期披露产品资产净值、份额净值</w:t>
            </w:r>
            <w:r>
              <w:rPr>
                <w:rFonts w:hint="eastAsia"/>
                <w:sz w:val="18"/>
                <w:szCs w:val="18"/>
                <w:highlight w:val="none"/>
                <w:lang w:eastAsia="zh-CN"/>
              </w:rPr>
              <w:t>、</w:t>
            </w:r>
            <w:r>
              <w:rPr>
                <w:rFonts w:hint="eastAsia"/>
                <w:sz w:val="18"/>
                <w:szCs w:val="18"/>
                <w:highlight w:val="none"/>
                <w:lang w:val="en-US" w:eastAsia="zh-CN"/>
              </w:rPr>
              <w:t>份额累计净值</w:t>
            </w:r>
            <w:r>
              <w:rPr>
                <w:rFonts w:hint="eastAsia"/>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sz w:val="18"/>
                <w:szCs w:val="18"/>
                <w:highlight w:val="none"/>
              </w:rPr>
            </w:pPr>
            <w:r>
              <w:rPr>
                <w:rFonts w:hint="eastAsia"/>
                <w:sz w:val="18"/>
                <w:szCs w:val="18"/>
                <w:highlight w:val="none"/>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hint="eastAsia"/>
                <w:sz w:val="18"/>
                <w:szCs w:val="18"/>
                <w:highlight w:val="none"/>
              </w:rPr>
            </w:pPr>
            <w:r>
              <w:rPr>
                <w:rFonts w:hint="eastAsia"/>
                <w:sz w:val="18"/>
                <w:szCs w:val="18"/>
                <w:highlight w:val="none"/>
              </w:rPr>
              <w:t>指上海证券交易所</w:t>
            </w:r>
            <w:r>
              <w:rPr>
                <w:rFonts w:hint="eastAsia"/>
                <w:sz w:val="18"/>
                <w:szCs w:val="18"/>
                <w:highlight w:val="none"/>
                <w:lang w:eastAsia="zh-CN"/>
              </w:rPr>
              <w:t>、</w:t>
            </w:r>
            <w:r>
              <w:rPr>
                <w:rFonts w:hint="eastAsia"/>
                <w:sz w:val="18"/>
                <w:szCs w:val="18"/>
                <w:highlight w:val="none"/>
                <w:lang w:val="en-US" w:eastAsia="zh-CN"/>
              </w:rPr>
              <w:t>深圳证券交易所</w:t>
            </w:r>
            <w:r>
              <w:rPr>
                <w:rFonts w:hint="eastAsia"/>
                <w:sz w:val="18"/>
                <w:szCs w:val="18"/>
                <w:highlight w:val="none"/>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lang w:val="en-US" w:eastAsia="zh-CN"/>
              </w:rPr>
              <w:t>指除国家法定节假日和公休日外的其他日期。</w:t>
            </w:r>
            <w:r>
              <w:rPr>
                <w:rFonts w:hint="eastAsia"/>
                <w:sz w:val="18"/>
                <w:szCs w:val="18"/>
                <w:highlight w:val="none"/>
              </w:rPr>
              <w:t>本理财产品说明书所述之日期如遇</w:t>
            </w:r>
            <w:r>
              <w:rPr>
                <w:rFonts w:hint="eastAsia"/>
                <w:sz w:val="18"/>
                <w:szCs w:val="18"/>
                <w:highlight w:val="none"/>
                <w:lang w:val="en-US" w:eastAsia="zh-CN"/>
              </w:rPr>
              <w:t>非工作日</w:t>
            </w:r>
            <w:r>
              <w:rPr>
                <w:rFonts w:hint="eastAsia"/>
                <w:sz w:val="18"/>
                <w:szCs w:val="18"/>
                <w:highlight w:val="none"/>
              </w:rPr>
              <w:t>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理财本金在理财开始日前交存于温州银行的，按当时实行的活期利率计息。到期日到理财资金返还到账日为</w:t>
            </w:r>
            <w:r>
              <w:rPr>
                <w:rFonts w:hint="eastAsia"/>
                <w:sz w:val="18"/>
                <w:szCs w:val="18"/>
                <w:highlight w:val="none"/>
                <w:lang w:val="en-US" w:eastAsia="zh-CN"/>
              </w:rPr>
              <w:t>资金</w:t>
            </w:r>
            <w:r>
              <w:rPr>
                <w:rFonts w:hint="eastAsia"/>
                <w:sz w:val="18"/>
                <w:szCs w:val="18"/>
                <w:highlight w:val="none"/>
              </w:rPr>
              <w:t>清算期，</w:t>
            </w:r>
            <w:r>
              <w:rPr>
                <w:rFonts w:hint="eastAsia"/>
                <w:sz w:val="18"/>
                <w:szCs w:val="18"/>
                <w:highlight w:val="none"/>
                <w:lang w:val="en-US" w:eastAsia="zh-CN"/>
              </w:rPr>
              <w:t>资金</w:t>
            </w:r>
            <w:r>
              <w:rPr>
                <w:rFonts w:hint="eastAsia"/>
                <w:sz w:val="18"/>
                <w:szCs w:val="18"/>
                <w:highlight w:val="none"/>
              </w:rPr>
              <w:t>清算期内不计付利息和收益。</w:t>
            </w:r>
          </w:p>
        </w:tc>
      </w:tr>
    </w:tbl>
    <w:p>
      <w:pPr>
        <w:adjustRightInd w:val="0"/>
        <w:snapToGrid w:val="0"/>
        <w:spacing w:before="156" w:beforeLines="50" w:line="300"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1、投资范围</w:t>
      </w:r>
    </w:p>
    <w:p>
      <w:pPr>
        <w:numPr>
          <w:ilvl w:val="0"/>
          <w:numId w:val="0"/>
        </w:num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本产品为固定收益类理财产品，温州银行主要将理财产品募集资金直接或间接配置于存款、债券回购、货币市场工具、债券等</w:t>
      </w:r>
      <w:r>
        <w:rPr>
          <w:rFonts w:hint="eastAsia"/>
          <w:sz w:val="18"/>
          <w:szCs w:val="18"/>
          <w:highlight w:val="none"/>
          <w:lang w:val="en-US" w:eastAsia="zh-CN"/>
        </w:rPr>
        <w:t>债权</w:t>
      </w:r>
      <w:r>
        <w:rPr>
          <w:rFonts w:hint="eastAsia"/>
          <w:sz w:val="18"/>
          <w:szCs w:val="18"/>
          <w:highlight w:val="none"/>
        </w:rPr>
        <w:t>类资产，部分可投资于权益类资产</w:t>
      </w:r>
      <w:r>
        <w:rPr>
          <w:rFonts w:hint="eastAsia"/>
          <w:sz w:val="18"/>
          <w:szCs w:val="18"/>
          <w:highlight w:val="none"/>
          <w:lang w:eastAsia="zh-CN"/>
        </w:rPr>
        <w:t>、</w:t>
      </w:r>
      <w:r>
        <w:rPr>
          <w:rFonts w:hint="eastAsia"/>
          <w:sz w:val="18"/>
          <w:szCs w:val="18"/>
          <w:highlight w:val="none"/>
        </w:rPr>
        <w:t>商品及金融衍生品类资产。具体包括但不限于银行间市场和证券交易所市场债权性资产、非标准化债权资产、资产管理计划、信托计划、各类受（收）益权、资产支持证券、票据资产、证券投资基金、债券借贷，及其他符合监管要求的投资标的和资产组合。</w:t>
      </w:r>
      <w:r>
        <w:rPr>
          <w:rFonts w:hint="eastAsia" w:ascii="宋体" w:hAnsi="宋体"/>
          <w:sz w:val="18"/>
          <w:szCs w:val="18"/>
          <w:highlight w:val="none"/>
        </w:rPr>
        <w:t>与交易对手开展买入返售交易的，可接受押品的资质要求应该符合本产品说明书关于投资范围的约定。</w:t>
      </w:r>
      <w:r>
        <w:rPr>
          <w:rFonts w:hint="eastAsia"/>
          <w:sz w:val="18"/>
          <w:szCs w:val="18"/>
          <w:highlight w:val="none"/>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、投资比例</w:t>
      </w:r>
    </w:p>
    <w:tbl>
      <w:tblPr>
        <w:tblStyle w:val="8"/>
        <w:tblW w:w="4999" w:type="pct"/>
        <w:jc w:val="center"/>
        <w:tblLayout w:type="autofit"/>
        <w:tblCellMar>
          <w:top w:w="0" w:type="dxa"/>
          <w:left w:w="108" w:type="dxa"/>
          <w:bottom w:w="0" w:type="dxa"/>
          <w:right w:w="108" w:type="dxa"/>
        </w:tblCellMar>
      </w:tblPr>
      <w:tblGrid>
        <w:gridCol w:w="5112"/>
        <w:gridCol w:w="4286"/>
      </w:tblGrid>
      <w:tr>
        <w:tblPrEx>
          <w:tblCellMar>
            <w:top w:w="0" w:type="dxa"/>
            <w:left w:w="108" w:type="dxa"/>
            <w:bottom w:w="0" w:type="dxa"/>
            <w:right w:w="108" w:type="dxa"/>
          </w:tblCellMar>
        </w:tblPrEx>
        <w:trPr>
          <w:trHeight w:val="316"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2280" w:type="pct"/>
            <w:tcBorders>
              <w:top w:val="single" w:color="auto" w:sz="4" w:space="0"/>
              <w:left w:val="nil"/>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312"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其他类资产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w:t>
      </w:r>
      <w:r>
        <w:rPr>
          <w:sz w:val="18"/>
          <w:szCs w:val="18"/>
          <w:highlight w:val="none"/>
        </w:rPr>
        <w:t>20</w:t>
      </w:r>
      <w:r>
        <w:rPr>
          <w:rFonts w:hint="eastAsia"/>
          <w:sz w:val="18"/>
          <w:szCs w:val="18"/>
          <w:highlight w:val="none"/>
        </w:rPr>
        <w:t>0%。</w:t>
      </w:r>
    </w:p>
    <w:p>
      <w:pPr>
        <w:adjustRightInd w:val="0"/>
        <w:snapToGrid w:val="0"/>
        <w:spacing w:line="286" w:lineRule="auto"/>
        <w:rPr>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w:t>
      </w:r>
    </w:p>
    <w:p>
      <w:pPr>
        <w:adjustRightInd w:val="0"/>
        <w:snapToGrid w:val="0"/>
        <w:spacing w:line="286" w:lineRule="auto"/>
        <w:rPr>
          <w:rFonts w:hint="eastAsia"/>
          <w:sz w:val="18"/>
          <w:szCs w:val="18"/>
          <w:highlight w:val="none"/>
        </w:rPr>
      </w:pPr>
      <w:r>
        <w:rPr>
          <w:rFonts w:hint="eastAsia"/>
          <w:sz w:val="18"/>
          <w:szCs w:val="18"/>
          <w:highlight w:val="none"/>
        </w:rPr>
        <w:t>温州银行作为管理人将根据拟投资标的资产的特点进行投资管理，以寻求稳健、低风险的投资收益。</w:t>
      </w:r>
    </w:p>
    <w:p>
      <w:pPr>
        <w:adjustRightInd w:val="0"/>
        <w:snapToGrid w:val="0"/>
        <w:spacing w:line="281" w:lineRule="auto"/>
        <w:rPr>
          <w:rFonts w:hint="eastAsia" w:eastAsia="宋体"/>
          <w:b/>
          <w:sz w:val="18"/>
          <w:szCs w:val="18"/>
          <w:highlight w:val="none"/>
          <w:lang w:val="en-US" w:eastAsia="zh-CN"/>
        </w:rPr>
      </w:pPr>
      <w:r>
        <w:rPr>
          <w:rFonts w:hint="eastAsia"/>
          <w:b/>
          <w:sz w:val="18"/>
          <w:szCs w:val="18"/>
          <w:highlight w:val="none"/>
        </w:rPr>
        <w:t>销售</w:t>
      </w:r>
      <w:r>
        <w:rPr>
          <w:rFonts w:hint="eastAsia"/>
          <w:b/>
          <w:sz w:val="18"/>
          <w:szCs w:val="18"/>
          <w:highlight w:val="none"/>
          <w:lang w:val="en-US" w:eastAsia="zh-CN"/>
        </w:rPr>
        <w:t>地区</w:t>
      </w:r>
    </w:p>
    <w:p>
      <w:pPr>
        <w:adjustRightInd w:val="0"/>
        <w:snapToGrid w:val="0"/>
        <w:spacing w:line="281" w:lineRule="auto"/>
        <w:rPr>
          <w:rFonts w:hint="eastAsia"/>
          <w:b/>
          <w:bCs/>
          <w:sz w:val="18"/>
          <w:szCs w:val="18"/>
          <w:highlight w:val="none"/>
          <w:lang w:val="en-US" w:eastAsia="zh-CN"/>
        </w:rPr>
      </w:pPr>
      <w:r>
        <w:rPr>
          <w:rFonts w:hint="eastAsia"/>
          <w:sz w:val="18"/>
          <w:szCs w:val="18"/>
          <w:highlight w:val="none"/>
        </w:rPr>
        <w:t>销售地区范围包括浙江省、上海地区等。</w:t>
      </w:r>
    </w:p>
    <w:p>
      <w:pPr>
        <w:adjustRightInd w:val="0"/>
        <w:snapToGrid w:val="0"/>
        <w:spacing w:line="281" w:lineRule="auto"/>
        <w:rPr>
          <w:rFonts w:hint="eastAsia"/>
          <w:b/>
          <w:bCs/>
          <w:sz w:val="18"/>
          <w:szCs w:val="18"/>
          <w:highlight w:val="none"/>
          <w:lang w:val="en-US" w:eastAsia="zh-CN"/>
        </w:rPr>
      </w:pPr>
      <w:r>
        <w:rPr>
          <w:rFonts w:hint="eastAsia"/>
          <w:b/>
          <w:bCs/>
          <w:sz w:val="18"/>
          <w:szCs w:val="18"/>
          <w:highlight w:val="none"/>
          <w:lang w:val="en-US" w:eastAsia="zh-CN"/>
        </w:rPr>
        <w:t>销售机构</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提供包括投资者风险承受能力评估和投资者适当性管理、理财计划份额认购、协助管理人与投资者签订理财计划合同、协助管理人进行信息披露、接受投资者咨询和客户维护等销售服务。</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招商银行股份有限公司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中国广东省深圳市福田区深南大道7088号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95555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tc>
      </w:tr>
    </w:tbl>
    <w:p>
      <w:pPr>
        <w:adjustRightInd w:val="0"/>
        <w:snapToGrid w:val="0"/>
        <w:spacing w:line="285" w:lineRule="auto"/>
        <w:rPr>
          <w:sz w:val="18"/>
          <w:szCs w:val="18"/>
          <w:highlight w:val="none"/>
        </w:rPr>
      </w:pPr>
      <w:r>
        <w:rPr>
          <w:rFonts w:hint="eastAsia" w:ascii="宋体" w:hAnsi="宋体"/>
          <w:b/>
          <w:bCs/>
          <w:sz w:val="18"/>
          <w:szCs w:val="18"/>
          <w:highlight w:val="none"/>
        </w:rPr>
        <w:t>投资合作机构</w:t>
      </w:r>
    </w:p>
    <w:p>
      <w:pPr>
        <w:adjustRightInd w:val="0"/>
        <w:snapToGrid w:val="0"/>
        <w:spacing w:line="280" w:lineRule="auto"/>
        <w:rPr>
          <w:sz w:val="18"/>
          <w:szCs w:val="18"/>
          <w:highlight w:val="none"/>
        </w:rPr>
      </w:pPr>
      <w:r>
        <w:rPr>
          <w:rFonts w:hint="eastAsia" w:ascii="宋体" w:hAnsi="宋体"/>
          <w:sz w:val="18"/>
          <w:szCs w:val="18"/>
          <w:highlight w:val="none"/>
        </w:rPr>
        <w:t>本产品的投资合作机构主要职责为进行受托资金的投资管理，根据合同约定从事受托投资或提供投资顾问服务，具体职责以产品管理人与投资合作机构签署的合同为准。投资者可登录温州银行网站（</w:t>
      </w:r>
      <w:r>
        <w:rPr>
          <w:highlight w:val="none"/>
        </w:rPr>
        <w:fldChar w:fldCharType="begin"/>
      </w:r>
      <w:r>
        <w:rPr>
          <w:highlight w:val="none"/>
        </w:rPr>
        <w:instrText xml:space="preserve"> HYPERLINK "http://www.wzbank.cn" </w:instrText>
      </w:r>
      <w:r>
        <w:rPr>
          <w:highlight w:val="none"/>
        </w:rPr>
        <w:fldChar w:fldCharType="separate"/>
      </w:r>
      <w:r>
        <w:rPr>
          <w:rStyle w:val="18"/>
          <w:rFonts w:hint="eastAsia" w:ascii="宋体" w:hAnsi="宋体"/>
          <w:sz w:val="18"/>
          <w:szCs w:val="18"/>
          <w:highlight w:val="none"/>
        </w:rPr>
        <w:t>www.wzbank.cn</w:t>
      </w:r>
      <w:r>
        <w:rPr>
          <w:rStyle w:val="18"/>
          <w:rFonts w:hint="eastAsia" w:ascii="宋体" w:hAnsi="宋体"/>
          <w:sz w:val="18"/>
          <w:szCs w:val="18"/>
          <w:highlight w:val="none"/>
        </w:rPr>
        <w:fldChar w:fldCharType="end"/>
      </w:r>
      <w:r>
        <w:rPr>
          <w:rFonts w:hint="eastAsia" w:ascii="宋体" w:hAnsi="宋体"/>
          <w:sz w:val="18"/>
          <w:szCs w:val="18"/>
          <w:highlight w:val="none"/>
        </w:rPr>
        <w:t>）查询温州银行理财产品的投资合作机构名单。</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b/>
          <w:bCs/>
          <w:sz w:val="18"/>
          <w:szCs w:val="18"/>
          <w:highlight w:val="none"/>
        </w:rPr>
      </w:pPr>
      <w:r>
        <w:rPr>
          <w:rFonts w:hint="eastAsia"/>
          <w:sz w:val="18"/>
          <w:szCs w:val="18"/>
          <w:highlight w:val="none"/>
        </w:rPr>
        <w:t>本理财产品估值日为每个</w:t>
      </w:r>
      <w:r>
        <w:rPr>
          <w:rFonts w:hint="eastAsia"/>
          <w:sz w:val="18"/>
          <w:szCs w:val="18"/>
          <w:highlight w:val="none"/>
          <w:lang w:val="en-US" w:eastAsia="zh-CN"/>
        </w:rPr>
        <w:t>自然</w:t>
      </w:r>
      <w:r>
        <w:rPr>
          <w:rFonts w:hint="eastAsia"/>
          <w:sz w:val="18"/>
          <w:szCs w:val="18"/>
          <w:highlight w:val="none"/>
        </w:rPr>
        <w:t>日，投资管理人和理财托管人核对估值结果</w:t>
      </w:r>
      <w:r>
        <w:rPr>
          <w:rFonts w:hint="eastAsia"/>
          <w:sz w:val="18"/>
          <w:szCs w:val="18"/>
          <w:highlight w:val="none"/>
          <w:lang w:eastAsia="zh-CN"/>
        </w:rPr>
        <w:t>（</w:t>
      </w:r>
      <w:r>
        <w:rPr>
          <w:rFonts w:hint="eastAsia"/>
          <w:sz w:val="18"/>
          <w:szCs w:val="18"/>
          <w:highlight w:val="none"/>
        </w:rPr>
        <w:t xml:space="preserve">如遇非工作日顺延至下一工作日）。 </w:t>
      </w:r>
    </w:p>
    <w:p>
      <w:pPr>
        <w:adjustRightInd w:val="0"/>
        <w:snapToGrid w:val="0"/>
        <w:spacing w:line="286" w:lineRule="auto"/>
        <w:rPr>
          <w:rFonts w:hint="eastAsia"/>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本理财产品所有的资产及负债。</w:t>
      </w:r>
    </w:p>
    <w:p>
      <w:pPr>
        <w:adjustRightInd w:val="0"/>
        <w:snapToGrid w:val="0"/>
        <w:spacing w:line="286" w:lineRule="auto"/>
        <w:rPr>
          <w:rFonts w:hint="eastAsia"/>
          <w:sz w:val="18"/>
          <w:szCs w:val="18"/>
          <w:highlight w:val="none"/>
        </w:rPr>
      </w:pPr>
      <w:r>
        <w:rPr>
          <w:rFonts w:hint="eastAsia"/>
          <w:sz w:val="18"/>
          <w:szCs w:val="18"/>
          <w:highlight w:val="none"/>
        </w:rPr>
        <w:t xml:space="preserve">【估值目的】 </w:t>
      </w:r>
    </w:p>
    <w:p>
      <w:pPr>
        <w:adjustRightInd w:val="0"/>
        <w:snapToGrid w:val="0"/>
        <w:spacing w:line="286" w:lineRule="auto"/>
        <w:rPr>
          <w:rFonts w:hint="eastAsia"/>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eastAsia"/>
          <w:sz w:val="18"/>
          <w:szCs w:val="18"/>
          <w:highlight w:val="none"/>
        </w:rPr>
      </w:pPr>
      <w:r>
        <w:rPr>
          <w:rFonts w:hint="eastAsia"/>
          <w:sz w:val="18"/>
          <w:szCs w:val="18"/>
          <w:highlight w:val="none"/>
        </w:rPr>
        <w:t>【估值原则】</w:t>
      </w:r>
    </w:p>
    <w:p>
      <w:pPr>
        <w:adjustRightInd w:val="0"/>
        <w:snapToGrid w:val="0"/>
        <w:spacing w:line="286" w:lineRule="auto"/>
        <w:rPr>
          <w:rFonts w:hint="eastAsia"/>
          <w:sz w:val="18"/>
          <w:szCs w:val="18"/>
          <w:highlight w:val="none"/>
        </w:rPr>
      </w:pPr>
      <w:r>
        <w:rPr>
          <w:rFonts w:hint="eastAsia"/>
          <w:sz w:val="18"/>
          <w:szCs w:val="18"/>
          <w:highlight w:val="none"/>
        </w:rPr>
        <w:t>理财产品投资金融资产在符合企业会计准则的前提下坚持公允价值计量原则，鼓励使用市值计量。符合以下条件之一的，可按照企业会计准则以摊余成本进行计量：</w:t>
      </w:r>
    </w:p>
    <w:p>
      <w:pPr>
        <w:adjustRightInd w:val="0"/>
        <w:snapToGrid w:val="0"/>
        <w:spacing w:line="286" w:lineRule="auto"/>
        <w:rPr>
          <w:rFonts w:hint="eastAsia"/>
          <w:sz w:val="18"/>
          <w:szCs w:val="18"/>
          <w:highlight w:val="none"/>
        </w:rPr>
      </w:pPr>
      <w:r>
        <w:rPr>
          <w:rFonts w:hint="eastAsia"/>
          <w:sz w:val="18"/>
          <w:szCs w:val="18"/>
          <w:highlight w:val="none"/>
        </w:rPr>
        <w:t>（一）资产管理产品为封闭式产品，且所投金融资产以收取合同现金流量为目的并持有到期。</w:t>
      </w:r>
    </w:p>
    <w:p>
      <w:pPr>
        <w:adjustRightInd w:val="0"/>
        <w:snapToGrid w:val="0"/>
        <w:spacing w:line="286" w:lineRule="auto"/>
        <w:rPr>
          <w:rFonts w:hint="eastAsia"/>
          <w:sz w:val="18"/>
          <w:szCs w:val="18"/>
          <w:highlight w:val="none"/>
        </w:rPr>
      </w:pPr>
      <w:r>
        <w:rPr>
          <w:rFonts w:hint="eastAsia"/>
          <w:sz w:val="18"/>
          <w:szCs w:val="18"/>
          <w:highlight w:val="none"/>
        </w:rPr>
        <w:t>（二）资产管理产品为封闭式产品，且所投金融资产暂不具备活跃交易市场，或者在活跃市场中没有报价、也不能采用估值技术可靠计量公允价值。</w:t>
      </w:r>
    </w:p>
    <w:p>
      <w:pPr>
        <w:adjustRightInd w:val="0"/>
        <w:snapToGrid w:val="0"/>
        <w:spacing w:line="286" w:lineRule="auto"/>
        <w:rPr>
          <w:rFonts w:hint="eastAsia"/>
          <w:sz w:val="18"/>
          <w:szCs w:val="18"/>
          <w:highlight w:val="none"/>
        </w:rPr>
      </w:pPr>
      <w:r>
        <w:rPr>
          <w:rFonts w:hint="eastAsia"/>
          <w:sz w:val="18"/>
          <w:szCs w:val="18"/>
          <w:highlight w:val="none"/>
        </w:rPr>
        <w:t>如财政部、中国人民银行、国家金融监督管理总局等有关部门对估值原则另有规定的，从其规定。</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 xml:space="preserve">（2）货币市场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（1）以收取合同现金流量为目的并持有到期的债券，在符合监管规定的情况下按摊余成本法计量。</w:t>
      </w:r>
    </w:p>
    <w:p>
      <w:pPr>
        <w:adjustRightInd w:val="0"/>
        <w:snapToGrid w:val="0"/>
        <w:spacing w:line="286" w:lineRule="auto"/>
        <w:rPr>
          <w:rFonts w:hint="eastAsia"/>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3、基金、证券、保险等资产管理计划和信托计划等资产（不含货币市场基金）：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rPr>
        <w:t>4、其他资产：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rPr>
        <w:t>5、其他事项</w:t>
      </w:r>
    </w:p>
    <w:p>
      <w:pPr>
        <w:adjustRightInd w:val="0"/>
        <w:snapToGrid w:val="0"/>
        <w:spacing w:line="286" w:lineRule="auto"/>
        <w:rPr>
          <w:sz w:val="18"/>
          <w:szCs w:val="18"/>
          <w:highlight w:val="none"/>
        </w:rPr>
      </w:pPr>
      <w:r>
        <w:rPr>
          <w:rFonts w:hint="eastAsia"/>
          <w:sz w:val="18"/>
          <w:szCs w:val="18"/>
          <w:highlight w:val="none"/>
        </w:rPr>
        <w:t>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w:t>
      </w:r>
    </w:p>
    <w:p>
      <w:pPr>
        <w:adjustRightInd w:val="0"/>
        <w:snapToGrid w:val="0"/>
        <w:spacing w:line="286" w:lineRule="auto"/>
        <w:rPr>
          <w:sz w:val="18"/>
          <w:szCs w:val="18"/>
          <w:highlight w:val="none"/>
        </w:rPr>
      </w:pPr>
      <w:r>
        <w:rPr>
          <w:rFonts w:hint="eastAsia"/>
          <w:sz w:val="18"/>
          <w:szCs w:val="18"/>
          <w:highlight w:val="none"/>
        </w:rPr>
        <w:t>【估值错误处理】</w:t>
      </w:r>
    </w:p>
    <w:p>
      <w:pPr>
        <w:adjustRightInd w:val="0"/>
        <w:snapToGrid w:val="0"/>
        <w:spacing w:line="286" w:lineRule="auto"/>
        <w:rPr>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highlight w:val="none"/>
        </w:rPr>
      </w:pPr>
      <w:r>
        <w:rPr>
          <w:rFonts w:hint="eastAsia" w:ascii="宋体" w:hAnsi="宋体"/>
          <w:sz w:val="18"/>
          <w:szCs w:val="18"/>
          <w:highlight w:val="none"/>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highlight w:val="none"/>
        </w:rPr>
      </w:pPr>
      <w:r>
        <w:rPr>
          <w:rFonts w:hint="eastAsia"/>
          <w:sz w:val="18"/>
          <w:szCs w:val="18"/>
          <w:highlight w:val="none"/>
        </w:rPr>
        <w:t>【暂停估值】</w:t>
      </w:r>
    </w:p>
    <w:p>
      <w:pPr>
        <w:adjustRightInd w:val="0"/>
        <w:snapToGrid w:val="0"/>
        <w:spacing w:line="286" w:lineRule="auto"/>
        <w:rPr>
          <w:sz w:val="18"/>
          <w:szCs w:val="18"/>
          <w:highlight w:val="none"/>
        </w:rPr>
      </w:pPr>
      <w:r>
        <w:rPr>
          <w:rFonts w:hint="eastAsia"/>
          <w:sz w:val="18"/>
          <w:szCs w:val="18"/>
          <w:highlight w:val="none"/>
        </w:rPr>
        <w:t>本理财计划可暂停估值的情形如下：</w:t>
      </w:r>
    </w:p>
    <w:p>
      <w:pPr>
        <w:adjustRightInd w:val="0"/>
        <w:snapToGrid w:val="0"/>
        <w:spacing w:line="286" w:lineRule="auto"/>
        <w:rPr>
          <w:sz w:val="18"/>
          <w:szCs w:val="18"/>
          <w:highlight w:val="none"/>
        </w:rPr>
      </w:pPr>
      <w:r>
        <w:rPr>
          <w:rFonts w:hint="eastAsia"/>
          <w:sz w:val="18"/>
          <w:szCs w:val="18"/>
          <w:highlight w:val="none"/>
        </w:rPr>
        <w:t>1、理财产品投资所涉及的交易市场遇法定节假日或其他原因暂停营业时。</w:t>
      </w:r>
    </w:p>
    <w:p>
      <w:pPr>
        <w:adjustRightInd w:val="0"/>
        <w:snapToGrid w:val="0"/>
        <w:spacing w:line="286" w:lineRule="auto"/>
        <w:rPr>
          <w:sz w:val="18"/>
          <w:szCs w:val="18"/>
          <w:highlight w:val="none"/>
        </w:rPr>
      </w:pPr>
      <w:r>
        <w:rPr>
          <w:rFonts w:hint="eastAsia"/>
          <w:sz w:val="18"/>
          <w:szCs w:val="18"/>
          <w:highlight w:val="none"/>
        </w:rPr>
        <w:t>2、因任何不可抗力或其他情形致使理财计划管理人、托管人无法准确评估资产价值时。</w:t>
      </w:r>
    </w:p>
    <w:p>
      <w:pPr>
        <w:adjustRightInd w:val="0"/>
        <w:snapToGrid w:val="0"/>
        <w:spacing w:line="286" w:lineRule="auto"/>
        <w:rPr>
          <w:sz w:val="18"/>
          <w:szCs w:val="18"/>
          <w:highlight w:val="none"/>
        </w:rPr>
      </w:pPr>
      <w:r>
        <w:rPr>
          <w:rFonts w:hint="eastAsia"/>
          <w:sz w:val="18"/>
          <w:szCs w:val="18"/>
          <w:highlight w:val="none"/>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highlight w:val="none"/>
        </w:rPr>
      </w:pPr>
      <w:r>
        <w:rPr>
          <w:rFonts w:hint="eastAsia"/>
          <w:sz w:val="18"/>
          <w:szCs w:val="18"/>
          <w:highlight w:val="none"/>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highlight w:val="none"/>
        </w:rPr>
      </w:pPr>
      <w:r>
        <w:rPr>
          <w:rFonts w:hint="eastAsia"/>
          <w:sz w:val="18"/>
          <w:szCs w:val="18"/>
          <w:highlight w:val="none"/>
        </w:rPr>
        <w:t>因上述情形暂停估值造成的损失，产品管理人和托管人不承担责任。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本产品业绩比较基准为</w:t>
      </w:r>
      <w:r>
        <w:rPr>
          <w:rFonts w:hint="eastAsia"/>
          <w:color w:val="000000"/>
          <w:sz w:val="18"/>
          <w:szCs w:val="18"/>
        </w:rPr>
        <w:t>2.40%</w:t>
      </w:r>
      <w:r>
        <w:rPr>
          <w:rFonts w:hint="eastAsia"/>
          <w:sz w:val="18"/>
          <w:szCs w:val="18"/>
          <w:highlight w:val="none"/>
        </w:rPr>
        <w:t>（年化）。本产品业绩比较基准仅作为计提产品浮动管理费的依据，不构成温州银行对该理财产品的任何收益承诺。</w:t>
      </w:r>
    </w:p>
    <w:p>
      <w:pPr>
        <w:adjustRightInd w:val="0"/>
        <w:snapToGrid w:val="0"/>
        <w:spacing w:line="286" w:lineRule="auto"/>
        <w:rPr>
          <w:sz w:val="18"/>
          <w:szCs w:val="18"/>
          <w:highlight w:val="none"/>
        </w:rPr>
      </w:pPr>
      <w:r>
        <w:rPr>
          <w:rFonts w:hint="eastAsia"/>
          <w:sz w:val="18"/>
          <w:szCs w:val="18"/>
          <w:highlight w:val="none"/>
        </w:rPr>
        <w:t>2、理财产品单位净值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w:t>
      </w:r>
      <w:r>
        <w:rPr>
          <w:rFonts w:hint="eastAsia"/>
          <w:sz w:val="18"/>
          <w:szCs w:val="18"/>
          <w:highlight w:val="none"/>
          <w:lang w:val="en-US" w:eastAsia="zh-CN"/>
        </w:rPr>
        <w:t>总</w:t>
      </w:r>
      <w:r>
        <w:rPr>
          <w:rFonts w:hint="eastAsia"/>
          <w:sz w:val="18"/>
          <w:szCs w:val="18"/>
          <w:highlight w:val="none"/>
        </w:rPr>
        <w:t>净值÷理财产品</w:t>
      </w:r>
      <w:r>
        <w:rPr>
          <w:rFonts w:hint="eastAsia"/>
          <w:sz w:val="18"/>
          <w:szCs w:val="18"/>
          <w:highlight w:val="none"/>
          <w:lang w:val="en-US" w:eastAsia="zh-CN"/>
        </w:rPr>
        <w:t>总</w:t>
      </w:r>
      <w:r>
        <w:rPr>
          <w:rFonts w:hint="eastAsia"/>
          <w:sz w:val="18"/>
          <w:szCs w:val="18"/>
          <w:highlight w:val="none"/>
        </w:rPr>
        <w:t>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理财产品单位净值为提取相关费用后的净值，客户按该单位净值进行产品到期终止清算时的分配。</w:t>
      </w:r>
    </w:p>
    <w:p>
      <w:pPr>
        <w:adjustRightInd w:val="0"/>
        <w:snapToGrid w:val="0"/>
        <w:spacing w:line="286" w:lineRule="auto"/>
        <w:rPr>
          <w:sz w:val="18"/>
          <w:szCs w:val="18"/>
          <w:highlight w:val="none"/>
        </w:rPr>
      </w:pPr>
      <w:r>
        <w:rPr>
          <w:rFonts w:hint="eastAsia"/>
          <w:sz w:val="18"/>
          <w:szCs w:val="18"/>
          <w:highlight w:val="none"/>
        </w:rPr>
        <w:t>3、认购</w:t>
      </w:r>
    </w:p>
    <w:p>
      <w:pPr>
        <w:adjustRightInd w:val="0"/>
        <w:snapToGrid w:val="0"/>
        <w:spacing w:line="286" w:lineRule="auto"/>
        <w:rPr>
          <w:sz w:val="18"/>
          <w:szCs w:val="18"/>
          <w:highlight w:val="none"/>
        </w:rPr>
      </w:pPr>
      <w:r>
        <w:rPr>
          <w:rFonts w:hint="eastAsia"/>
          <w:sz w:val="18"/>
          <w:szCs w:val="18"/>
          <w:highlight w:val="none"/>
        </w:rPr>
        <w:t>（1）发生以下情形，管理人可以决定是否拒绝或暂停接受全部或部分投资者的认购申请：</w:t>
      </w:r>
    </w:p>
    <w:p>
      <w:pPr>
        <w:adjustRightInd w:val="0"/>
        <w:snapToGrid w:val="0"/>
        <w:spacing w:line="286" w:lineRule="auto"/>
        <w:rPr>
          <w:sz w:val="18"/>
          <w:szCs w:val="18"/>
          <w:highlight w:val="none"/>
        </w:rPr>
      </w:pPr>
      <w:r>
        <w:rPr>
          <w:rFonts w:hint="eastAsia"/>
          <w:sz w:val="18"/>
          <w:szCs w:val="18"/>
          <w:highlight w:val="none"/>
        </w:rPr>
        <w:t>1）投资者认购超过产品说明书约定的发行规模上限、单笔认/申购上限、单一客户持有上限等。</w:t>
      </w:r>
    </w:p>
    <w:p>
      <w:pPr>
        <w:adjustRightInd w:val="0"/>
        <w:snapToGrid w:val="0"/>
        <w:spacing w:line="286" w:lineRule="auto"/>
        <w:rPr>
          <w:sz w:val="18"/>
          <w:szCs w:val="18"/>
          <w:highlight w:val="none"/>
        </w:rPr>
      </w:pPr>
      <w:r>
        <w:rPr>
          <w:rFonts w:hint="eastAsia"/>
          <w:sz w:val="18"/>
          <w:szCs w:val="18"/>
          <w:highlight w:val="none"/>
        </w:rPr>
        <w:t>2）当管理人接受某笔或者某些认购申请有可能导致单一投资者持有理财计划份额的比例达到或超过50%的情形。</w:t>
      </w:r>
    </w:p>
    <w:p>
      <w:pPr>
        <w:adjustRightInd w:val="0"/>
        <w:snapToGrid w:val="0"/>
        <w:spacing w:line="286" w:lineRule="auto"/>
        <w:rPr>
          <w:sz w:val="18"/>
          <w:szCs w:val="18"/>
          <w:highlight w:val="none"/>
        </w:rPr>
      </w:pPr>
      <w:r>
        <w:rPr>
          <w:rFonts w:hint="eastAsia"/>
          <w:sz w:val="18"/>
          <w:szCs w:val="18"/>
          <w:highlight w:val="none"/>
        </w:rPr>
        <w:t>3）法律法规规定或监管机构认定的其他情形。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highlight w:val="none"/>
        </w:rPr>
      </w:pPr>
      <w:r>
        <w:rPr>
          <w:rFonts w:hint="eastAsia"/>
          <w:sz w:val="18"/>
          <w:szCs w:val="18"/>
          <w:highlight w:val="none"/>
        </w:rPr>
        <w:t>4、终止（包括到期终止、提前终止、延期终止）</w:t>
      </w:r>
    </w:p>
    <w:p>
      <w:pPr>
        <w:adjustRightInd w:val="0"/>
        <w:snapToGrid w:val="0"/>
        <w:spacing w:line="286" w:lineRule="auto"/>
        <w:rPr>
          <w:sz w:val="18"/>
          <w:szCs w:val="18"/>
          <w:highlight w:val="none"/>
        </w:rPr>
      </w:pPr>
      <w:r>
        <w:rPr>
          <w:rFonts w:hint="eastAsia"/>
          <w:sz w:val="18"/>
          <w:szCs w:val="18"/>
          <w:highlight w:val="none"/>
        </w:rPr>
        <w:t>本产品预计到期终止日为</w:t>
      </w:r>
      <w:r>
        <w:rPr>
          <w:rFonts w:hint="eastAsia"/>
          <w:color w:val="000000"/>
          <w:sz w:val="18"/>
        </w:rPr>
        <w:t>2027年10月18日</w:t>
      </w:r>
      <w:r>
        <w:rPr>
          <w:rFonts w:hint="eastAsia"/>
          <w:sz w:val="18"/>
          <w:highlight w:val="none"/>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highlight w:val="none"/>
        </w:rPr>
      </w:pPr>
      <w:r>
        <w:rPr>
          <w:rFonts w:hint="eastAsia"/>
          <w:sz w:val="18"/>
          <w:szCs w:val="18"/>
          <w:highlight w:val="none"/>
        </w:rPr>
        <w:t>5、相关费用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w:t>
      </w:r>
      <w:r>
        <w:rPr>
          <w:rFonts w:hint="eastAsia"/>
          <w:sz w:val="18"/>
          <w:szCs w:val="18"/>
          <w:highlight w:val="none"/>
          <w:lang w:eastAsia="zh-CN"/>
        </w:rPr>
        <w:t>0.6</w:t>
      </w:r>
      <w:r>
        <w:rPr>
          <w:rFonts w:hint="eastAsia"/>
          <w:sz w:val="18"/>
          <w:szCs w:val="18"/>
          <w:highlight w:val="none"/>
        </w:rPr>
        <w:t>%（最高），计算方法如下：</w:t>
      </w:r>
    </w:p>
    <w:p>
      <w:pPr>
        <w:adjustRightInd w:val="0"/>
        <w:snapToGrid w:val="0"/>
        <w:spacing w:line="288" w:lineRule="auto"/>
        <w:rPr>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固定管理费原则上按日计提，逐日累计至到期日从理财计划财产中扣除。</w:t>
      </w:r>
    </w:p>
    <w:p>
      <w:pPr>
        <w:adjustRightInd w:val="0"/>
        <w:snapToGrid w:val="0"/>
        <w:spacing w:line="286" w:lineRule="auto"/>
        <w:rPr>
          <w:sz w:val="18"/>
          <w:szCs w:val="18"/>
          <w:highlight w:val="none"/>
        </w:rPr>
      </w:pPr>
      <w:r>
        <w:rPr>
          <w:rFonts w:hint="eastAsia"/>
          <w:sz w:val="18"/>
          <w:szCs w:val="18"/>
          <w:highlight w:val="none"/>
        </w:rPr>
        <w:t>（2）理财托管人的托管费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理财计划财产的年托管费率为0.005%，计算方法如下：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第一日托管费为第一日委托资产本金×托管费率÷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托管费原则上按日计提，逐日累计至到期日从理财计划财产中扣除。</w:t>
      </w:r>
    </w:p>
    <w:p>
      <w:pPr>
        <w:adjustRightInd w:val="0"/>
        <w:snapToGrid w:val="0"/>
        <w:spacing w:line="286" w:lineRule="auto"/>
        <w:rPr>
          <w:sz w:val="18"/>
          <w:szCs w:val="18"/>
          <w:highlight w:val="none"/>
        </w:rPr>
      </w:pPr>
      <w:r>
        <w:rPr>
          <w:rFonts w:hint="eastAsia"/>
          <w:sz w:val="18"/>
          <w:szCs w:val="18"/>
          <w:highlight w:val="none"/>
        </w:rPr>
        <w:t>（3）浮动管理费</w:t>
      </w:r>
    </w:p>
    <w:p>
      <w:pPr>
        <w:adjustRightInd w:val="0"/>
        <w:snapToGrid w:val="0"/>
        <w:spacing w:line="286" w:lineRule="auto"/>
        <w:rPr>
          <w:sz w:val="18"/>
          <w:szCs w:val="18"/>
          <w:highlight w:val="none"/>
        </w:rPr>
      </w:pPr>
      <w:r>
        <w:rPr>
          <w:rFonts w:hint="eastAsia"/>
          <w:sz w:val="18"/>
          <w:szCs w:val="18"/>
          <w:highlight w:val="none"/>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highlight w:val="none"/>
        </w:rPr>
        <w:t>0</w:t>
      </w:r>
      <w:r>
        <w:rPr>
          <w:rFonts w:hint="eastAsia"/>
          <w:sz w:val="18"/>
          <w:szCs w:val="18"/>
          <w:highlight w:val="none"/>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highlight w:val="none"/>
        </w:rPr>
      </w:pPr>
      <w:r>
        <w:rPr>
          <w:rFonts w:hint="eastAsia"/>
          <w:sz w:val="18"/>
          <w:szCs w:val="18"/>
          <w:highlight w:val="none"/>
        </w:rPr>
        <w:t>6、投资者所得收益</w:t>
      </w:r>
    </w:p>
    <w:p>
      <w:pPr>
        <w:adjustRightInd w:val="0"/>
        <w:snapToGrid w:val="0"/>
        <w:spacing w:line="286" w:lineRule="auto"/>
        <w:rPr>
          <w:sz w:val="18"/>
          <w:szCs w:val="18"/>
          <w:highlight w:val="none"/>
        </w:rPr>
      </w:pPr>
      <w:r>
        <w:rPr>
          <w:rFonts w:hint="eastAsia"/>
          <w:sz w:val="18"/>
          <w:szCs w:val="18"/>
          <w:highlight w:val="none"/>
        </w:rPr>
        <w:t>（1）本理财产品到期日（提前/延期终止日）</w:t>
      </w:r>
      <w:r>
        <w:rPr>
          <w:rFonts w:hint="eastAsia"/>
          <w:sz w:val="18"/>
          <w:szCs w:val="18"/>
          <w:highlight w:val="none"/>
          <w:lang w:val="en-US" w:eastAsia="zh-CN"/>
        </w:rPr>
        <w:t>投资者理财收益</w:t>
      </w:r>
      <w:r>
        <w:rPr>
          <w:rFonts w:hint="eastAsia"/>
          <w:sz w:val="18"/>
          <w:szCs w:val="18"/>
          <w:highlight w:val="none"/>
        </w:rPr>
        <w:t>计算公式</w:t>
      </w:r>
    </w:p>
    <w:p>
      <w:pPr>
        <w:adjustRightInd w:val="0"/>
        <w:snapToGrid w:val="0"/>
        <w:spacing w:line="286" w:lineRule="auto"/>
        <w:rPr>
          <w:sz w:val="18"/>
          <w:szCs w:val="18"/>
          <w:highlight w:val="none"/>
        </w:rPr>
      </w:pPr>
      <w:r>
        <w:rPr>
          <w:rFonts w:hint="eastAsia"/>
          <w:sz w:val="18"/>
          <w:szCs w:val="18"/>
          <w:highlight w:val="none"/>
        </w:rPr>
        <w:t>投资者理财收益＝认购份额×到期日（提前/延期终止日）理财产品单位净值（扣除浮动管理费后）—认购金额。</w:t>
      </w:r>
    </w:p>
    <w:p>
      <w:pPr>
        <w:adjustRightInd w:val="0"/>
        <w:snapToGrid w:val="0"/>
        <w:spacing w:line="286" w:lineRule="auto"/>
        <w:rPr>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w:t>
      </w:r>
      <w:r>
        <w:rPr>
          <w:rFonts w:hint="eastAsia"/>
          <w:sz w:val="18"/>
          <w:szCs w:val="18"/>
          <w:lang w:val="en-US" w:eastAsia="zh-CN"/>
        </w:rPr>
        <w:t>405</w:t>
      </w:r>
      <w:r>
        <w:rPr>
          <w:rFonts w:hint="eastAsia"/>
          <w:sz w:val="18"/>
          <w:szCs w:val="18"/>
        </w:rPr>
        <w:t>天。假设产品业绩比较基准为2.4%。到期时扣除托管费、销售服务费、固定管理费及其他费用（如有）后，如产品净值为1.028，此时， (1.028/1.00-1)×365/</w:t>
      </w:r>
      <w:r>
        <w:rPr>
          <w:rFonts w:hint="eastAsia"/>
          <w:sz w:val="18"/>
          <w:szCs w:val="18"/>
          <w:lang w:val="en-US" w:eastAsia="zh-CN"/>
        </w:rPr>
        <w:t>405</w:t>
      </w:r>
      <w:r>
        <w:rPr>
          <w:rFonts w:hint="eastAsia"/>
          <w:sz w:val="18"/>
          <w:szCs w:val="18"/>
        </w:rPr>
        <w:t>=2.5</w:t>
      </w:r>
      <w:r>
        <w:rPr>
          <w:rFonts w:hint="eastAsia"/>
          <w:sz w:val="18"/>
          <w:szCs w:val="18"/>
          <w:lang w:val="en-US" w:eastAsia="zh-CN"/>
        </w:rPr>
        <w:t>2</w:t>
      </w:r>
      <w:r>
        <w:rPr>
          <w:rFonts w:hint="eastAsia"/>
          <w:sz w:val="18"/>
          <w:szCs w:val="18"/>
        </w:rPr>
        <w:t>%&gt;2.4%，即投资收益超越业绩比较基准，则投资管理人对超过业绩比较基准部分收益收取浮动管理费，浮动管理费为：1,000,000.00×[1.028-1.00×(1+2.4%×</w:t>
      </w:r>
      <w:r>
        <w:rPr>
          <w:rFonts w:hint="eastAsia"/>
          <w:sz w:val="18"/>
          <w:szCs w:val="18"/>
          <w:lang w:val="en-US" w:eastAsia="zh-CN"/>
        </w:rPr>
        <w:t>405</w:t>
      </w:r>
      <w:r>
        <w:rPr>
          <w:rFonts w:hint="eastAsia"/>
          <w:sz w:val="18"/>
          <w:szCs w:val="18"/>
        </w:rPr>
        <w:t>/365)]×80%=</w:t>
      </w:r>
      <w:r>
        <w:rPr>
          <w:rFonts w:hint="eastAsia"/>
          <w:sz w:val="18"/>
          <w:szCs w:val="18"/>
          <w:lang w:val="en-US" w:eastAsia="zh-CN"/>
        </w:rPr>
        <w:t>1095.89</w:t>
      </w:r>
      <w:r>
        <w:rPr>
          <w:rFonts w:hint="eastAsia"/>
          <w:sz w:val="18"/>
          <w:szCs w:val="18"/>
        </w:rPr>
        <w:t>（元）。扣除浮动管理费后，客户最终收益为：1,000,000.00×（1.028-1.00）-</w:t>
      </w:r>
      <w:r>
        <w:rPr>
          <w:rFonts w:hint="eastAsia"/>
          <w:sz w:val="18"/>
          <w:szCs w:val="18"/>
          <w:lang w:val="en-US" w:eastAsia="zh-CN"/>
        </w:rPr>
        <w:t>1095.89</w:t>
      </w:r>
      <w:r>
        <w:rPr>
          <w:rFonts w:hint="eastAsia"/>
          <w:sz w:val="18"/>
          <w:szCs w:val="18"/>
        </w:rPr>
        <w:t>=2</w:t>
      </w:r>
      <w:r>
        <w:rPr>
          <w:rFonts w:hint="eastAsia"/>
          <w:sz w:val="18"/>
          <w:szCs w:val="18"/>
          <w:lang w:val="en-US" w:eastAsia="zh-CN"/>
        </w:rPr>
        <w:t>6904.11</w:t>
      </w:r>
      <w:r>
        <w:rPr>
          <w:rFonts w:hint="eastAsia"/>
          <w:sz w:val="18"/>
          <w:szCs w:val="18"/>
        </w:rPr>
        <w:t>（元），产品到期时，客户获得的实际收益相当于达到年化收益率水平为：2</w:t>
      </w:r>
      <w:r>
        <w:rPr>
          <w:rFonts w:hint="eastAsia"/>
          <w:sz w:val="18"/>
          <w:szCs w:val="18"/>
          <w:lang w:val="en-US" w:eastAsia="zh-CN"/>
        </w:rPr>
        <w:t>6904.11</w:t>
      </w:r>
      <w:r>
        <w:rPr>
          <w:rFonts w:hint="eastAsia"/>
          <w:sz w:val="18"/>
          <w:szCs w:val="18"/>
        </w:rPr>
        <w:t>/1,000,000.00×365/</w:t>
      </w:r>
      <w:r>
        <w:rPr>
          <w:rFonts w:hint="eastAsia"/>
          <w:sz w:val="18"/>
          <w:szCs w:val="18"/>
          <w:lang w:val="en-US" w:eastAsia="zh-CN"/>
        </w:rPr>
        <w:t>405</w:t>
      </w:r>
      <w:r>
        <w:rPr>
          <w:rFonts w:hint="eastAsia"/>
          <w:sz w:val="18"/>
          <w:szCs w:val="18"/>
        </w:rPr>
        <w:t>=2.4</w:t>
      </w:r>
      <w:r>
        <w:rPr>
          <w:rFonts w:hint="eastAsia"/>
          <w:sz w:val="18"/>
          <w:szCs w:val="18"/>
          <w:lang w:val="en-US" w:eastAsia="zh-CN"/>
        </w:rPr>
        <w:t>2</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w:t>
      </w:r>
      <w:r>
        <w:rPr>
          <w:rFonts w:hint="eastAsia"/>
          <w:sz w:val="18"/>
          <w:szCs w:val="18"/>
          <w:lang w:val="en-US" w:eastAsia="zh-CN"/>
        </w:rPr>
        <w:t>405</w:t>
      </w:r>
      <w:r>
        <w:rPr>
          <w:rFonts w:hint="eastAsia"/>
          <w:sz w:val="18"/>
          <w:szCs w:val="18"/>
        </w:rPr>
        <w:t>天。假设产品业绩比较基准为2.4%。到期时扣除托管费、销售服务费、固定管理费及其他费用（如有）后，如产品净值为1.025，此时，(1.025/1.00-1)×365/</w:t>
      </w:r>
      <w:r>
        <w:rPr>
          <w:rFonts w:hint="eastAsia"/>
          <w:sz w:val="18"/>
          <w:szCs w:val="18"/>
          <w:lang w:val="en-US" w:eastAsia="zh-CN"/>
        </w:rPr>
        <w:t>405</w:t>
      </w:r>
      <w:r>
        <w:rPr>
          <w:rFonts w:hint="eastAsia"/>
          <w:sz w:val="18"/>
          <w:szCs w:val="18"/>
        </w:rPr>
        <w:t>=2.2</w:t>
      </w:r>
      <w:r>
        <w:rPr>
          <w:rFonts w:hint="eastAsia"/>
          <w:sz w:val="18"/>
          <w:szCs w:val="18"/>
          <w:lang w:val="en-US" w:eastAsia="zh-CN"/>
        </w:rPr>
        <w:t>5</w:t>
      </w:r>
      <w:r>
        <w:rPr>
          <w:rFonts w:hint="eastAsia"/>
          <w:sz w:val="18"/>
          <w:szCs w:val="18"/>
        </w:rPr>
        <w:t>%&lt;2.4%，即投资收益未达到业绩比较基准，则投资管理人不收取浮动管理费，客户最终收益为：1,000,000.00×(1.025-1.00）=25000（元）。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rFonts w:hint="eastAsia" w:eastAsia="宋体"/>
          <w:sz w:val="18"/>
          <w:szCs w:val="18"/>
          <w:highlight w:val="none"/>
          <w:lang w:eastAsia="zh-CN"/>
        </w:rPr>
      </w:pPr>
      <w:r>
        <w:rPr>
          <w:rFonts w:hint="eastAsia"/>
          <w:sz w:val="18"/>
          <w:szCs w:val="18"/>
        </w:rPr>
        <w:t>以某客户投资100万元为例，购买时产品净值为1.00元，折算份额为1,000,000.00份，理财期限为</w:t>
      </w:r>
      <w:r>
        <w:rPr>
          <w:rFonts w:hint="eastAsia"/>
          <w:sz w:val="18"/>
          <w:szCs w:val="18"/>
          <w:lang w:val="en-US" w:eastAsia="zh-CN"/>
        </w:rPr>
        <w:t>405</w:t>
      </w:r>
      <w:r>
        <w:rPr>
          <w:rFonts w:hint="eastAsia"/>
          <w:sz w:val="18"/>
          <w:szCs w:val="18"/>
        </w:rPr>
        <w:t>天。假设产品业绩比较基准为2.4%，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highlight w:val="none"/>
        </w:rPr>
      </w:pPr>
      <w:r>
        <w:rPr>
          <w:rFonts w:hint="eastAsia"/>
          <w:sz w:val="18"/>
          <w:szCs w:val="18"/>
          <w:highlight w:val="none"/>
        </w:rPr>
        <w:t>7、本金及理财收益风险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hint="eastAsia" w:ascii="宋体" w:hAnsi="宋体"/>
          <w:sz w:val="18"/>
          <w:szCs w:val="18"/>
          <w:highlight w:val="none"/>
        </w:rPr>
        <w:t>市场</w:t>
      </w:r>
      <w:r>
        <w:rPr>
          <w:rFonts w:ascii="宋体" w:hAnsi="宋体"/>
          <w:sz w:val="18"/>
          <w:szCs w:val="18"/>
          <w:highlight w:val="none"/>
        </w:rPr>
        <w:t>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8、理财计划提前</w:t>
      </w:r>
      <w:r>
        <w:rPr>
          <w:rFonts w:hint="eastAsia"/>
          <w:sz w:val="18"/>
          <w:szCs w:val="18"/>
          <w:highlight w:val="none"/>
          <w:lang w:val="en-US" w:eastAsia="zh-CN"/>
        </w:rPr>
        <w:t>/延期</w:t>
      </w:r>
      <w:r>
        <w:rPr>
          <w:rFonts w:hint="eastAsia"/>
          <w:sz w:val="18"/>
          <w:szCs w:val="18"/>
          <w:highlight w:val="none"/>
        </w:rPr>
        <w:t>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w:t>
      </w:r>
      <w:r>
        <w:rPr>
          <w:rFonts w:hint="eastAsia"/>
          <w:sz w:val="18"/>
          <w:szCs w:val="18"/>
          <w:highlight w:val="none"/>
          <w:lang w:val="en-US" w:eastAsia="zh-CN"/>
        </w:rPr>
        <w:t>/延期</w:t>
      </w:r>
      <w:r>
        <w:rPr>
          <w:rFonts w:hint="eastAsia"/>
          <w:sz w:val="18"/>
          <w:szCs w:val="18"/>
          <w:highlight w:val="none"/>
        </w:rPr>
        <w:t>终止理财计划，此时投资者的理财收益仍按照上述“投资者所得收益”条款中的计算公式计算。</w:t>
      </w:r>
    </w:p>
    <w:p>
      <w:pPr>
        <w:adjustRightInd w:val="0"/>
        <w:snapToGrid w:val="0"/>
        <w:spacing w:line="286" w:lineRule="auto"/>
        <w:rPr>
          <w:rFonts w:hint="eastAsia"/>
          <w:b/>
          <w:sz w:val="18"/>
          <w:szCs w:val="18"/>
          <w:highlight w:val="none"/>
        </w:rPr>
      </w:pPr>
      <w:r>
        <w:rPr>
          <w:rFonts w:hint="eastAsia"/>
          <w:b/>
          <w:sz w:val="18"/>
          <w:szCs w:val="18"/>
          <w:highlight w:val="none"/>
        </w:rPr>
        <w:t>理财计划收益分配</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rPr>
        <w:t>1、收益的构成</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rPr>
        <w:t>本理财计划的收益包括：投资债券、货币工具根据等监管机构认可的相关资产或资产组合所产生的利息收入、买卖证券差价收入、银行存款利息以及已实现的其他合法收入。本理财计划可分配收益为扣除各项税费、产品相关费用后的净收益。该收益的构成不代表投资者一定可以获得收益。</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rPr>
        <w:t>2、收益分配的原则</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rPr>
        <w:t>（1）同一类别的每一产品份额享有同等分配权。</w:t>
      </w:r>
    </w:p>
    <w:p>
      <w:pPr>
        <w:adjustRightInd w:val="0"/>
        <w:snapToGrid w:val="0"/>
        <w:spacing w:line="286" w:lineRule="auto"/>
        <w:rPr>
          <w:rFonts w:hint="eastAsia"/>
          <w:sz w:val="18"/>
          <w:szCs w:val="18"/>
          <w:highlight w:val="none"/>
          <w:lang w:val="en-US" w:eastAsia="zh-CN"/>
        </w:rPr>
      </w:pPr>
      <w:r>
        <w:rPr>
          <w:rFonts w:hint="eastAsia"/>
          <w:sz w:val="18"/>
          <w:szCs w:val="18"/>
          <w:highlight w:val="none"/>
        </w:rPr>
        <w:t>（</w:t>
      </w:r>
      <w:r>
        <w:rPr>
          <w:rFonts w:hint="eastAsia"/>
          <w:sz w:val="18"/>
          <w:szCs w:val="18"/>
          <w:highlight w:val="none"/>
          <w:lang w:eastAsia="zh-CN"/>
        </w:rPr>
        <w:t>2</w:t>
      </w:r>
      <w:r>
        <w:rPr>
          <w:rFonts w:hint="eastAsia"/>
          <w:sz w:val="18"/>
          <w:szCs w:val="18"/>
          <w:highlight w:val="none"/>
        </w:rPr>
        <w:t>）</w:t>
      </w:r>
      <w:r>
        <w:rPr>
          <w:rFonts w:hint="eastAsia"/>
          <w:sz w:val="18"/>
          <w:szCs w:val="18"/>
          <w:highlight w:val="none"/>
          <w:lang w:val="en-US" w:eastAsia="zh-CN"/>
        </w:rPr>
        <w:t>根据分配时点，理财收益分为期间分配和终止分配。</w:t>
      </w:r>
    </w:p>
    <w:p>
      <w:pPr>
        <w:adjustRightInd w:val="0"/>
        <w:snapToGrid w:val="0"/>
        <w:spacing w:line="286" w:lineRule="auto"/>
        <w:rPr>
          <w:rFonts w:hint="eastAsia"/>
          <w:b w:val="0"/>
          <w:bCs/>
          <w:sz w:val="18"/>
          <w:szCs w:val="18"/>
          <w:highlight w:val="none"/>
        </w:rPr>
      </w:pPr>
      <w:r>
        <w:rPr>
          <w:rFonts w:hint="eastAsia"/>
          <w:b w:val="0"/>
          <w:bCs/>
          <w:sz w:val="18"/>
          <w:szCs w:val="18"/>
          <w:highlight w:val="none"/>
          <w:lang w:val="en-US" w:eastAsia="zh-CN"/>
        </w:rPr>
        <w:t>1）期间分配：在理财产品存续期内，产品管理人有权视理财产品收益情况进行主动分配。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2）终止分配：在理财计划终止时，产品管理人按照本理财计划产品说明书约定计算投资者收益后进行分配。</w:t>
      </w:r>
    </w:p>
    <w:p>
      <w:pPr>
        <w:numPr>
          <w:ilvl w:val="-1"/>
          <w:numId w:val="0"/>
        </w:num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（3）本理财计划收益分配方式为现金分配。</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lang w:val="en-US" w:eastAsia="zh-CN"/>
        </w:rPr>
        <w:t>（4）</w:t>
      </w:r>
      <w:r>
        <w:rPr>
          <w:rFonts w:hint="eastAsia"/>
          <w:sz w:val="18"/>
          <w:szCs w:val="18"/>
          <w:highlight w:val="none"/>
        </w:rPr>
        <w:t>投资者持有本理财计划期间，温州银行不承诺保证本金安全且不保证理财收益，投资者应得收益（如有）随投资盈亏水平浮动。</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rPr>
        <w:t>3、收益分配方案的确定与披露</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rPr>
        <w:t>本理财计划收益分配方案由产品管理人拟定，至少在分配日前1个工作日进行公告，理财计划产品说明书对收益分配方案已有约定的除外。</w:t>
      </w:r>
    </w:p>
    <w:p>
      <w:pPr>
        <w:numPr>
          <w:ilvl w:val="-1"/>
          <w:numId w:val="0"/>
        </w:numPr>
        <w:adjustRightInd w:val="0"/>
        <w:snapToGrid w:val="0"/>
        <w:spacing w:line="286" w:lineRule="auto"/>
        <w:rPr>
          <w:sz w:val="18"/>
          <w:szCs w:val="18"/>
          <w:highlight w:val="none"/>
        </w:rPr>
      </w:pPr>
      <w:r>
        <w:rPr>
          <w:rFonts w:hint="eastAsia"/>
          <w:b/>
          <w:bCs/>
          <w:sz w:val="18"/>
          <w:szCs w:val="18"/>
          <w:highlight w:val="none"/>
          <w:lang w:val="en-US" w:eastAsia="zh-CN"/>
        </w:rPr>
        <w:t>理财终止清算</w:t>
      </w:r>
    </w:p>
    <w:p>
      <w:pPr>
        <w:numPr>
          <w:ilvl w:val="-1"/>
          <w:numId w:val="0"/>
        </w:num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理财计划终止时，</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温州银行在到期日后</w:t>
      </w:r>
      <w:r>
        <w:rPr>
          <w:sz w:val="18"/>
          <w:szCs w:val="18"/>
          <w:highlight w:val="none"/>
        </w:rPr>
        <w:t>1</w:t>
      </w:r>
      <w:r>
        <w:rPr>
          <w:rFonts w:hint="eastAsia"/>
          <w:sz w:val="18"/>
          <w:szCs w:val="18"/>
          <w:highlight w:val="none"/>
        </w:rPr>
        <w:t>个工作日内对理财计划进行清算，并向托管人出具清算指令，托管人收到清算指令后将理财本金及理财收益划转至温州银行。温州银行在收到理财本金及理财收益后</w:t>
      </w:r>
      <w:r>
        <w:rPr>
          <w:sz w:val="18"/>
          <w:szCs w:val="18"/>
          <w:highlight w:val="none"/>
        </w:rPr>
        <w:t>1</w:t>
      </w:r>
      <w:r>
        <w:rPr>
          <w:rFonts w:hint="eastAsia"/>
          <w:sz w:val="18"/>
          <w:szCs w:val="18"/>
          <w:highlight w:val="none"/>
        </w:rPr>
        <w:t>个工作日内将投资者理财本金和应得收益划转至投资者指定资金账户。（上述自到期日到投资者收到理财本金和应得收益的过程一般情况下在</w:t>
      </w:r>
      <w:r>
        <w:rPr>
          <w:sz w:val="18"/>
          <w:szCs w:val="18"/>
          <w:highlight w:val="none"/>
        </w:rPr>
        <w:t>3</w:t>
      </w:r>
      <w:r>
        <w:rPr>
          <w:rFonts w:hint="eastAsia"/>
          <w:sz w:val="18"/>
          <w:szCs w:val="18"/>
          <w:highlight w:val="none"/>
        </w:rPr>
        <w:t>个工作日之内。）</w:t>
      </w:r>
    </w:p>
    <w:p>
      <w:pPr>
        <w:numPr>
          <w:ilvl w:val="-1"/>
          <w:numId w:val="0"/>
        </w:numPr>
        <w:adjustRightInd w:val="0"/>
        <w:snapToGrid w:val="0"/>
        <w:spacing w:line="286" w:lineRule="auto"/>
        <w:rPr>
          <w:sz w:val="18"/>
          <w:szCs w:val="18"/>
          <w:highlight w:val="none"/>
        </w:rPr>
      </w:pPr>
      <w:r>
        <w:rPr>
          <w:rFonts w:hint="eastAsia"/>
          <w:sz w:val="18"/>
          <w:szCs w:val="18"/>
          <w:highlight w:val="none"/>
          <w:lang w:val="en-US" w:eastAsia="zh-CN"/>
        </w:rPr>
        <w:t>2、</w:t>
      </w:r>
      <w:r>
        <w:rPr>
          <w:rFonts w:hint="eastAsia"/>
          <w:sz w:val="18"/>
          <w:szCs w:val="18"/>
          <w:highlight w:val="none"/>
        </w:rPr>
        <w:t>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numPr>
          <w:ilvl w:val="-1"/>
          <w:numId w:val="0"/>
        </w:numPr>
        <w:adjustRightInd w:val="0"/>
        <w:snapToGrid w:val="0"/>
        <w:spacing w:line="286" w:lineRule="auto"/>
        <w:rPr>
          <w:sz w:val="18"/>
          <w:szCs w:val="18"/>
          <w:highlight w:val="none"/>
        </w:rPr>
      </w:pPr>
      <w:r>
        <w:rPr>
          <w:rFonts w:hint="eastAsia"/>
          <w:sz w:val="18"/>
          <w:szCs w:val="18"/>
          <w:highlight w:val="none"/>
          <w:lang w:val="en-US" w:eastAsia="zh-CN"/>
        </w:rPr>
        <w:t>3、</w:t>
      </w:r>
      <w:r>
        <w:rPr>
          <w:rFonts w:hint="eastAsia"/>
          <w:sz w:val="18"/>
          <w:szCs w:val="18"/>
          <w:highlight w:val="none"/>
        </w:rPr>
        <w:t>如果温州银行提前终止理财计划，理财到期日也相应提前到理财计划实际终止日。</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w:t>
      </w:r>
      <w:r>
        <w:rPr>
          <w:rFonts w:hint="eastAsia"/>
          <w:sz w:val="18"/>
          <w:szCs w:val="18"/>
          <w:highlight w:val="none"/>
          <w:lang w:val="en-US" w:eastAsia="zh-CN"/>
        </w:rPr>
        <w:t>净值型</w:t>
      </w:r>
      <w:r>
        <w:rPr>
          <w:rFonts w:hint="eastAsia"/>
          <w:sz w:val="18"/>
          <w:szCs w:val="18"/>
          <w:highlight w:val="none"/>
        </w:rPr>
        <w:t>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highlight w:val="none"/>
          <w:u w:val="single"/>
        </w:rPr>
        <w:t>本理财计划在存续期内投资者不得提前赎回</w:t>
      </w:r>
      <w:r>
        <w:rPr>
          <w:rFonts w:hint="eastAsia"/>
          <w:sz w:val="18"/>
          <w:szCs w:val="18"/>
          <w:highlight w:val="none"/>
        </w:rPr>
        <w:t>，可能影响投资者的资金安排，带来流动性风险。</w:t>
      </w:r>
    </w:p>
    <w:p>
      <w:pPr>
        <w:adjustRightInd w:val="0"/>
        <w:snapToGrid w:val="0"/>
        <w:spacing w:line="286" w:lineRule="auto"/>
        <w:rPr>
          <w:sz w:val="18"/>
          <w:szCs w:val="18"/>
          <w:highlight w:val="none"/>
        </w:rPr>
      </w:pPr>
      <w:r>
        <w:rPr>
          <w:sz w:val="18"/>
          <w:szCs w:val="18"/>
          <w:highlight w:val="none"/>
        </w:rPr>
        <w:t>5</w:t>
      </w:r>
      <w:r>
        <w:rPr>
          <w:rFonts w:hint="eastAsia"/>
          <w:sz w:val="18"/>
          <w:szCs w:val="18"/>
          <w:highlight w:val="none"/>
        </w:rPr>
        <w:t>、市场风险：</w:t>
      </w:r>
      <w:r>
        <w:rPr>
          <w:sz w:val="18"/>
          <w:szCs w:val="18"/>
          <w:highlight w:val="none"/>
        </w:rPr>
        <w:t>指由于债券市场</w:t>
      </w:r>
      <w:r>
        <w:rPr>
          <w:rFonts w:hint="eastAsia"/>
          <w:sz w:val="18"/>
          <w:szCs w:val="18"/>
          <w:highlight w:val="none"/>
        </w:rPr>
        <w:t>或资本市场</w:t>
      </w:r>
      <w:r>
        <w:rPr>
          <w:sz w:val="18"/>
          <w:szCs w:val="18"/>
          <w:highlight w:val="none"/>
        </w:rPr>
        <w:t>变化或波动所引起的资产损失的可能性。宏观经济运行的周期性，财政政策、货币政策等国家政策的变动，以及政府对证券市场的监管政策的变化等因素都会对</w:t>
      </w:r>
      <w:r>
        <w:rPr>
          <w:rFonts w:hint="eastAsia"/>
          <w:sz w:val="18"/>
          <w:szCs w:val="18"/>
          <w:highlight w:val="none"/>
        </w:rPr>
        <w:t>证券市场</w:t>
      </w:r>
      <w:r>
        <w:rPr>
          <w:sz w:val="18"/>
          <w:szCs w:val="18"/>
          <w:highlight w:val="none"/>
        </w:rPr>
        <w:t>造成不同程度的影响，从而产生市场风险。</w:t>
      </w:r>
      <w:r>
        <w:rPr>
          <w:rFonts w:hint="eastAsia"/>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highlight w:val="none"/>
        </w:rPr>
      </w:pPr>
      <w:r>
        <w:rPr>
          <w:rFonts w:hint="eastAsia"/>
          <w:sz w:val="18"/>
          <w:szCs w:val="18"/>
          <w:highlight w:val="none"/>
        </w:rPr>
        <w:t>6、延期风险</w:t>
      </w:r>
      <w:r>
        <w:rPr>
          <w:rFonts w:hint="eastAsia" w:ascii="宋体" w:hAnsi="宋体"/>
          <w:sz w:val="18"/>
          <w:szCs w:val="18"/>
          <w:highlight w:val="none"/>
        </w:rPr>
        <w:t>：如因理财计划所投资的标的资产因信用风险、市场风险等原因造成理财计划不能按时兑付，理财期限将相应延长。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6"/>
        <w:adjustRightInd w:val="0"/>
        <w:snapToGrid w:val="0"/>
        <w:spacing w:line="286" w:lineRule="auto"/>
        <w:ind w:firstLine="0"/>
        <w:rPr>
          <w:rFonts w:ascii="宋体" w:hAnsi="宋体"/>
          <w:sz w:val="18"/>
          <w:szCs w:val="18"/>
          <w:highlight w:val="none"/>
        </w:rPr>
      </w:pPr>
      <w:r>
        <w:rPr>
          <w:rFonts w:hint="eastAsia" w:ascii="宋体" w:hAnsi="宋体"/>
          <w:sz w:val="18"/>
          <w:szCs w:val="18"/>
          <w:highlight w:val="none"/>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6"/>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sz w:val="18"/>
          <w:szCs w:val="18"/>
          <w:highlight w:val="none"/>
        </w:rPr>
      </w:pPr>
      <w:r>
        <w:rPr>
          <w:rFonts w:hint="eastAsia"/>
          <w:sz w:val="18"/>
          <w:szCs w:val="18"/>
          <w:highlight w:val="none"/>
        </w:rPr>
        <w:t>温州银行将在每个季度结束之日起15个工作日内披露理财产品的季度报告，每年8月31日前披露产品的半年度报告，每年4月30日前披露产品上一年度的年度报告。理财产品成立不足90个自然日的，可以不编制当期的季度、半年和年度报告。产品期限超过90个自然日的理财产品应当在存续期内至少披露一次定期报告。理财产品剩余存续期不足完整报告期，且到期公告或清算报告包括对应定期报告内容的，可以不编制剩余存续期所对应的季度、半年和年度报告。封闭式产品至少每周披露一次产品的份额净值、份额累计净值和资产净值</w:t>
      </w:r>
      <w:r>
        <w:rPr>
          <w:rFonts w:hint="eastAsia"/>
          <w:sz w:val="18"/>
          <w:szCs w:val="18"/>
          <w:highlight w:val="none"/>
          <w:lang w:eastAsia="zh-CN"/>
        </w:rPr>
        <w:t>，</w:t>
      </w:r>
      <w:r>
        <w:rPr>
          <w:rFonts w:hint="eastAsia"/>
          <w:sz w:val="18"/>
          <w:szCs w:val="18"/>
          <w:highlight w:val="none"/>
          <w:lang w:val="en-US" w:eastAsia="zh-CN"/>
        </w:rPr>
        <w:t>如遇非工作日顺延</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3、临时性公告</w:t>
      </w:r>
    </w:p>
    <w:p>
      <w:pPr>
        <w:adjustRightInd w:val="0"/>
        <w:snapToGrid w:val="0"/>
        <w:spacing w:line="286" w:lineRule="auto"/>
        <w:rPr>
          <w:b/>
          <w:sz w:val="18"/>
          <w:szCs w:val="18"/>
          <w:highlight w:val="none"/>
        </w:rPr>
      </w:pPr>
      <w:r>
        <w:rPr>
          <w:rFonts w:hint="eastAsia"/>
          <w:b/>
          <w:sz w:val="18"/>
          <w:szCs w:val="18"/>
          <w:highlight w:val="none"/>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highlight w:val="none"/>
        </w:rPr>
      </w:pPr>
      <w:r>
        <w:rPr>
          <w:rFonts w:hint="eastAsia"/>
          <w:bCs/>
          <w:sz w:val="18"/>
          <w:szCs w:val="18"/>
          <w:highlight w:val="none"/>
        </w:rPr>
        <w:t>（2）管理人将在运用暂停认购、暂停理财产品估值等措施后，3个交易日内发布相关事项公告，说明运用相关措施的原因、拟采取的应对安排等。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highlight w:val="none"/>
        </w:rPr>
      </w:pPr>
      <w:r>
        <w:rPr>
          <w:rFonts w:hint="eastAsia"/>
          <w:b w:val="0"/>
          <w:bCs/>
          <w:sz w:val="18"/>
          <w:szCs w:val="18"/>
          <w:highlight w:val="none"/>
          <w:lang w:eastAsia="zh-CN"/>
        </w:rPr>
        <w:t>（</w:t>
      </w:r>
      <w:r>
        <w:rPr>
          <w:rFonts w:hint="eastAsia"/>
          <w:b w:val="0"/>
          <w:bCs/>
          <w:sz w:val="18"/>
          <w:szCs w:val="18"/>
          <w:highlight w:val="none"/>
          <w:lang w:val="en-US" w:eastAsia="zh-CN"/>
        </w:rPr>
        <w:t>3</w:t>
      </w:r>
      <w:r>
        <w:rPr>
          <w:rFonts w:hint="eastAsia"/>
          <w:b w:val="0"/>
          <w:bCs/>
          <w:sz w:val="18"/>
          <w:szCs w:val="18"/>
          <w:highlight w:val="none"/>
          <w:lang w:eastAsia="zh-CN"/>
        </w:rPr>
        <w:t>）</w:t>
      </w:r>
      <w:r>
        <w:rPr>
          <w:rFonts w:hint="eastAsia"/>
          <w:b w:val="0"/>
          <w:bCs/>
          <w:sz w:val="18"/>
          <w:szCs w:val="18"/>
          <w:highlight w:val="none"/>
          <w:lang w:val="en-US" w:eastAsia="zh-CN"/>
        </w:rPr>
        <w:t>根据法律法规、监管规定及本理财产品说明书约定需进行其他临时性信息披露的，按照相关法律法规、监管规定及本理财产品说明书约定执行。</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rFonts w:hint="eastAsia"/>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6</w:t>
      </w:r>
      <w:r>
        <w:rPr>
          <w:rFonts w:hint="eastAsia"/>
          <w:sz w:val="18"/>
          <w:szCs w:val="18"/>
          <w:highlight w:val="none"/>
        </w:rPr>
        <w:t>、理财产品账单：温州银行将在理财期内在温州银行网站（www.wzbank.cn）或电子银行等信息平台，至少按月为投资者提供理财产品账单信息。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highlight w:val="none"/>
        </w:rPr>
      </w:pPr>
      <w:r>
        <w:rPr>
          <w:rFonts w:hint="eastAsia"/>
          <w:b/>
          <w:bCs/>
          <w:sz w:val="18"/>
          <w:szCs w:val="18"/>
          <w:highlight w:val="none"/>
        </w:rPr>
        <w:t>投资者信息管理</w:t>
      </w:r>
    </w:p>
    <w:p>
      <w:pPr>
        <w:adjustRightInd w:val="0"/>
        <w:snapToGrid w:val="0"/>
        <w:spacing w:line="285" w:lineRule="auto"/>
        <w:rPr>
          <w:b/>
          <w:bCs/>
          <w:sz w:val="18"/>
          <w:szCs w:val="18"/>
          <w:highlight w:val="none"/>
        </w:rPr>
      </w:pPr>
      <w:r>
        <w:rPr>
          <w:rFonts w:hint="eastAsia"/>
          <w:b/>
          <w:bCs/>
          <w:sz w:val="18"/>
          <w:szCs w:val="18"/>
          <w:highlight w:val="none"/>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b/>
          <w:bCs/>
          <w:sz w:val="18"/>
          <w:szCs w:val="18"/>
          <w:highlight w:val="none"/>
        </w:rPr>
      </w:pPr>
      <w:r>
        <w:rPr>
          <w:rFonts w:hint="eastAsia"/>
          <w:b/>
          <w:bCs/>
          <w:sz w:val="18"/>
          <w:szCs w:val="18"/>
          <w:highlight w:val="none"/>
        </w:rPr>
        <w:t>温州银行就上述获得的投资者信息承担保密义务，非经投资者同意不得向第三方披露，但投资者知悉并同意以下情形除外：</w:t>
      </w:r>
    </w:p>
    <w:p>
      <w:pPr>
        <w:numPr>
          <w:ilvl w:val="0"/>
          <w:numId w:val="1"/>
        </w:numPr>
        <w:adjustRightInd w:val="0"/>
        <w:snapToGrid w:val="0"/>
        <w:spacing w:line="285" w:lineRule="auto"/>
        <w:rPr>
          <w:b/>
          <w:bCs/>
          <w:sz w:val="18"/>
          <w:szCs w:val="18"/>
          <w:highlight w:val="none"/>
        </w:rPr>
      </w:pPr>
      <w:r>
        <w:rPr>
          <w:rFonts w:hint="eastAsia"/>
          <w:b/>
          <w:bCs/>
          <w:sz w:val="18"/>
          <w:szCs w:val="18"/>
          <w:highlight w:val="none"/>
        </w:rPr>
        <w:t>向司法机构、监管机构、产品登记机构或审计机构提供投资者信息；</w:t>
      </w:r>
    </w:p>
    <w:p>
      <w:pPr>
        <w:numPr>
          <w:ilvl w:val="0"/>
          <w:numId w:val="1"/>
        </w:numPr>
        <w:adjustRightInd w:val="0"/>
        <w:snapToGrid w:val="0"/>
        <w:spacing w:line="285" w:lineRule="auto"/>
        <w:rPr>
          <w:b/>
          <w:bCs/>
          <w:sz w:val="18"/>
          <w:szCs w:val="18"/>
          <w:highlight w:val="none"/>
        </w:rPr>
      </w:pPr>
      <w:r>
        <w:rPr>
          <w:rFonts w:hint="eastAsia"/>
          <w:b/>
          <w:bCs/>
          <w:sz w:val="18"/>
          <w:szCs w:val="18"/>
          <w:highlight w:val="none"/>
        </w:rPr>
        <w:t>温州银行可以委托银行业理财登记托管中心有限公司或其他监管认可的平台提供数据处理服务，包括数据传输、存储、统计分析个人信息等；</w:t>
      </w:r>
    </w:p>
    <w:p>
      <w:pPr>
        <w:numPr>
          <w:ilvl w:val="0"/>
          <w:numId w:val="1"/>
        </w:numPr>
        <w:adjustRightInd w:val="0"/>
        <w:snapToGrid w:val="0"/>
        <w:spacing w:line="285" w:lineRule="auto"/>
        <w:rPr>
          <w:b/>
          <w:bCs/>
          <w:sz w:val="18"/>
          <w:szCs w:val="18"/>
          <w:highlight w:val="none"/>
        </w:rPr>
      </w:pPr>
      <w:r>
        <w:rPr>
          <w:rFonts w:hint="eastAsia"/>
          <w:b/>
          <w:bCs/>
          <w:sz w:val="18"/>
          <w:szCs w:val="18"/>
          <w:highlight w:val="none"/>
        </w:rPr>
        <w:t>温州银行基于理财产品销售及管理需要，向业务合作机构（包括但不限于代理销售机构、投资合作机构、服务机构等）提供信息；</w:t>
      </w:r>
    </w:p>
    <w:p>
      <w:pPr>
        <w:numPr>
          <w:ilvl w:val="0"/>
          <w:numId w:val="1"/>
        </w:numPr>
        <w:adjustRightInd w:val="0"/>
        <w:snapToGrid w:val="0"/>
        <w:spacing w:line="285" w:lineRule="auto"/>
        <w:rPr>
          <w:b/>
          <w:bCs/>
          <w:sz w:val="18"/>
          <w:szCs w:val="18"/>
          <w:highlight w:val="none"/>
        </w:rPr>
      </w:pPr>
      <w:r>
        <w:rPr>
          <w:rFonts w:hint="eastAsia"/>
          <w:b/>
          <w:bCs/>
          <w:sz w:val="18"/>
          <w:szCs w:val="18"/>
          <w:highlight w:val="none"/>
        </w:rPr>
        <w:t>法律、行政法规和国务院监督管理机构另有规定或允许情形。</w:t>
      </w:r>
    </w:p>
    <w:p>
      <w:pPr>
        <w:adjustRightInd w:val="0"/>
        <w:snapToGrid w:val="0"/>
        <w:spacing w:line="286" w:lineRule="auto"/>
        <w:rPr>
          <w:b/>
          <w:sz w:val="18"/>
          <w:szCs w:val="18"/>
          <w:highlight w:val="none"/>
        </w:rPr>
      </w:pPr>
      <w:r>
        <w:rPr>
          <w:rFonts w:hint="eastAsia"/>
          <w:b/>
          <w:sz w:val="18"/>
          <w:szCs w:val="18"/>
          <w:highlight w:val="none"/>
        </w:rPr>
        <w:t>产品认购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、认购手续：在产品认购期内，个人投资者请带本人身份证原件及复印件、温州银行借记卡等到银行营业网点或登录温州银行电子渠道办理。</w:t>
      </w:r>
      <w:r>
        <w:rPr>
          <w:rFonts w:hint="eastAsia" w:ascii="宋体" w:cs="宋体"/>
          <w:kern w:val="0"/>
          <w:sz w:val="18"/>
          <w:szCs w:val="18"/>
          <w:highlight w:val="none"/>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1、法律适用：理财计划合同的订立、生效、履行、修改和终止等事项适用中国内地法律。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sz w:val="18"/>
          <w:szCs w:val="18"/>
          <w:highlight w:val="none"/>
        </w:rPr>
        <w:t>（3）《温州银行“</w:t>
      </w:r>
      <w:r>
        <w:rPr>
          <w:rFonts w:hint="eastAsia"/>
          <w:sz w:val="18"/>
          <w:szCs w:val="18"/>
          <w:highlight w:val="none"/>
          <w:lang w:eastAsia="zh-CN"/>
        </w:rPr>
        <w:t>温银理财</w:t>
      </w:r>
      <w:r>
        <w:rPr>
          <w:rFonts w:hint="eastAsia"/>
          <w:sz w:val="18"/>
          <w:szCs w:val="18"/>
          <w:highlight w:val="none"/>
        </w:rPr>
        <w:t>-普惠季享”</w:t>
      </w:r>
      <w:r>
        <w:rPr>
          <w:color w:val="000000"/>
          <w:sz w:val="18"/>
          <w:szCs w:val="18"/>
          <w:highlight w:val="none"/>
        </w:rPr>
        <w:t>26031</w:t>
      </w:r>
      <w:r>
        <w:rPr>
          <w:rFonts w:hint="eastAsia"/>
          <w:sz w:val="18"/>
          <w:szCs w:val="18"/>
          <w:highlight w:val="none"/>
        </w:rPr>
        <w:t>号（稳健低波款）银行理财计划风险揭示书》、《温州银行理财计划合约》和《温州银行理财产品投资者权益须知》等销售文件中的内容与本产品说明书不一致的，以本产品说明书约定的内容为准。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highlight w:val="none"/>
        </w:rPr>
      </w:pPr>
      <w:r>
        <w:rPr>
          <w:rFonts w:hint="eastAsia" w:ascii="宋体" w:hAnsi="宋体"/>
          <w:szCs w:val="21"/>
          <w:highlight w:val="none"/>
        </w:rPr>
        <w:t xml:space="preserve">         投资者签章：                                 日期：</w:t>
      </w:r>
    </w:p>
    <w:p>
      <w:pPr>
        <w:pStyle w:val="3"/>
        <w:rPr>
          <w:rFonts w:hAnsi="宋体" w:cs="宋体"/>
          <w:highlight w:val="none"/>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skfPqkRUIETr5zuKbrh586jhIRs=" w:salt="fX0UY//P53PWcD9rEdX4qQ=="/>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67F7A"/>
    <w:rsid w:val="00497A98"/>
    <w:rsid w:val="0055724A"/>
    <w:rsid w:val="00586F94"/>
    <w:rsid w:val="005F0FFC"/>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17434"/>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4D1D6F"/>
    <w:rsid w:val="018C5462"/>
    <w:rsid w:val="01B25DFE"/>
    <w:rsid w:val="020D5912"/>
    <w:rsid w:val="035A360D"/>
    <w:rsid w:val="03C64591"/>
    <w:rsid w:val="04752421"/>
    <w:rsid w:val="04BB3044"/>
    <w:rsid w:val="05FC0197"/>
    <w:rsid w:val="06F87141"/>
    <w:rsid w:val="07425D93"/>
    <w:rsid w:val="07BB40C7"/>
    <w:rsid w:val="07C843AC"/>
    <w:rsid w:val="08D8385A"/>
    <w:rsid w:val="08EF38EC"/>
    <w:rsid w:val="09446D7E"/>
    <w:rsid w:val="098062CC"/>
    <w:rsid w:val="0A0F12B9"/>
    <w:rsid w:val="0A1675AA"/>
    <w:rsid w:val="0A887557"/>
    <w:rsid w:val="0AA36B82"/>
    <w:rsid w:val="0AB70251"/>
    <w:rsid w:val="0ABB5B86"/>
    <w:rsid w:val="0AC422DC"/>
    <w:rsid w:val="0AC90772"/>
    <w:rsid w:val="0BF132A6"/>
    <w:rsid w:val="0F6270FC"/>
    <w:rsid w:val="104F44D5"/>
    <w:rsid w:val="107F2121"/>
    <w:rsid w:val="10B17669"/>
    <w:rsid w:val="117B35A5"/>
    <w:rsid w:val="12A81C68"/>
    <w:rsid w:val="12B465CD"/>
    <w:rsid w:val="12EF58A8"/>
    <w:rsid w:val="135B1323"/>
    <w:rsid w:val="141472A9"/>
    <w:rsid w:val="14237D99"/>
    <w:rsid w:val="14F07B6A"/>
    <w:rsid w:val="17395C52"/>
    <w:rsid w:val="17CF37DD"/>
    <w:rsid w:val="17FB0939"/>
    <w:rsid w:val="18377CAF"/>
    <w:rsid w:val="18AD336C"/>
    <w:rsid w:val="191D5323"/>
    <w:rsid w:val="19E25A8D"/>
    <w:rsid w:val="1A5F6148"/>
    <w:rsid w:val="1C567043"/>
    <w:rsid w:val="1D13777C"/>
    <w:rsid w:val="1DFA3A85"/>
    <w:rsid w:val="1EBD7528"/>
    <w:rsid w:val="20DB6550"/>
    <w:rsid w:val="21751C04"/>
    <w:rsid w:val="22A04815"/>
    <w:rsid w:val="22A31981"/>
    <w:rsid w:val="22CA4EC5"/>
    <w:rsid w:val="22D525BD"/>
    <w:rsid w:val="23535C37"/>
    <w:rsid w:val="23F76394"/>
    <w:rsid w:val="244A5795"/>
    <w:rsid w:val="24C50961"/>
    <w:rsid w:val="25740E92"/>
    <w:rsid w:val="2648525A"/>
    <w:rsid w:val="26531D8B"/>
    <w:rsid w:val="268A5E41"/>
    <w:rsid w:val="275A751E"/>
    <w:rsid w:val="277A757E"/>
    <w:rsid w:val="27BD2B01"/>
    <w:rsid w:val="27DE6CFF"/>
    <w:rsid w:val="28076A45"/>
    <w:rsid w:val="285679DA"/>
    <w:rsid w:val="28C31174"/>
    <w:rsid w:val="296645C3"/>
    <w:rsid w:val="2ACF0E36"/>
    <w:rsid w:val="2AF9465D"/>
    <w:rsid w:val="2CA15A37"/>
    <w:rsid w:val="2D1D2B95"/>
    <w:rsid w:val="2EBC4B46"/>
    <w:rsid w:val="2F7E1AF7"/>
    <w:rsid w:val="2F862BC5"/>
    <w:rsid w:val="2F9646ED"/>
    <w:rsid w:val="313A7139"/>
    <w:rsid w:val="31AC46DA"/>
    <w:rsid w:val="322778BD"/>
    <w:rsid w:val="32683389"/>
    <w:rsid w:val="33134418"/>
    <w:rsid w:val="3318043A"/>
    <w:rsid w:val="34B828A9"/>
    <w:rsid w:val="36C936FE"/>
    <w:rsid w:val="37FBE007"/>
    <w:rsid w:val="392A0C82"/>
    <w:rsid w:val="39766FF2"/>
    <w:rsid w:val="3998390E"/>
    <w:rsid w:val="3A9532FB"/>
    <w:rsid w:val="3B23087F"/>
    <w:rsid w:val="3BBF210A"/>
    <w:rsid w:val="3C0741A4"/>
    <w:rsid w:val="3D150741"/>
    <w:rsid w:val="3D86300C"/>
    <w:rsid w:val="3E2566A4"/>
    <w:rsid w:val="3E32601D"/>
    <w:rsid w:val="3F7E5351"/>
    <w:rsid w:val="3FBD214F"/>
    <w:rsid w:val="4146226E"/>
    <w:rsid w:val="41691F8F"/>
    <w:rsid w:val="424649EA"/>
    <w:rsid w:val="43712A5A"/>
    <w:rsid w:val="438A31BB"/>
    <w:rsid w:val="4409550D"/>
    <w:rsid w:val="448736FC"/>
    <w:rsid w:val="457F5E93"/>
    <w:rsid w:val="45FA54E8"/>
    <w:rsid w:val="462B298E"/>
    <w:rsid w:val="489032CB"/>
    <w:rsid w:val="49292CBC"/>
    <w:rsid w:val="4CBDE6D6"/>
    <w:rsid w:val="4CCF20F0"/>
    <w:rsid w:val="4EFE40C2"/>
    <w:rsid w:val="4F6568BD"/>
    <w:rsid w:val="50366EBE"/>
    <w:rsid w:val="50856891"/>
    <w:rsid w:val="54133033"/>
    <w:rsid w:val="546F0E0A"/>
    <w:rsid w:val="56865A7D"/>
    <w:rsid w:val="56AB5155"/>
    <w:rsid w:val="57313966"/>
    <w:rsid w:val="57F910B3"/>
    <w:rsid w:val="58A26889"/>
    <w:rsid w:val="592F0A9E"/>
    <w:rsid w:val="5A6C6059"/>
    <w:rsid w:val="5AC90CB7"/>
    <w:rsid w:val="5BFD4CC1"/>
    <w:rsid w:val="5C497C75"/>
    <w:rsid w:val="5CED383B"/>
    <w:rsid w:val="5D0B2C53"/>
    <w:rsid w:val="5DD76B10"/>
    <w:rsid w:val="5DEA51A3"/>
    <w:rsid w:val="5E014390"/>
    <w:rsid w:val="5E777DB5"/>
    <w:rsid w:val="5F4A6202"/>
    <w:rsid w:val="5F751704"/>
    <w:rsid w:val="61E21802"/>
    <w:rsid w:val="623D1E92"/>
    <w:rsid w:val="627B657A"/>
    <w:rsid w:val="63F70027"/>
    <w:rsid w:val="6522045B"/>
    <w:rsid w:val="67DC31E6"/>
    <w:rsid w:val="68785140"/>
    <w:rsid w:val="693E0188"/>
    <w:rsid w:val="699C4EA7"/>
    <w:rsid w:val="6D15771F"/>
    <w:rsid w:val="6F291A04"/>
    <w:rsid w:val="6FEC4E96"/>
    <w:rsid w:val="70EB3E10"/>
    <w:rsid w:val="715C0189"/>
    <w:rsid w:val="72D942D5"/>
    <w:rsid w:val="737D56CE"/>
    <w:rsid w:val="75E218ED"/>
    <w:rsid w:val="76592994"/>
    <w:rsid w:val="76C23463"/>
    <w:rsid w:val="76CB15CB"/>
    <w:rsid w:val="77146595"/>
    <w:rsid w:val="77638161"/>
    <w:rsid w:val="77E54CEB"/>
    <w:rsid w:val="780A54E7"/>
    <w:rsid w:val="78DA64D4"/>
    <w:rsid w:val="79632EC7"/>
    <w:rsid w:val="7AFF2EFC"/>
    <w:rsid w:val="7BCF7B64"/>
    <w:rsid w:val="7BFC1ED4"/>
    <w:rsid w:val="7E4B18D2"/>
    <w:rsid w:val="7E5E7DE2"/>
    <w:rsid w:val="7F77C802"/>
    <w:rsid w:val="7FCB2A93"/>
    <w:rsid w:val="7FD9EDC6"/>
    <w:rsid w:val="7FEC6AD2"/>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1"/>
    <w:unhideWhenUsed/>
    <w:qFormat/>
    <w:uiPriority w:val="99"/>
    <w:pPr>
      <w:jc w:val="left"/>
    </w:pPr>
  </w:style>
  <w:style w:type="paragraph" w:styleId="3">
    <w:name w:val="Plain Text"/>
    <w:basedOn w:val="1"/>
    <w:link w:val="12"/>
    <w:unhideWhenUsed/>
    <w:qFormat/>
    <w:uiPriority w:val="99"/>
    <w:rPr>
      <w:rFonts w:ascii="宋体" w:hAnsi="Courier New"/>
      <w:kern w:val="0"/>
      <w:sz w:val="20"/>
      <w:szCs w:val="21"/>
    </w:rPr>
  </w:style>
  <w:style w:type="paragraph" w:styleId="4">
    <w:name w:val="Balloon Text"/>
    <w:basedOn w:val="1"/>
    <w:link w:val="13"/>
    <w:unhideWhenUsed/>
    <w:qFormat/>
    <w:uiPriority w:val="99"/>
    <w:rPr>
      <w:sz w:val="18"/>
      <w:szCs w:val="18"/>
    </w:rPr>
  </w:style>
  <w:style w:type="paragraph" w:styleId="5">
    <w:name w:val="footer"/>
    <w:basedOn w:val="1"/>
    <w:link w:val="14"/>
    <w:unhideWhenUsed/>
    <w:qFormat/>
    <w:uiPriority w:val="99"/>
    <w:pPr>
      <w:tabs>
        <w:tab w:val="center" w:pos="4153"/>
        <w:tab w:val="right" w:pos="8306"/>
      </w:tabs>
      <w:snapToGrid w:val="0"/>
      <w:jc w:val="left"/>
    </w:pPr>
    <w:rPr>
      <w:kern w:val="0"/>
      <w:sz w:val="18"/>
      <w:szCs w:val="18"/>
    </w:rPr>
  </w:style>
  <w:style w:type="paragraph" w:styleId="6">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批注文字 字符"/>
    <w:link w:val="2"/>
    <w:qFormat/>
    <w:uiPriority w:val="99"/>
    <w:rPr>
      <w:rFonts w:ascii="Times New Roman" w:hAnsi="Times New Roman"/>
      <w:kern w:val="2"/>
      <w:sz w:val="21"/>
    </w:rPr>
  </w:style>
  <w:style w:type="character" w:customStyle="1" w:styleId="12">
    <w:name w:val="纯文本 字符"/>
    <w:link w:val="3"/>
    <w:qFormat/>
    <w:uiPriority w:val="99"/>
    <w:rPr>
      <w:rFonts w:ascii="宋体" w:hAnsi="Courier New" w:eastAsia="宋体" w:cs="Courier New"/>
      <w:szCs w:val="21"/>
    </w:rPr>
  </w:style>
  <w:style w:type="character" w:customStyle="1" w:styleId="13">
    <w:name w:val="批注框文本 字符"/>
    <w:link w:val="4"/>
    <w:semiHidden/>
    <w:qFormat/>
    <w:uiPriority w:val="99"/>
    <w:rPr>
      <w:kern w:val="2"/>
      <w:sz w:val="18"/>
      <w:szCs w:val="18"/>
    </w:rPr>
  </w:style>
  <w:style w:type="character" w:customStyle="1" w:styleId="14">
    <w:name w:val="页脚 字符"/>
    <w:link w:val="5"/>
    <w:qFormat/>
    <w:uiPriority w:val="99"/>
    <w:rPr>
      <w:rFonts w:ascii="Calibri" w:hAnsi="Calibri" w:eastAsia="宋体" w:cs="Times New Roman"/>
      <w:kern w:val="0"/>
      <w:sz w:val="18"/>
      <w:szCs w:val="18"/>
    </w:rPr>
  </w:style>
  <w:style w:type="character" w:customStyle="1" w:styleId="15">
    <w:name w:val="页眉 字符"/>
    <w:link w:val="6"/>
    <w:qFormat/>
    <w:uiPriority w:val="99"/>
    <w:rPr>
      <w:kern w:val="2"/>
      <w:sz w:val="18"/>
      <w:szCs w:val="18"/>
    </w:rPr>
  </w:style>
  <w:style w:type="paragraph" w:styleId="16">
    <w:name w:val="List Paragraph"/>
    <w:basedOn w:val="1"/>
    <w:qFormat/>
    <w:uiPriority w:val="34"/>
    <w:pPr>
      <w:widowControl/>
      <w:ind w:firstLine="420"/>
    </w:pPr>
    <w:rPr>
      <w:rFonts w:cs="宋体"/>
      <w:kern w:val="0"/>
      <w:szCs w:val="21"/>
    </w:rPr>
  </w:style>
  <w:style w:type="paragraph" w:customStyle="1" w:styleId="17">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8">
    <w:name w:val="15"/>
    <w:basedOn w:val="10"/>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11</Pages>
  <Words>13263</Words>
  <Characters>13849</Characters>
  <Lines>100</Lines>
  <Paragraphs>28</Paragraphs>
  <TotalTime>0</TotalTime>
  <ScaleCrop>false</ScaleCrop>
  <LinksUpToDate>false</LinksUpToDate>
  <CharactersWithSpaces>14142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应心茹</cp:lastModifiedBy>
  <dcterms:modified xsi:type="dcterms:W3CDTF">2026-08-28T07:41:33Z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y fmtid="{D5CDD505-2E9C-101B-9397-08002B2CF9AE}" pid="4" name="KSOTemplateDocerSaveRecord">
    <vt:lpwstr>eyJoZGlkIjoiZWNlNjU5NjliMTgyYzBmZjRiNGFhMjFmOTUwYjlmZDgiLCJ1c2VySWQiOiIzOTQzMjAxMTgifQ==</vt:lpwstr>
  </property>
</Properties>
</file>