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141" w:hanging="141" w:hangingChars="50"/>
        <w:jc w:val="center"/>
        <w:rPr>
          <w:rFonts w:ascii="宋体" w:hAnsi="宋体"/>
          <w:b/>
          <w:sz w:val="24"/>
        </w:rPr>
      </w:pPr>
      <w:r>
        <w:rPr>
          <w:rFonts w:hint="eastAsia" w:ascii="宋体" w:hAnsi="宋体"/>
          <w:b/>
          <w:sz w:val="28"/>
          <w:szCs w:val="28"/>
          <w:lang w:val="en-US" w:eastAsia="zh-CN"/>
        </w:rPr>
        <w:t>北银理财</w:t>
      </w:r>
      <w:r>
        <w:rPr>
          <w:rFonts w:hint="eastAsia" w:ascii="宋体" w:hAnsi="宋体"/>
          <w:b/>
          <w:sz w:val="28"/>
          <w:szCs w:val="28"/>
        </w:rPr>
        <w:t>理财产品销售文件的调整公告</w:t>
      </w:r>
    </w:p>
    <w:p>
      <w:pPr>
        <w:spacing w:line="360" w:lineRule="auto"/>
        <w:rPr>
          <w:rFonts w:ascii="宋体" w:hAnsi="宋体"/>
          <w:b/>
          <w:sz w:val="24"/>
        </w:rPr>
      </w:pPr>
      <w:r>
        <w:rPr>
          <w:rFonts w:hint="eastAsia" w:ascii="宋体" w:hAnsi="宋体"/>
          <w:b/>
          <w:sz w:val="24"/>
        </w:rPr>
        <w:t>尊敬的投资者：</w:t>
      </w:r>
    </w:p>
    <w:p>
      <w:pPr>
        <w:spacing w:line="360" w:lineRule="auto"/>
        <w:ind w:firstLine="480" w:firstLineChars="200"/>
        <w:rPr>
          <w:rFonts w:hint="eastAsia" w:ascii="宋体" w:hAnsi="宋体"/>
          <w:sz w:val="24"/>
        </w:rPr>
      </w:pPr>
      <w:r>
        <w:rPr>
          <w:rFonts w:hint="eastAsia" w:ascii="宋体" w:hAnsi="宋体"/>
          <w:sz w:val="24"/>
          <w:lang w:val="en-US" w:eastAsia="zh-CN"/>
        </w:rPr>
        <w:t>根据国家金融监督管理总局发布的《银行保险机构资产管理产品信息披露管理办法》（国家金融监督管理总局令2025年第10号）的相关规定，</w:t>
      </w:r>
      <w:r>
        <w:rPr>
          <w:rFonts w:hint="eastAsia" w:ascii="宋体" w:hAnsi="宋体"/>
          <w:sz w:val="24"/>
        </w:rPr>
        <w:t>产品管理人拟对</w:t>
      </w:r>
      <w:r>
        <w:rPr>
          <w:rFonts w:hint="eastAsia" w:ascii="宋体" w:hAnsi="宋体"/>
          <w:sz w:val="24"/>
          <w:lang w:val="en-US" w:eastAsia="zh-CN"/>
        </w:rPr>
        <w:t>2026</w:t>
      </w:r>
      <w:r>
        <w:rPr>
          <w:rFonts w:hint="eastAsia" w:ascii="宋体" w:hAnsi="宋体"/>
          <w:sz w:val="24"/>
        </w:rPr>
        <w:t>年</w:t>
      </w:r>
      <w:r>
        <w:rPr>
          <w:rFonts w:hint="eastAsia" w:ascii="宋体" w:hAnsi="宋体"/>
          <w:sz w:val="24"/>
          <w:lang w:val="en-US" w:eastAsia="zh-CN"/>
        </w:rPr>
        <w:t>8</w:t>
      </w:r>
      <w:r>
        <w:rPr>
          <w:rFonts w:hint="eastAsia" w:ascii="宋体" w:hAnsi="宋体"/>
          <w:sz w:val="24"/>
        </w:rPr>
        <w:t>月</w:t>
      </w:r>
      <w:r>
        <w:rPr>
          <w:rFonts w:hint="eastAsia" w:ascii="宋体" w:hAnsi="宋体"/>
          <w:sz w:val="24"/>
          <w:lang w:val="en-US" w:eastAsia="zh-CN"/>
        </w:rPr>
        <w:t>31</w:t>
      </w:r>
      <w:r>
        <w:rPr>
          <w:rFonts w:hint="eastAsia" w:ascii="宋体" w:hAnsi="宋体"/>
          <w:sz w:val="24"/>
        </w:rPr>
        <w:t>日存续的</w:t>
      </w:r>
      <w:r>
        <w:rPr>
          <w:rFonts w:hint="eastAsia" w:ascii="宋体" w:hAnsi="宋体"/>
          <w:sz w:val="24"/>
          <w:lang w:val="en-US" w:eastAsia="zh-CN"/>
        </w:rPr>
        <w:t>全部公募现金管理类</w:t>
      </w:r>
      <w:r>
        <w:rPr>
          <w:rFonts w:hint="eastAsia" w:ascii="宋体" w:hAnsi="宋体"/>
          <w:sz w:val="24"/>
        </w:rPr>
        <w:t>理财产品（产品代码、产品名称、产品登记编码、产品成立日见公告附件）销售文件进行</w:t>
      </w:r>
      <w:r>
        <w:rPr>
          <w:rFonts w:hint="eastAsia" w:ascii="宋体" w:hAnsi="宋体"/>
          <w:sz w:val="24"/>
          <w:lang w:val="en-US" w:eastAsia="zh-CN"/>
        </w:rPr>
        <w:t>修订，</w:t>
      </w:r>
      <w:r>
        <w:rPr>
          <w:rFonts w:hint="eastAsia" w:ascii="宋体" w:hAnsi="宋体"/>
          <w:sz w:val="24"/>
        </w:rPr>
        <w:t>本次调整不影响产品的风险评级</w:t>
      </w:r>
      <w:r>
        <w:rPr>
          <w:rFonts w:hint="eastAsia" w:ascii="宋体" w:hAnsi="宋体"/>
          <w:sz w:val="24"/>
          <w:lang w:val="en-US" w:eastAsia="zh-CN"/>
        </w:rPr>
        <w:t>及投资运作</w:t>
      </w:r>
      <w:r>
        <w:rPr>
          <w:rFonts w:hint="eastAsia" w:ascii="宋体" w:hAnsi="宋体"/>
          <w:sz w:val="24"/>
          <w:lang w:eastAsia="zh-CN"/>
        </w:rPr>
        <w:t>，</w:t>
      </w:r>
      <w:r>
        <w:rPr>
          <w:rFonts w:hint="eastAsia" w:ascii="宋体" w:hAnsi="宋体"/>
          <w:sz w:val="24"/>
          <w:lang w:val="en-US" w:eastAsia="zh-CN"/>
        </w:rPr>
        <w:t>具体内容如下：</w:t>
      </w:r>
    </w:p>
    <w:p>
      <w:pPr>
        <w:pStyle w:val="5"/>
        <w:numPr>
          <w:ilvl w:val="0"/>
          <w:numId w:val="1"/>
        </w:numPr>
        <w:ind w:left="480" w:leftChars="0" w:firstLine="0" w:firstLineChars="0"/>
        <w:rPr>
          <w:rFonts w:hint="eastAsia" w:ascii="宋体" w:hAnsi="宋体"/>
          <w:sz w:val="24"/>
          <w:lang w:val="en-US" w:eastAsia="zh-CN"/>
        </w:rPr>
      </w:pPr>
      <w:r>
        <w:rPr>
          <w:rFonts w:hint="eastAsia" w:ascii="宋体" w:hAnsi="宋体"/>
          <w:sz w:val="24"/>
          <w:lang w:val="en-US" w:eastAsia="zh-CN"/>
        </w:rPr>
        <w:t>主要更新内容</w:t>
      </w:r>
    </w:p>
    <w:p>
      <w:pPr>
        <w:numPr>
          <w:ilvl w:val="0"/>
          <w:numId w:val="2"/>
        </w:numPr>
        <w:spacing w:line="360" w:lineRule="auto"/>
        <w:ind w:firstLine="480" w:firstLineChars="200"/>
        <w:outlineLvl w:val="2"/>
        <w:rPr>
          <w:rFonts w:hint="eastAsia" w:ascii="宋体" w:hAnsi="宋体"/>
          <w:sz w:val="24"/>
          <w:lang w:val="en-US" w:eastAsia="zh-CN"/>
        </w:rPr>
      </w:pPr>
      <w:r>
        <w:rPr>
          <w:rFonts w:hint="eastAsia" w:ascii="宋体" w:hAnsi="宋体"/>
          <w:sz w:val="24"/>
          <w:lang w:val="en-US" w:eastAsia="zh-CN"/>
        </w:rPr>
        <w:t>将《北银理财理财产品说明书》十一、产品的信息披露中“2.净值公告-本理财产品成立后，产品管理人将在每个开放日结束后2个工作日内披露开放日的产品份额净值、产品份额累计净值、产品资产净值、认（申）购价格、赎回价格；在定期报告中披露本理财产品在季度、半年和年度最后一个市场交易日的产品份额净值、产品份额累计净值和产品资产净值。”</w:t>
      </w:r>
      <w:r>
        <w:rPr>
          <w:rFonts w:hint="eastAsia" w:ascii="宋体" w:hAnsi="宋体"/>
          <w:b/>
          <w:bCs/>
          <w:sz w:val="24"/>
          <w:lang w:val="en-US" w:eastAsia="zh-CN"/>
        </w:rPr>
        <w:t>修改为</w:t>
      </w:r>
      <w:r>
        <w:rPr>
          <w:rFonts w:hint="eastAsia" w:ascii="宋体" w:hAnsi="宋体"/>
          <w:sz w:val="24"/>
          <w:lang w:val="en-US" w:eastAsia="zh-CN"/>
        </w:rPr>
        <w:t>“</w:t>
      </w:r>
      <w:r>
        <w:rPr>
          <w:rFonts w:hint="eastAsia" w:ascii="宋体" w:hAnsi="宋体"/>
          <w:b w:val="0"/>
          <w:bCs w:val="0"/>
          <w:sz w:val="24"/>
          <w:lang w:val="en-US" w:eastAsia="zh-CN"/>
        </w:rPr>
        <w:t>2.净值信息-</w:t>
      </w:r>
      <w:r>
        <w:rPr>
          <w:rFonts w:hint="eastAsia" w:ascii="宋体" w:hAnsi="宋体"/>
          <w:sz w:val="24"/>
          <w:lang w:val="en-US" w:eastAsia="zh-CN"/>
        </w:rPr>
        <w:t>本理财产品成立后，产品管理人将在每个开放日结束后2个工作日内披露产品的每万份收益和七日年化收益率。其中，成立未满七日的现金管理类产品及份额，将不披露该产品及份额的七日年化收益率。在定期报告中披露本理财产品在季度、半年和年度</w:t>
      </w:r>
      <w:r>
        <w:rPr>
          <w:rFonts w:hint="eastAsia" w:ascii="宋体" w:hAnsi="宋体"/>
          <w:sz w:val="24"/>
          <w:highlight w:val="none"/>
          <w:lang w:val="en-US" w:eastAsia="zh-CN"/>
        </w:rPr>
        <w:t>报告期期末</w:t>
      </w:r>
      <w:r>
        <w:rPr>
          <w:rFonts w:hint="eastAsia" w:ascii="宋体" w:hAnsi="宋体"/>
          <w:sz w:val="24"/>
          <w:lang w:val="en-US" w:eastAsia="zh-CN"/>
        </w:rPr>
        <w:t>的资产净值及报告期的产品年化收益率等情况。”</w:t>
      </w:r>
    </w:p>
    <w:p>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2.将《北银理财理财产品说明书》十一、产品的信息披露中“</w:t>
      </w:r>
      <w:r>
        <w:rPr>
          <w:rFonts w:hint="eastAsia" w:ascii="宋体" w:hAnsi="宋体"/>
          <w:b w:val="0"/>
          <w:bCs w:val="0"/>
          <w:sz w:val="24"/>
          <w:lang w:val="en-US" w:eastAsia="zh-CN"/>
        </w:rPr>
        <w:t>4.重大事项公告</w:t>
      </w:r>
      <w:r>
        <w:rPr>
          <w:rFonts w:hint="eastAsia" w:ascii="宋体" w:hAnsi="宋体"/>
          <w:sz w:val="24"/>
          <w:lang w:val="en-US" w:eastAsia="zh-CN"/>
        </w:rPr>
        <w:t>”</w:t>
      </w:r>
      <w:r>
        <w:rPr>
          <w:rFonts w:hint="eastAsia" w:ascii="宋体" w:hAnsi="宋体"/>
          <w:b/>
          <w:bCs/>
          <w:sz w:val="24"/>
          <w:lang w:val="en-US" w:eastAsia="zh-CN"/>
        </w:rPr>
        <w:t>删除</w:t>
      </w:r>
      <w:r>
        <w:rPr>
          <w:rFonts w:hint="eastAsia" w:ascii="宋体" w:hAnsi="宋体"/>
          <w:sz w:val="24"/>
          <w:lang w:val="en-US" w:eastAsia="zh-CN"/>
        </w:rPr>
        <w:t>。</w:t>
      </w:r>
    </w:p>
    <w:p>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3.将《北银理财理财产品说明书》十一、产品的信息披露中“5.定期报告-产品管理人将在每个季度结束之日起15个工作日内、上半年结束之日起60个工作日内、每年结束之日起90个工作日内编制完成本理财产品的季度、半年和年度报告等定期报告，并向投资者披露。如果本理财产品成立不足90个工作日或者剩余存续期不超过90个工作日的，产品管理人可以不编制本理财产品当期的季度、半年和年度报告。”</w:t>
      </w:r>
      <w:r>
        <w:rPr>
          <w:rFonts w:hint="eastAsia" w:ascii="宋体" w:hAnsi="宋体"/>
          <w:b/>
          <w:bCs/>
          <w:sz w:val="24"/>
          <w:lang w:val="en-US" w:eastAsia="zh-CN"/>
        </w:rPr>
        <w:t>修改为</w:t>
      </w:r>
      <w:r>
        <w:rPr>
          <w:rFonts w:hint="eastAsia" w:ascii="宋体" w:hAnsi="宋体"/>
          <w:sz w:val="24"/>
          <w:lang w:val="en-US" w:eastAsia="zh-CN"/>
        </w:rPr>
        <w:t>“4.定期报告-产品管理人将在每个季度结束之日起15个工作日内、每年8月31日前、每年4月30日前编制完成本理财产品的季度、半年和年度报告等定期报告，并向投资者披露。如果本理财产品成立不足90个自然日或者剩余存续期不足完整报告期且到期公告或清算报告包括对应定期报告内容的，产品管理人可以不编制本理财产品当期的季度、半年和年度报告，其中，年度报告将附经外部审计的财务会计报告及外部审计意见，半年和年度报告将附托管机构出具的托管报告。”</w:t>
      </w:r>
    </w:p>
    <w:p>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4.将《北银理财理财产品说明书》十一、产品的信息披露中“7.临时公告”</w:t>
      </w:r>
      <w:r>
        <w:rPr>
          <w:rFonts w:hint="eastAsia" w:ascii="宋体" w:hAnsi="宋体"/>
          <w:b/>
          <w:bCs/>
          <w:sz w:val="24"/>
          <w:lang w:val="en-US" w:eastAsia="zh-CN"/>
        </w:rPr>
        <w:t>修改</w:t>
      </w:r>
      <w:r>
        <w:rPr>
          <w:rFonts w:hint="eastAsia" w:ascii="宋体" w:hAnsi="宋体"/>
          <w:sz w:val="24"/>
          <w:lang w:val="en-US" w:eastAsia="zh-CN"/>
        </w:rPr>
        <w:t>为“6.临时公告”，同时增加以下内容“6.1产品管理人对于本理财产品以下事项，应至少提前1个工作日向投资者披露，披露内容包括但不限于相关事项的基本情况、对产品运行和投资者可能产生的影响、提示投资者按照销售文件的约定进行提前赎回安排（如需）等：（1）变更或调整理财产品销售文件约定的产品类型、投资范围、风险等级、产品期限、运作方式、认（申）购和赎回安排、估值方法、收益分配安排、收费项目或收费标准；（2）理财产品增设份额类别；</w:t>
      </w:r>
    </w:p>
    <w:p>
      <w:pPr>
        <w:spacing w:line="360" w:lineRule="auto"/>
        <w:rPr>
          <w:rFonts w:hint="eastAsia" w:ascii="宋体" w:hAnsi="宋体"/>
          <w:sz w:val="24"/>
          <w:lang w:val="en-US" w:eastAsia="zh-CN"/>
        </w:rPr>
      </w:pPr>
      <w:r>
        <w:rPr>
          <w:rFonts w:hint="eastAsia" w:ascii="宋体" w:hAnsi="宋体"/>
          <w:sz w:val="24"/>
          <w:lang w:val="en-US" w:eastAsia="zh-CN"/>
        </w:rPr>
        <w:t>（3）现金管理类产品拟投资于主体信用评级低于AA+的商业银行的银行存款与同业存单的；（4）法律法规、监管规定或产品管理人认为需要向投资者事前披露的其他临时事项。6.2产品管理人对于本理财产品以下事项，应于知晓或应当知晓相关事项后5个工作日内向投资者披露，披露内容包括但不限于相关事项的基本情况、对产品运行和投资者可能产生的影响、产品管理人采取的应对措施及后续方案（如有）等：（1）更换产品管理人或产品管理人变更实际控制人，更换托管机构，产品管理人或托管机构的法定名称、住所发生变更；（2）涉及本理财产品穿透后持仓百分之十及以上的单笔资产的诉讼或仲裁，并可能对产品或其投资者权益有重大影响的；（3）涉及本理财产品穿透后持仓百分之十及以上的单笔资产的债券违约；（4）产品份额净值计价错误达份额净值百分之零点五；</w:t>
      </w:r>
    </w:p>
    <w:p>
      <w:pPr>
        <w:spacing w:line="360" w:lineRule="auto"/>
        <w:rPr>
          <w:rFonts w:hint="eastAsia" w:ascii="宋体" w:hAnsi="宋体"/>
          <w:sz w:val="24"/>
          <w:lang w:val="en-US" w:eastAsia="zh-CN"/>
        </w:rPr>
      </w:pPr>
      <w:r>
        <w:rPr>
          <w:rFonts w:hint="eastAsia" w:ascii="宋体" w:hAnsi="宋体"/>
          <w:sz w:val="24"/>
          <w:lang w:val="en-US" w:eastAsia="zh-CN"/>
        </w:rPr>
        <w:t>（5）金融市场发生重大变化导致理财产品投资比例暂时超出浮动区间且可能对理财产品收益产生重大影响的；（6）法律法规以及国家金融监督管理总局规定的其他内容，或者产品管理人认为可能对投资者权益产生重大不利影响的其他事项。”</w:t>
      </w:r>
    </w:p>
    <w:p>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5.在《北银理财理财产品说明书》十一、产品的信息披露中</w:t>
      </w:r>
      <w:r>
        <w:rPr>
          <w:rFonts w:hint="eastAsia" w:ascii="宋体" w:hAnsi="宋体"/>
          <w:b/>
          <w:bCs/>
          <w:sz w:val="24"/>
          <w:lang w:val="en-US" w:eastAsia="zh-CN"/>
        </w:rPr>
        <w:t>新增</w:t>
      </w:r>
      <w:r>
        <w:rPr>
          <w:rFonts w:hint="eastAsia" w:ascii="宋体" w:hAnsi="宋体"/>
          <w:sz w:val="24"/>
          <w:lang w:val="en-US" w:eastAsia="zh-CN"/>
        </w:rPr>
        <w:t>“ ★（六）本理财产品存续期间，若因国家金融监督管理总局等监管部门及相关行业自律组织出台、修订理财产品信息披露相关监管政策或规范性文件，且新监管政策或规范性文件对信息披露的内容、频次、时效性、格式、渠道等事项的规定高于本销售文件约定执行标准的，产品管理人应当按照届时有效的监管政策或规范性文件中更为严格的标准履行信息披露义务，无需另行调整本销售文件中信息披露相关条款。”</w:t>
      </w:r>
    </w:p>
    <w:p>
      <w:pPr>
        <w:pStyle w:val="3"/>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Times New Roman"/>
          <w:kern w:val="2"/>
          <w:sz w:val="24"/>
          <w:szCs w:val="24"/>
          <w:lang w:val="en-US" w:eastAsia="zh-CN" w:bidi="ar-SA"/>
        </w:rPr>
      </w:pPr>
      <w:r>
        <w:rPr>
          <w:rFonts w:hint="eastAsia" w:ascii="宋体" w:hAnsi="宋体" w:cs="Times New Roman"/>
          <w:kern w:val="2"/>
          <w:sz w:val="24"/>
          <w:szCs w:val="24"/>
          <w:lang w:val="en-US" w:eastAsia="zh-CN" w:bidi="ar-SA"/>
        </w:rPr>
        <w:t>若其他产品销售文件关于信息披露的约定与《北银理财理财产品</w:t>
      </w:r>
      <w:r>
        <w:rPr>
          <w:rFonts w:hint="eastAsia" w:ascii="宋体" w:hAnsi="宋体"/>
          <w:sz w:val="24"/>
          <w:lang w:val="en-US" w:eastAsia="zh-CN"/>
        </w:rPr>
        <w:t>风险揭示书</w:t>
      </w:r>
      <w:r>
        <w:rPr>
          <w:rFonts w:hint="eastAsia" w:ascii="宋体" w:hAnsi="宋体" w:cs="Times New Roman"/>
          <w:kern w:val="2"/>
          <w:sz w:val="24"/>
          <w:szCs w:val="24"/>
          <w:lang w:val="en-US" w:eastAsia="zh-CN" w:bidi="ar-SA"/>
        </w:rPr>
        <w:t>》、《</w:t>
      </w:r>
      <w:r>
        <w:rPr>
          <w:rFonts w:hint="eastAsia" w:ascii="宋体" w:hAnsi="宋体"/>
          <w:sz w:val="24"/>
          <w:lang w:val="en-US" w:eastAsia="zh-CN"/>
        </w:rPr>
        <w:t>北银理财理财产品说明书</w:t>
      </w:r>
      <w:r>
        <w:rPr>
          <w:rFonts w:hint="eastAsia" w:ascii="宋体" w:hAnsi="宋体" w:cs="Times New Roman"/>
          <w:kern w:val="2"/>
          <w:sz w:val="24"/>
          <w:szCs w:val="24"/>
          <w:lang w:val="en-US" w:eastAsia="zh-CN" w:bidi="ar-SA"/>
        </w:rPr>
        <w:t>》、《</w:t>
      </w:r>
      <w:r>
        <w:rPr>
          <w:rFonts w:hint="eastAsia" w:ascii="宋体" w:hAnsi="宋体"/>
          <w:sz w:val="24"/>
          <w:lang w:val="en-US" w:eastAsia="zh-CN"/>
        </w:rPr>
        <w:t>北银理财理财产品投资者权益须知</w:t>
      </w:r>
      <w:r>
        <w:rPr>
          <w:rFonts w:hint="eastAsia" w:ascii="宋体" w:hAnsi="宋体" w:cs="Times New Roman"/>
          <w:kern w:val="2"/>
          <w:sz w:val="24"/>
          <w:szCs w:val="24"/>
          <w:lang w:val="en-US" w:eastAsia="zh-CN" w:bidi="ar-SA"/>
        </w:rPr>
        <w:t>》内容不一致的，以更新后的风险揭示书、产品说明书、权益须知为准。</w:t>
      </w:r>
    </w:p>
    <w:p>
      <w:pPr>
        <w:pStyle w:val="3"/>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具体更新内容详见更新后产品销售文件。</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sz w:val="24"/>
          <w:szCs w:val="24"/>
          <w:highlight w:val="none"/>
          <w:lang w:val="en-US" w:eastAsia="zh-CN"/>
        </w:rPr>
        <w:t>本次调整自</w:t>
      </w:r>
      <w:r>
        <w:rPr>
          <w:rFonts w:hint="eastAsia" w:ascii="宋体" w:hAnsi="宋体" w:cs="Times New Roman"/>
          <w:sz w:val="24"/>
          <w:szCs w:val="24"/>
          <w:highlight w:val="none"/>
          <w:lang w:val="en-US" w:eastAsia="zh-CN"/>
        </w:rPr>
        <w:t>2026年9月1日</w:t>
      </w:r>
      <w:r>
        <w:rPr>
          <w:rFonts w:hint="eastAsia" w:ascii="宋体" w:hAnsi="宋体" w:eastAsia="宋体" w:cs="Times New Roman"/>
          <w:sz w:val="24"/>
          <w:szCs w:val="24"/>
          <w:highlight w:val="none"/>
          <w:lang w:val="en-US" w:eastAsia="zh-CN"/>
        </w:rPr>
        <w:t>生效。</w:t>
      </w:r>
      <w:r>
        <w:rPr>
          <w:rFonts w:hint="eastAsia" w:ascii="宋体" w:hAnsi="宋体"/>
          <w:sz w:val="24"/>
        </w:rPr>
        <w:t>投资者可通过约定的信息披露渠道查询</w:t>
      </w:r>
      <w:r>
        <w:rPr>
          <w:rFonts w:hint="eastAsia" w:ascii="宋体" w:hAnsi="宋体"/>
          <w:sz w:val="24"/>
          <w:lang w:val="en-US" w:eastAsia="zh-CN"/>
        </w:rPr>
        <w:t>更新</w:t>
      </w:r>
      <w:r>
        <w:rPr>
          <w:rFonts w:hint="eastAsia" w:ascii="宋体" w:hAnsi="宋体"/>
          <w:sz w:val="24"/>
        </w:rPr>
        <w:t>后的销售文件</w:t>
      </w:r>
      <w:r>
        <w:rPr>
          <w:rFonts w:hint="eastAsia" w:ascii="宋体" w:hAnsi="宋体"/>
          <w:sz w:val="24"/>
          <w:lang w:eastAsia="zh-CN"/>
        </w:rPr>
        <w:t>，</w:t>
      </w:r>
      <w:r>
        <w:rPr>
          <w:rFonts w:hint="eastAsia" w:ascii="宋体" w:hAnsi="宋体" w:eastAsia="宋体" w:cs="Times New Roman"/>
          <w:kern w:val="2"/>
          <w:sz w:val="24"/>
          <w:szCs w:val="24"/>
          <w:highlight w:val="none"/>
        </w:rPr>
        <w:t>如后续有其它调整事项，以产品管理人公告为准。</w:t>
      </w:r>
    </w:p>
    <w:p>
      <w:pPr>
        <w:spacing w:line="360" w:lineRule="auto"/>
        <w:ind w:firstLine="480" w:firstLineChars="200"/>
        <w:rPr>
          <w:rFonts w:hint="eastAsia" w:ascii="宋体" w:hAnsi="宋体"/>
          <w:sz w:val="24"/>
          <w:lang w:val="en-US" w:eastAsia="zh-CN"/>
        </w:rPr>
      </w:pPr>
      <w:r>
        <w:rPr>
          <w:rFonts w:hint="eastAsia" w:ascii="宋体" w:hAnsi="宋体" w:eastAsia="宋体" w:cs="Times New Roman"/>
          <w:kern w:val="2"/>
          <w:sz w:val="24"/>
          <w:szCs w:val="24"/>
          <w:lang w:val="en-US" w:eastAsia="zh-CN" w:bidi="ar-SA"/>
        </w:rPr>
        <w:t>感谢您一直以来对北银理财的信赖与支持！我司将继续为您提供更优质</w:t>
      </w:r>
      <w:r>
        <w:rPr>
          <w:rFonts w:hint="eastAsia" w:ascii="宋体" w:hAnsi="宋体"/>
          <w:sz w:val="24"/>
        </w:rPr>
        <w:t>的理财服务。</w:t>
      </w:r>
    </w:p>
    <w:p>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特此公告。</w:t>
      </w:r>
    </w:p>
    <w:p>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 xml:space="preserve">                                            北银理财有限责任公司</w:t>
      </w:r>
    </w:p>
    <w:p>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 xml:space="preserve">                              </w:t>
      </w:r>
      <w:bookmarkStart w:id="0" w:name="_GoBack"/>
      <w:bookmarkEnd w:id="0"/>
      <w:r>
        <w:rPr>
          <w:rFonts w:hint="eastAsia" w:ascii="宋体" w:hAnsi="宋体"/>
          <w:sz w:val="24"/>
          <w:lang w:val="en-US" w:eastAsia="zh-CN"/>
        </w:rPr>
        <w:t xml:space="preserve">               2026年8月31日</w:t>
      </w:r>
    </w:p>
    <w:p>
      <w:pPr>
        <w:pStyle w:val="5"/>
        <w:rPr>
          <w:rFonts w:hint="eastAsia" w:ascii="宋体" w:hAnsi="宋体"/>
          <w:sz w:val="24"/>
          <w:lang w:val="en-US" w:eastAsia="zh-CN"/>
        </w:rPr>
      </w:pPr>
    </w:p>
    <w:p>
      <w:pPr>
        <w:pStyle w:val="5"/>
        <w:ind w:left="0" w:leftChars="0" w:firstLine="0" w:firstLineChars="0"/>
        <w:rPr>
          <w:rFonts w:hint="default"/>
          <w:vertAlign w:val="baseline"/>
          <w:lang w:val="en-US" w:eastAsia="zh-CN"/>
        </w:rPr>
      </w:pPr>
      <w:r>
        <w:rPr>
          <w:rFonts w:hint="eastAsia" w:ascii="宋体" w:hAnsi="宋体"/>
          <w:sz w:val="24"/>
          <w:lang w:val="en-US" w:eastAsia="zh-CN"/>
        </w:rPr>
        <w:t>附：</w:t>
      </w:r>
    </w:p>
    <w:tbl>
      <w:tblPr>
        <w:tblStyle w:val="6"/>
        <w:tblpPr w:leftFromText="180" w:rightFromText="180" w:vertAnchor="text" w:horzAnchor="page" w:tblpX="520" w:tblpY="525"/>
        <w:tblOverlap w:val="never"/>
        <w:tblW w:w="111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40"/>
        <w:gridCol w:w="1410"/>
        <w:gridCol w:w="5535"/>
        <w:gridCol w:w="1903"/>
        <w:gridCol w:w="1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11187" w:type="dxa"/>
            <w:gridSpan w:val="5"/>
            <w:shd w:val="clear" w:color="auto" w:fill="FFFF0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存续全量公募现金管理产品要素（53只）2026-08-31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40" w:type="dxa"/>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序号</w:t>
            </w:r>
          </w:p>
        </w:tc>
        <w:tc>
          <w:tcPr>
            <w:tcW w:w="1410" w:type="dxa"/>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产品代码</w:t>
            </w:r>
          </w:p>
        </w:tc>
        <w:tc>
          <w:tcPr>
            <w:tcW w:w="5535" w:type="dxa"/>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产品名称</w:t>
            </w:r>
          </w:p>
        </w:tc>
        <w:tc>
          <w:tcPr>
            <w:tcW w:w="1903" w:type="dxa"/>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产品登记编码</w:t>
            </w:r>
          </w:p>
        </w:tc>
        <w:tc>
          <w:tcPr>
            <w:tcW w:w="1499" w:type="dxa"/>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起息日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YJ01260202</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北银理财京华远见春系列易淘金11号现金管理类理财产品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Z7008926000090</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2026-03-20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YJ01240922</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北银理财京华远见春系列易淘金7号现金管理类理财产品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Z7008924000414</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JY01230001</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Z7008923000194</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JY01230002</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Z7008923000195</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JY01230003</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北银理财京华远见春系列京元宝3号现金管理类理财产品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Z7008923000196</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JY01230004</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北银理财京华远见春系列京元宝4号现金管理类理财产品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Z7008923000197</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JY01230005</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北银理财京华远见春系列京元宝5号现金管理类理财产品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Z7008923000198</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JY01230006</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北银理财京华远见春系列京元宝6号现金管理类理财产品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Z7008923000199</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JY01230007</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北银理财京华远见春系列京元宝7号现金管理类理财产品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Z7008923000200</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JY01230008</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北银理财京华远见春系列京元宝8号现金管理类理财产品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Z7008923000201</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JY01230009</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北银理财京华远见春系列京元宝9号现金管理类理财产品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Z7008923000202</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JY01230010</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北银理财京华远见春系列京元宝10号现金管理类理财产品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Z7008923000203</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JY01230011</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北银理财京华远见春系列京元宝11号现金管理类理财产品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Z7008923000204</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JY01230012</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北银理财京华远见春系列京元宝12号现金管理类理财产品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Z7008923000205</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JY01230013</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北银理财京华远见春系列京元宝13号现金管理类理财产品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Z7008923000206</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JY01230014</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北银理财京华远见春系列京元宝14号现金管理类理财产品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Z7008923000207</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JY01230015</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北银理财京华远见春系列京元宝15号现金管理类理财产品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Z7008923000208</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JY01230016</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北银理财京华远见春系列京元宝16号现金管理类理财产品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Z7008923000209</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JY01230017</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北银理财京华远见春系列京元宝17号现金管理类理财产品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Z7008923000210</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JY01230018</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北银理财京华远见春系列京元宝18号现金管理类理财产品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Z7008923000211</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JY01230019</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北银理财京华远见春系列京元宝19号现金管理类理财产品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Z7008923000212</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JY01230020</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北银理财京华远见春系列京元宝20号现金管理类理财产品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Z7008923000213</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JY01230021</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北银理财京华远见春系列京元宝21号现金管理类理财产品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Z7008923000214</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JY01230022</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北银理财京华远见春系列京元宝22号现金管理类理财产品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Z7008923000215</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JY01230023</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北银理财京华远见春系列京元宝23号现金管理类理财产品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Z7008923000216</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JY01230024</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北银理财京华远见春系列京元宝24号现金管理类理财产品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Z7008923000217</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JY01230025</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北银理财京华远见春系列京元宝25号现金管理类理财产品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Z7008923000218</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JY01230026</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北银理财京华远见春系列京元宝26号现金管理类理财产品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Z7008923000219</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JY01230027</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北银理财京华远见春系列京元宝27号现金管理类理财产品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Z7008923000220</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JY01230028</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北银理财京华远见春系列京元宝28号现金管理类理财产品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Z7008923000221</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JY01230029</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北银理财京华远见春系列京元宝29号现金管理类理财产品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Z7008923000222</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JY01230030</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北银理财京华远见春系列京元宝30号现金管理类理财产品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Z7008923000223</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TG01190701</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北银理财京华远见易淘金现金管理类理财管理计划</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Z7008922000052</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2019-08-30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TG01210102</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北银理财京华远见医宝金现金管理类理财管理计划</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Z7008922000184</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2021-01-26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TG01210202</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北银理财京华远见易淘金（新客）现金管理类理财管理计划</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Z7008922000084</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2021-02-02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TG01210502</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北银理财京华远见易淘金尊享现金管理类理财管理计划</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Z7008922000156</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2021-05-19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TG01231005</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北银理财京华远见春系列日享金现金管理类理财产品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Z7008923000156</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2023-10-24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TG01231016</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北银理财京华远见春系列易淘金2号现金管理类理财产品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Z7008923000177</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2024-05-24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TG01231017</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北银理财京华远见春系列易淘金3号现金管理类理财产品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Z7008923000178</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2024-03-01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TG01231019</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北银理财京华远见春系列易淘金5号现金管理类理财产品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Z7008923000180</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2024-08-22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TG01231020</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北银理财京华远见春系列易淘金6号现金管理类理财产品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Z7008923000181</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2024-03-06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TG01231022</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北银理财京华远见春系列易淘金8号现金管理类理财产品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Z7008923000183</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2024-03-18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TG01231023</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北银理财京华远见春系列易淘金9号现金管理类理财产品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Z7008923000184</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2024-07-16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TG01231024</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北银理财京华远见春系列易淘金10号现金管理类理财产品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Z7008923000185</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2023-12-20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TG01231101</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北银理财京华远见春系列易淘金16号现金管理类理财产品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Z7008923000234</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TG01231102</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北银理财京华远见春系列易淘金17号现金管理类理财产品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Z7008923000235</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2024-03-07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TG01231103</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北银理财京华远见春系列易淘金18号现金管理类理财产品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Z7008923000236</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2024-03-19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TG01231104</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北银理财京华远见春系列易淘金19号现金管理类理财产品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Z7008923000237</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2024-05-24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TG01231105</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北银理财京华远见春系列易淘金20号现金管理类理财产品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Z7008923000238</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2024-06-21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TG01240367</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北银理财京华远见春系列易淘金28号现金管理类理财产品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Z7008924000153</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2024-09-13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TG02231201</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北银理财京华远见春系列日开薪1号现金管理类理财产品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Z7008923000266</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YJ01241103</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北银理财京华远见春系列易淘金60号现金管理类理财产品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Z7008924000489</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rPr>
        <w:tc>
          <w:tcPr>
            <w:tcW w:w="84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141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YJ01249020</w:t>
            </w:r>
          </w:p>
        </w:tc>
        <w:tc>
          <w:tcPr>
            <w:tcW w:w="5535"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北银理财京华远见春系列易淘金21号现金管理类理财产品</w:t>
            </w:r>
          </w:p>
        </w:tc>
        <w:tc>
          <w:tcPr>
            <w:tcW w:w="190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Z7008924000416</w:t>
            </w:r>
          </w:p>
        </w:tc>
        <w:tc>
          <w:tcPr>
            <w:tcW w:w="1499"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2024-09-20</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0F44D2"/>
    <w:multiLevelType w:val="singleLevel"/>
    <w:tmpl w:val="C50F44D2"/>
    <w:lvl w:ilvl="0" w:tentative="0">
      <w:start w:val="1"/>
      <w:numFmt w:val="decimal"/>
      <w:lvlText w:val="%1."/>
      <w:lvlJc w:val="left"/>
      <w:pPr>
        <w:tabs>
          <w:tab w:val="left" w:pos="312"/>
        </w:tabs>
      </w:pPr>
    </w:lvl>
  </w:abstractNum>
  <w:abstractNum w:abstractNumId="1">
    <w:nsid w:val="314920DD"/>
    <w:multiLevelType w:val="singleLevel"/>
    <w:tmpl w:val="314920DD"/>
    <w:lvl w:ilvl="0" w:tentative="0">
      <w:start w:val="1"/>
      <w:numFmt w:val="chineseCounting"/>
      <w:suff w:val="nothing"/>
      <w:lvlText w:val="%1、"/>
      <w:lvlJc w:val="left"/>
      <w:pPr>
        <w:ind w:left="480" w:leftChars="0" w:firstLine="0" w:firstLineChars="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mZWYyOTkyZDQ2NzAxNzg1YzkyM2EwYTVmYmY2YzAifQ=="/>
  </w:docVars>
  <w:rsids>
    <w:rsidRoot w:val="00172A27"/>
    <w:rsid w:val="02C738C6"/>
    <w:rsid w:val="12394B77"/>
    <w:rsid w:val="227618F4"/>
    <w:rsid w:val="2B8A742E"/>
    <w:rsid w:val="32305F3D"/>
    <w:rsid w:val="33BE6AC5"/>
    <w:rsid w:val="399C2BC3"/>
    <w:rsid w:val="39CC25DE"/>
    <w:rsid w:val="3C8B16E3"/>
    <w:rsid w:val="415C20EC"/>
    <w:rsid w:val="4AD149EA"/>
    <w:rsid w:val="502B5843"/>
    <w:rsid w:val="5AE3354A"/>
    <w:rsid w:val="5B6B266A"/>
    <w:rsid w:val="66A716DD"/>
    <w:rsid w:val="6BB867C5"/>
    <w:rsid w:val="71654763"/>
    <w:rsid w:val="74EF77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style>
  <w:style w:type="paragraph" w:styleId="3">
    <w:name w:val="Body Text"/>
    <w:basedOn w:val="1"/>
    <w:next w:val="1"/>
    <w:unhideWhenUsed/>
    <w:qFormat/>
    <w:uiPriority w:val="99"/>
    <w:pPr>
      <w:spacing w:before="120" w:after="120"/>
    </w:pPr>
  </w:style>
  <w:style w:type="paragraph" w:styleId="4">
    <w:name w:val="Body Text Indent"/>
    <w:basedOn w:val="1"/>
    <w:next w:val="2"/>
    <w:qFormat/>
    <w:uiPriority w:val="0"/>
    <w:pPr>
      <w:spacing w:after="120"/>
      <w:ind w:left="420" w:leftChars="200"/>
    </w:pPr>
  </w:style>
  <w:style w:type="paragraph" w:styleId="5">
    <w:name w:val="Body Text First Indent 2"/>
    <w:basedOn w:val="4"/>
    <w:next w:val="3"/>
    <w:unhideWhenUsed/>
    <w:qFormat/>
    <w:uiPriority w:val="99"/>
    <w:pPr>
      <w:ind w:firstLine="420" w:firstLineChars="200"/>
    </w:pPr>
    <w:rPr>
      <w:rFonts w:ascii="Calibri" w:hAnsi="Calibri"/>
    </w:rPr>
  </w:style>
  <w:style w:type="table" w:styleId="7">
    <w:name w:val="Table Grid"/>
    <w:basedOn w:val="6"/>
    <w:semiHidden/>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Office_11.8.2.12055_F1E327BC-269C-435d-A152-05C5408002CA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2026-01-29T01:03:00Z</dcterms:created>
  <dc:creator>鲁西_产品管理部</dc:creator>
  <cp:lastModifiedBy>刘丽丽_产品管理部</cp:lastModifiedBy>
  <cp:lastPrinted>2026-08-17T02:55:00Z</cp:lastPrinted>
  <dcterms:modified xsi:type="dcterms:W3CDTF">2026-08-31T01:09:03Z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E32B90E674BD4C30A2CF9503BC9C9934_13</vt:lpwstr>
  </property>
</Properties>
</file>