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69B0C9">
      <w:pPr>
        <w:jc w:val="center"/>
        <w:rPr>
          <w:rFonts w:hint="eastAsia" w:ascii="方正黑体_GBK" w:hAnsi="方正黑体_GBK" w:eastAsia="方正黑体_GBK" w:cs="方正黑体_GBK"/>
          <w:sz w:val="28"/>
          <w:szCs w:val="28"/>
        </w:rPr>
      </w:pPr>
      <w:bookmarkStart w:id="0" w:name="_GoBack"/>
      <w:r>
        <w:rPr>
          <w:rFonts w:hint="eastAsia" w:ascii="方正黑体_GBK" w:hAnsi="方正黑体_GBK" w:eastAsia="方正黑体_GBK" w:cs="方正黑体_GBK"/>
          <w:sz w:val="28"/>
          <w:szCs w:val="28"/>
        </w:rPr>
        <w:t>南银理财有限责任公司关于调整理财产品销售文件条款等相关事项</w:t>
      </w:r>
    </w:p>
    <w:p w14:paraId="0718A81B">
      <w:pPr>
        <w:jc w:val="center"/>
        <w:rPr>
          <w:rFonts w:hint="eastAsia" w:ascii="方正黑体_GBK" w:hAnsi="方正黑体_GBK" w:eastAsia="方正黑体_GBK" w:cs="方正黑体_GBK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</w:rPr>
        <w:t>的公告</w:t>
      </w:r>
    </w:p>
    <w:bookmarkEnd w:id="0"/>
    <w:p w14:paraId="4FCBA445">
      <w:pPr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尊敬的投资者：</w:t>
      </w:r>
    </w:p>
    <w:p w14:paraId="4E0202AB">
      <w:pPr>
        <w:widowControl/>
        <w:ind w:firstLine="440" w:firstLineChars="200"/>
        <w:jc w:val="left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为贯彻落实《银行保险机构资产管理产品信息披露管理办法》等监管规定，南银理财有限责任公司对名下管理的理财产品</w:t>
      </w:r>
      <w:r>
        <w:rPr>
          <w:rFonts w:hint="eastAsia" w:ascii="方正黑体_GBK" w:hAnsi="方正黑体_GBK" w:eastAsia="方正黑体_GBK" w:cs="方正黑体_GBK"/>
          <w:color w:val="000000"/>
          <w:kern w:val="0"/>
          <w:sz w:val="22"/>
          <w:szCs w:val="22"/>
          <w:lang w:bidi="ar"/>
        </w:rPr>
        <w:t>的销售文件，包括产品说明书、风险揭示书等文件的相关条款进行修订，以更好地保护投资者利益，修订内容主要如下：</w:t>
      </w:r>
    </w:p>
    <w:p w14:paraId="1E16C1FE">
      <w:pPr>
        <w:widowControl/>
        <w:ind w:firstLine="440" w:firstLineChars="200"/>
        <w:jc w:val="left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22"/>
          <w:szCs w:val="22"/>
          <w:lang w:bidi="ar"/>
        </w:rPr>
        <w:t>一、产品说明书主要修改内容</w:t>
      </w:r>
    </w:p>
    <w:p w14:paraId="53DF546F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1、完善业绩比较基准历次调整情况（从业绩比较基准生效截止日在2026年9月1日之后的调整周期开始披露）。</w:t>
      </w:r>
    </w:p>
    <w:p w14:paraId="0A693027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2、增加产品管理人与托管人、销售机构的住所、联系方式及其关联关系情况（如有）。</w:t>
      </w:r>
    </w:p>
    <w:p w14:paraId="7E798B6B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3、优化产品收益分配事项的相关表述。</w:t>
      </w:r>
    </w:p>
    <w:p w14:paraId="4CD06A7A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4、修订信息披露条款：（1）公募产品信息披露渠道增加中国理财网（www.chinawealth.com.cn）。（2）公募定期开放产品净值披露频率修订为按周。（3）私募产品信息披露内容增加发行公告。（4）修订定期报告披露时间。</w:t>
      </w:r>
    </w:p>
    <w:p w14:paraId="7870B48D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5、其他修订。</w:t>
      </w:r>
    </w:p>
    <w:p w14:paraId="44AAF562">
      <w:pPr>
        <w:widowControl/>
        <w:jc w:val="left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22"/>
          <w:szCs w:val="22"/>
          <w:lang w:bidi="ar"/>
        </w:rPr>
        <w:t xml:space="preserve">二、风险揭示书主要修改内容 </w:t>
      </w:r>
    </w:p>
    <w:p w14:paraId="1DD69BFE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1、增加特别提示页。</w:t>
      </w:r>
    </w:p>
    <w:p w14:paraId="3FDCE007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2、明确风险管理措施。</w:t>
      </w:r>
    </w:p>
    <w:p w14:paraId="23D26FBB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3、增加管理人对产品风险等级进行动态管理相关条款。</w:t>
      </w:r>
    </w:p>
    <w:p w14:paraId="67390B6F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4、其他修订。</w:t>
      </w:r>
    </w:p>
    <w:p w14:paraId="6CDACD40">
      <w:pPr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三、</w:t>
      </w:r>
      <w:r>
        <w:rPr>
          <w:rFonts w:ascii="方正黑体_GBK" w:hAnsi="方正黑体_GBK" w:eastAsia="方正黑体_GBK" w:cs="方正黑体_GBK"/>
          <w:sz w:val="22"/>
          <w:szCs w:val="22"/>
        </w:rPr>
        <w:t>部分公募理财产品净值披露频率调整</w:t>
      </w:r>
    </w:p>
    <w:p w14:paraId="799E8587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ascii="方正黑体_GBK" w:hAnsi="方正黑体_GBK" w:eastAsia="方正黑体_GBK" w:cs="方正黑体_GBK"/>
          <w:sz w:val="22"/>
          <w:szCs w:val="22"/>
        </w:rPr>
        <w:t>结合上述业务背景与相关理财产品说明书的条款修订，部分公募理财产品的净值披露频率将调整为每周披露，具体执行开始时间为2026年9月1</w:t>
      </w:r>
      <w:r>
        <w:rPr>
          <w:rFonts w:hint="eastAsia" w:ascii="方正黑体_GBK" w:hAnsi="方正黑体_GBK" w:eastAsia="方正黑体_GBK" w:cs="方正黑体_GBK"/>
          <w:sz w:val="22"/>
          <w:szCs w:val="22"/>
        </w:rPr>
        <w:t>日</w:t>
      </w:r>
      <w:r>
        <w:rPr>
          <w:rFonts w:ascii="方正黑体_GBK" w:hAnsi="方正黑体_GBK" w:eastAsia="方正黑体_GBK" w:cs="方正黑体_GBK"/>
          <w:sz w:val="22"/>
          <w:szCs w:val="22"/>
        </w:rPr>
        <w:t>。涉及产品包括：鑫悦享</w:t>
      </w:r>
      <w:r>
        <w:rPr>
          <w:rFonts w:hint="eastAsia" w:ascii="方正黑体_GBK" w:hAnsi="方正黑体_GBK" w:eastAsia="方正黑体_GBK" w:cs="方正黑体_GBK"/>
          <w:sz w:val="22"/>
          <w:szCs w:val="22"/>
        </w:rPr>
        <w:t>周周盈</w:t>
      </w:r>
      <w:r>
        <w:rPr>
          <w:rFonts w:ascii="方正黑体_GBK" w:hAnsi="方正黑体_GBK" w:eastAsia="方正黑体_GBK" w:cs="方正黑体_GBK"/>
          <w:sz w:val="22"/>
          <w:szCs w:val="22"/>
        </w:rPr>
        <w:t>、</w:t>
      </w:r>
      <w:r>
        <w:rPr>
          <w:rFonts w:hint="eastAsia" w:ascii="方正黑体_GBK" w:hAnsi="方正黑体_GBK" w:eastAsia="方正黑体_GBK" w:cs="方正黑体_GBK"/>
          <w:sz w:val="22"/>
          <w:szCs w:val="22"/>
        </w:rPr>
        <w:t>鑫悦享月月盈、鑫悦享1908三个月定开、鑫悦享1912三个月定开、理财</w:t>
      </w:r>
      <w:r>
        <w:rPr>
          <w:rFonts w:ascii="方正黑体_GBK" w:hAnsi="方正黑体_GBK" w:eastAsia="方正黑体_GBK" w:cs="方正黑体_GBK"/>
          <w:sz w:val="22"/>
          <w:szCs w:val="22"/>
        </w:rPr>
        <w:t>管理计划1号、</w:t>
      </w:r>
      <w:r>
        <w:rPr>
          <w:rFonts w:hint="eastAsia" w:ascii="方正黑体_GBK" w:hAnsi="方正黑体_GBK" w:eastAsia="方正黑体_GBK" w:cs="方正黑体_GBK"/>
          <w:sz w:val="22"/>
          <w:szCs w:val="22"/>
        </w:rPr>
        <w:t>理财</w:t>
      </w:r>
      <w:r>
        <w:rPr>
          <w:rFonts w:ascii="方正黑体_GBK" w:hAnsi="方正黑体_GBK" w:eastAsia="方正黑体_GBK" w:cs="方正黑体_GBK"/>
          <w:sz w:val="22"/>
          <w:szCs w:val="22"/>
        </w:rPr>
        <w:t>管理计划2号、</w:t>
      </w:r>
      <w:r>
        <w:rPr>
          <w:rFonts w:hint="eastAsia" w:ascii="方正黑体_GBK" w:hAnsi="方正黑体_GBK" w:eastAsia="方正黑体_GBK" w:cs="方正黑体_GBK"/>
          <w:sz w:val="22"/>
          <w:szCs w:val="22"/>
        </w:rPr>
        <w:t>创鑫</w:t>
      </w:r>
      <w:r>
        <w:rPr>
          <w:rFonts w:ascii="方正黑体_GBK" w:hAnsi="方正黑体_GBK" w:eastAsia="方正黑体_GBK" w:cs="方正黑体_GBK"/>
          <w:sz w:val="22"/>
          <w:szCs w:val="22"/>
        </w:rPr>
        <w:t>财富牛1号、</w:t>
      </w:r>
      <w:r>
        <w:rPr>
          <w:rFonts w:hint="eastAsia" w:ascii="方正黑体_GBK" w:hAnsi="方正黑体_GBK" w:eastAsia="方正黑体_GBK" w:cs="方正黑体_GBK"/>
          <w:sz w:val="22"/>
          <w:szCs w:val="22"/>
        </w:rPr>
        <w:t>创鑫</w:t>
      </w:r>
      <w:r>
        <w:rPr>
          <w:rFonts w:ascii="方正黑体_GBK" w:hAnsi="方正黑体_GBK" w:eastAsia="方正黑体_GBK" w:cs="方正黑体_GBK"/>
          <w:sz w:val="22"/>
          <w:szCs w:val="22"/>
        </w:rPr>
        <w:t>财富牛2号、鑫致远平衡三个月定开3期</w:t>
      </w:r>
      <w:r>
        <w:rPr>
          <w:rFonts w:hint="eastAsia" w:ascii="方正黑体_GBK" w:hAnsi="方正黑体_GBK" w:eastAsia="方正黑体_GBK" w:cs="方正黑体_GBK"/>
          <w:sz w:val="22"/>
          <w:szCs w:val="22"/>
        </w:rPr>
        <w:t>（科技创新）</w:t>
      </w:r>
      <w:r>
        <w:rPr>
          <w:rFonts w:ascii="方正黑体_GBK" w:hAnsi="方正黑体_GBK" w:eastAsia="方正黑体_GBK" w:cs="方正黑体_GBK"/>
          <w:sz w:val="22"/>
          <w:szCs w:val="22"/>
        </w:rPr>
        <w:t>。</w:t>
      </w:r>
    </w:p>
    <w:p w14:paraId="75FB4F47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</w:p>
    <w:p w14:paraId="52EA1A63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上述修改及其他表述优化请以更新后的产品说明书、风险揭示书等产品销售文件为准，您可通过原产品销售文件约定的信息披露渠道查询。</w:t>
      </w:r>
    </w:p>
    <w:p w14:paraId="6B95D494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如您对本公告有任何疑问，可联系本理财产品代销机构或本公司，代销机构及本公司将竭诚为您服务。</w:t>
      </w:r>
    </w:p>
    <w:p w14:paraId="2AC68488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感谢您一直以来的支持和信赖！</w:t>
      </w:r>
    </w:p>
    <w:p w14:paraId="687028CC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特此公告。</w:t>
      </w:r>
    </w:p>
    <w:p w14:paraId="02AE97F5">
      <w:pPr>
        <w:ind w:firstLine="440" w:firstLineChars="200"/>
        <w:rPr>
          <w:rFonts w:hint="eastAsia" w:ascii="方正黑体_GBK" w:hAnsi="方正黑体_GBK" w:eastAsia="方正黑体_GBK" w:cs="方正黑体_GBK"/>
          <w:sz w:val="22"/>
          <w:szCs w:val="22"/>
        </w:rPr>
      </w:pPr>
    </w:p>
    <w:p w14:paraId="439BF7BF">
      <w:pPr>
        <w:rPr>
          <w:rFonts w:hint="eastAsia" w:ascii="方正黑体_GBK" w:hAnsi="方正黑体_GBK" w:eastAsia="方正黑体_GBK" w:cs="方正黑体_GBK"/>
          <w:sz w:val="22"/>
          <w:szCs w:val="22"/>
        </w:rPr>
      </w:pPr>
    </w:p>
    <w:p w14:paraId="29E1414F">
      <w:pPr>
        <w:jc w:val="right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南银理财有限责任公司</w:t>
      </w:r>
    </w:p>
    <w:p w14:paraId="009B720C">
      <w:pPr>
        <w:jc w:val="right"/>
        <w:rPr>
          <w:rFonts w:hint="eastAsia" w:ascii="方正黑体_GBK" w:hAnsi="方正黑体_GBK" w:eastAsia="方正黑体_GBK" w:cs="方正黑体_GBK"/>
          <w:sz w:val="22"/>
          <w:szCs w:val="22"/>
        </w:rPr>
      </w:pPr>
      <w:r>
        <w:rPr>
          <w:rFonts w:hint="eastAsia" w:ascii="方正黑体_GBK" w:hAnsi="方正黑体_GBK" w:eastAsia="方正黑体_GBK" w:cs="方正黑体_GBK"/>
          <w:sz w:val="22"/>
          <w:szCs w:val="22"/>
        </w:rPr>
        <w:t>2026年8月28日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C0A"/>
    <w:rsid w:val="000F54F0"/>
    <w:rsid w:val="007B49A5"/>
    <w:rsid w:val="00A552BE"/>
    <w:rsid w:val="00AC71C1"/>
    <w:rsid w:val="00AD59E4"/>
    <w:rsid w:val="00B62741"/>
    <w:rsid w:val="00BA537A"/>
    <w:rsid w:val="00D64C0A"/>
    <w:rsid w:val="00F10EC2"/>
    <w:rsid w:val="13052F37"/>
    <w:rsid w:val="1ED9626F"/>
    <w:rsid w:val="22670366"/>
    <w:rsid w:val="2B8F395A"/>
    <w:rsid w:val="37BC5AD7"/>
    <w:rsid w:val="49331971"/>
    <w:rsid w:val="5A7129E8"/>
    <w:rsid w:val="63E80FA7"/>
    <w:rsid w:val="64057FFD"/>
    <w:rsid w:val="66B27F22"/>
    <w:rsid w:val="6A4F63E3"/>
    <w:rsid w:val="6C3C2767"/>
    <w:rsid w:val="78A8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customStyle="1" w:styleId="5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806</Words>
  <Characters>843</Characters>
  <Lines>22</Lines>
  <Paragraphs>24</Paragraphs>
  <TotalTime>23</TotalTime>
  <ScaleCrop>false</ScaleCrop>
  <LinksUpToDate>false</LinksUpToDate>
  <CharactersWithSpaces>844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2026-08-27T09:46:00Z</dcterms:created>
  <dc:creator>huawei</dc:creator>
  <cp:lastModifiedBy>束丹</cp:lastModifiedBy>
  <dcterms:modified xsi:type="dcterms:W3CDTF">2026-08-28T09:05:39Z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eyJoZGlkIjoiZjI2Y2U3ZTVjNzgzNjEwZGMwNGVjMTAzMjYyYzA2YzQiLCJ1c2VySWQiOiIzNzcyMjAyMDAifQ==</vt:lpwstr>
  </property>
  <property fmtid="{D5CDD505-2E9C-101B-9397-08002B2CF9AE}" pid="4" name="ICV">
    <vt:lpwstr>07A1D2F33BAF4FA88AEEB4F4730C2253_13</vt:lpwstr>
  </property>
</Properties>
</file>