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4F825" w14:textId="77777777" w:rsidR="00E14B1C" w:rsidRDefault="003F19C6">
      <w:pPr>
        <w:snapToGrid w:val="0"/>
        <w:spacing w:line="276" w:lineRule="auto"/>
        <w:jc w:val="center"/>
        <w:rPr>
          <w:rFonts w:ascii="新宋体" w:eastAsia="新宋体" w:hAnsi="新宋体" w:hint="eastAsia"/>
          <w:b/>
          <w:sz w:val="30"/>
          <w:szCs w:val="30"/>
        </w:rPr>
      </w:pPr>
      <w:r>
        <w:rPr>
          <w:rFonts w:ascii="新宋体" w:eastAsia="新宋体" w:hAnsi="新宋体" w:hint="eastAsia"/>
          <w:b/>
          <w:sz w:val="30"/>
          <w:szCs w:val="30"/>
        </w:rPr>
        <w:t>青银理财璀璨人生奋斗系列</w:t>
      </w:r>
    </w:p>
    <w:p w14:paraId="12B06322" w14:textId="77777777" w:rsidR="00E14B1C" w:rsidRDefault="003F19C6">
      <w:pPr>
        <w:snapToGrid w:val="0"/>
        <w:spacing w:line="276" w:lineRule="auto"/>
        <w:jc w:val="center"/>
        <w:rPr>
          <w:rFonts w:ascii="新宋体" w:eastAsia="新宋体" w:hAnsi="新宋体" w:hint="eastAsia"/>
          <w:b/>
          <w:sz w:val="30"/>
          <w:szCs w:val="30"/>
        </w:rPr>
      </w:pPr>
      <w:r>
        <w:rPr>
          <w:rFonts w:ascii="新宋体" w:eastAsia="新宋体" w:hAnsi="新宋体" w:hint="eastAsia"/>
          <w:b/>
          <w:sz w:val="30"/>
          <w:szCs w:val="30"/>
        </w:rPr>
        <w:t>开放式净值型人民币理财计划产品说明书</w:t>
      </w:r>
    </w:p>
    <w:p w14:paraId="13D7D1F7" w14:textId="77777777" w:rsidR="00E14B1C" w:rsidRDefault="003F19C6">
      <w:pPr>
        <w:snapToGrid w:val="0"/>
        <w:spacing w:line="276" w:lineRule="auto"/>
        <w:jc w:val="center"/>
        <w:rPr>
          <w:rFonts w:ascii="新宋体" w:eastAsia="新宋体" w:hAnsi="新宋体" w:hint="eastAsia"/>
          <w:b/>
          <w:sz w:val="30"/>
          <w:szCs w:val="30"/>
        </w:rPr>
      </w:pPr>
      <w:r>
        <w:rPr>
          <w:rFonts w:ascii="新宋体" w:eastAsia="新宋体" w:hAnsi="新宋体" w:hint="eastAsia"/>
          <w:b/>
          <w:sz w:val="30"/>
          <w:szCs w:val="30"/>
        </w:rPr>
        <w:t>（单周开放净值型）</w:t>
      </w:r>
    </w:p>
    <w:p w14:paraId="599EB690" w14:textId="77777777" w:rsidR="00E14B1C" w:rsidRDefault="003F19C6">
      <w:pPr>
        <w:spacing w:line="276" w:lineRule="auto"/>
        <w:jc w:val="center"/>
        <w:rPr>
          <w:rFonts w:ascii="新宋体" w:eastAsia="新宋体" w:hAnsi="新宋体" w:hint="eastAsia"/>
          <w:b/>
          <w:i/>
          <w:sz w:val="30"/>
          <w:szCs w:val="30"/>
          <w:u w:val="single"/>
        </w:rPr>
      </w:pPr>
      <w:r>
        <w:rPr>
          <w:rFonts w:ascii="新宋体" w:eastAsia="新宋体" w:hAnsi="新宋体" w:cs="宋体" w:hint="eastAsia"/>
          <w:b/>
          <w:i/>
          <w:kern w:val="0"/>
          <w:szCs w:val="21"/>
          <w:u w:val="single"/>
        </w:rPr>
        <w:t>理财非存款、产品有风险、投资须谨慎。</w:t>
      </w:r>
    </w:p>
    <w:p w14:paraId="38CE973E" w14:textId="77777777" w:rsidR="00E14B1C" w:rsidRDefault="00E14B1C">
      <w:pPr>
        <w:spacing w:line="276" w:lineRule="auto"/>
        <w:jc w:val="left"/>
        <w:rPr>
          <w:rFonts w:ascii="新宋体" w:eastAsia="新宋体" w:hAnsi="新宋体" w:cs="宋体" w:hint="eastAsia"/>
          <w:b/>
          <w:kern w:val="0"/>
          <w:szCs w:val="21"/>
        </w:rPr>
      </w:pPr>
    </w:p>
    <w:p w14:paraId="688CF2B3" w14:textId="77777777" w:rsidR="00E14B1C" w:rsidRDefault="003F19C6">
      <w:pPr>
        <w:spacing w:line="276" w:lineRule="auto"/>
        <w:jc w:val="left"/>
        <w:rPr>
          <w:rFonts w:ascii="新宋体" w:eastAsia="新宋体" w:hAnsi="新宋体" w:cs="宋体" w:hint="eastAsia"/>
          <w:b/>
          <w:kern w:val="0"/>
          <w:szCs w:val="21"/>
        </w:rPr>
      </w:pPr>
      <w:r>
        <w:rPr>
          <w:rFonts w:ascii="新宋体" w:eastAsia="新宋体" w:hAnsi="新宋体" w:cs="宋体" w:hint="eastAsia"/>
          <w:b/>
          <w:kern w:val="0"/>
          <w:szCs w:val="21"/>
        </w:rPr>
        <w:t>重要须知：</w:t>
      </w:r>
    </w:p>
    <w:p w14:paraId="02479A51" w14:textId="77777777" w:rsidR="00E14B1C" w:rsidRDefault="003F19C6">
      <w:pPr>
        <w:snapToGrid w:val="0"/>
        <w:spacing w:line="276" w:lineRule="auto"/>
        <w:ind w:firstLineChars="196" w:firstLine="413"/>
        <w:jc w:val="left"/>
        <w:rPr>
          <w:rFonts w:ascii="新宋体" w:eastAsia="新宋体" w:hAnsi="新宋体" w:cs="宋体" w:hint="eastAsia"/>
          <w:b/>
          <w:kern w:val="0"/>
          <w:szCs w:val="21"/>
        </w:rPr>
      </w:pPr>
      <w:r>
        <w:rPr>
          <w:rFonts w:ascii="新宋体" w:eastAsia="新宋体" w:hAnsi="新宋体" w:cs="宋体" w:hint="eastAsia"/>
          <w:b/>
          <w:kern w:val="0"/>
          <w:szCs w:val="21"/>
        </w:rPr>
        <w:t>本理财计划与存款有明显区别。</w:t>
      </w:r>
    </w:p>
    <w:p w14:paraId="0FF7CE60" w14:textId="77777777" w:rsidR="00E14B1C" w:rsidRDefault="003F19C6">
      <w:pPr>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青银理财有限责任公司（以下简称“青银理财”或“管理人”）不保证本理财计划的本金及收益。本理财计划在发生不利情况下（可能但不一定发生），客户（下或称“投资者”）可能无法获得收益，并面临损失本金的风险。您应充分认识投资风险。</w:t>
      </w:r>
    </w:p>
    <w:p w14:paraId="30B4EE27" w14:textId="77777777" w:rsidR="00E14B1C" w:rsidRDefault="003F19C6">
      <w:pPr>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青银理财作为本产品管理人，为青岛银行股份有限公司（可能为本产品的销售机构、资产托管人）的全资子公司。产品管理人可能涉及向本产品的销售机构或托管人支付销售手续费或托管费，存在关联关系的可能性。</w:t>
      </w:r>
    </w:p>
    <w:p w14:paraId="28211E45" w14:textId="77777777" w:rsidR="00E14B1C" w:rsidRDefault="003F19C6">
      <w:pPr>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本理财产品仅向依据中华人民共和国有关法律法规及本理财产品说明书约定可以购买本理财产品的投资者发售。</w:t>
      </w:r>
    </w:p>
    <w:p w14:paraId="1992F737" w14:textId="77777777" w:rsidR="00E14B1C" w:rsidRDefault="003F19C6">
      <w:pPr>
        <w:snapToGrid w:val="0"/>
        <w:spacing w:line="276" w:lineRule="auto"/>
        <w:ind w:firstLineChars="200" w:firstLine="422"/>
        <w:jc w:val="left"/>
        <w:rPr>
          <w:rFonts w:ascii="新宋体" w:eastAsia="新宋体" w:hAnsi="新宋体" w:cs="宋体" w:hint="eastAsia"/>
          <w:b/>
          <w:kern w:val="0"/>
          <w:szCs w:val="21"/>
          <w:u w:val="single"/>
        </w:rPr>
      </w:pPr>
      <w:r>
        <w:rPr>
          <w:rFonts w:ascii="新宋体" w:eastAsia="新宋体" w:hAnsi="新宋体" w:cs="宋体" w:hint="eastAsia"/>
          <w:b/>
          <w:kern w:val="0"/>
          <w:szCs w:val="21"/>
        </w:rPr>
        <w:t>本理财计划的测算收益、业绩比较基准等类似表述仅供客户投资决策参考，不代表客户可能获得的实际收益，亦不构成青银理财对本理财计划的任何收益承诺。</w:t>
      </w:r>
      <w:r>
        <w:rPr>
          <w:rFonts w:ascii="新宋体" w:eastAsia="新宋体" w:hAnsi="新宋体" w:cs="宋体" w:hint="eastAsia"/>
          <w:b/>
          <w:kern w:val="0"/>
          <w:szCs w:val="21"/>
          <w:u w:val="single"/>
        </w:rPr>
        <w:t>理财产品过往业绩不代表其未来表现，不等于理财产品实际收益，投资须谨慎。</w:t>
      </w:r>
    </w:p>
    <w:p w14:paraId="3622AAA9" w14:textId="77777777" w:rsidR="00E14B1C" w:rsidRDefault="003F19C6">
      <w:pPr>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本理财计划的产品说明书、投资协议书、风险揭示书、客户权益须知等为本理财计划销售协议不可分割的组成部分。购买理财产品前，您应仔细阅读上述文件中的各项条款，确保自己完全理解本理财计划的产品性质、资金投向、各类风险等基本情况，在慎重考虑后自行决定购买与自身风险承受能力和理财需求相匹配的理财产品。</w:t>
      </w:r>
    </w:p>
    <w:p w14:paraId="6AF9D947"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投资者承诺其用于认购理财计划的资金来源合法合规，不存在使用贷款、发行债券等筹集的非自有资金投资本理财产品的情形。</w:t>
      </w:r>
    </w:p>
    <w:p w14:paraId="0E11685D"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投资者承诺投资本理财产品使用的资金为投资者合法持有，不存在代他人持有或投资理财产品的情形；资金来源合法合规，不属于依据联合国、中国政府、美国政府、欧盟等国际组织或政府制裁范围；仅为合法目的投资本理财产品；投资者将配合销售服务机构及管理人开展投资者适当性管理、客户身份识别及尽职调查等反洗钱、反恐怖融资、反扩散融资及非居民金融账户涉税信息尽职调查等活动，及时、真实、准确、完整提供身份信息及资金来源等信息。</w:t>
      </w:r>
    </w:p>
    <w:p w14:paraId="4CDD7D18" w14:textId="4012E47A" w:rsidR="00E14B1C" w:rsidRDefault="003F19C6">
      <w:pPr>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在本理财计划存续期内，如出于维持本产品正常运营的需要且在不损害投资者利益的前提下，或因国家法律法规、监管规定发生变化， 管理人有权在法律允许的范围内单方对本产品说明书进行修订。 管理人决定对产品说明书进行修订的，将以本《产品说明书》约定的信息披露方式向投资者进行信息披露，</w:t>
      </w:r>
      <w:r>
        <w:rPr>
          <w:rFonts w:ascii="新宋体" w:eastAsia="新宋体" w:hAnsi="新宋体" w:cs="宋体"/>
          <w:b/>
          <w:kern w:val="0"/>
          <w:szCs w:val="21"/>
        </w:rPr>
        <w:t>并在一年内完成说明书调整更新，</w:t>
      </w:r>
      <w:r>
        <w:rPr>
          <w:rFonts w:ascii="新宋体" w:eastAsia="新宋体" w:hAnsi="新宋体" w:cs="宋体" w:hint="eastAsia"/>
          <w:b/>
          <w:kern w:val="0"/>
          <w:szCs w:val="21"/>
        </w:rPr>
        <w:t>管理人按照前述规则发布该信息披露即视为该修订通知已送达投资者并对投资者具有法律约束力。</w:t>
      </w:r>
    </w:p>
    <w:p w14:paraId="6814DC3B"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一、产品概述</w:t>
      </w:r>
    </w:p>
    <w:tbl>
      <w:tblPr>
        <w:tblW w:w="5263" w:type="pct"/>
        <w:tblInd w:w="-25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1776"/>
        <w:gridCol w:w="8304"/>
      </w:tblGrid>
      <w:tr w:rsidR="00E14B1C" w14:paraId="6F783C2A" w14:textId="77777777">
        <w:trPr>
          <w:trHeight w:val="298"/>
        </w:trPr>
        <w:tc>
          <w:tcPr>
            <w:tcW w:w="5000" w:type="pct"/>
            <w:gridSpan w:val="2"/>
            <w:vAlign w:val="center"/>
          </w:tcPr>
          <w:p w14:paraId="0351AD76"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b/>
                <w:szCs w:val="21"/>
              </w:rPr>
              <w:t>本理财计划的青银理财内部风险评级为稳健型★★，适合经青银理财或代理销售机构评估为稳健型及以上级别个人投资者和机构投资者购买。上述信息仅供参考。</w:t>
            </w:r>
          </w:p>
        </w:tc>
      </w:tr>
      <w:tr w:rsidR="00E14B1C" w14:paraId="23250EEC" w14:textId="77777777">
        <w:trPr>
          <w:trHeight w:val="247"/>
        </w:trPr>
        <w:tc>
          <w:tcPr>
            <w:tcW w:w="881" w:type="pct"/>
            <w:vAlign w:val="center"/>
          </w:tcPr>
          <w:p w14:paraId="72A90F3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产品名称</w:t>
            </w:r>
          </w:p>
        </w:tc>
        <w:tc>
          <w:tcPr>
            <w:tcW w:w="4118" w:type="pct"/>
            <w:vAlign w:val="center"/>
          </w:tcPr>
          <w:p w14:paraId="5AB9C0C4"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青银理财璀璨人生奋斗系列开放式净值型人民币个人理财计划（单周开放</w:t>
            </w:r>
            <w:r>
              <w:rPr>
                <w:rFonts w:ascii="新宋体" w:eastAsia="新宋体" w:hAnsi="新宋体"/>
                <w:szCs w:val="21"/>
              </w:rPr>
              <w:t>E</w:t>
            </w:r>
            <w:r>
              <w:rPr>
                <w:rFonts w:ascii="新宋体" w:eastAsia="新宋体" w:hAnsi="新宋体" w:hint="eastAsia"/>
                <w:szCs w:val="21"/>
              </w:rPr>
              <w:t>款）</w:t>
            </w:r>
          </w:p>
        </w:tc>
      </w:tr>
      <w:tr w:rsidR="00E14B1C" w14:paraId="73932C05" w14:textId="77777777">
        <w:trPr>
          <w:trHeight w:val="247"/>
        </w:trPr>
        <w:tc>
          <w:tcPr>
            <w:tcW w:w="881" w:type="pct"/>
            <w:vAlign w:val="center"/>
          </w:tcPr>
          <w:p w14:paraId="5FBA46E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理财信息登记系统产品登记编码</w:t>
            </w:r>
          </w:p>
        </w:tc>
        <w:tc>
          <w:tcPr>
            <w:tcW w:w="4118" w:type="pct"/>
            <w:vAlign w:val="center"/>
          </w:tcPr>
          <w:p w14:paraId="083EFD97" w14:textId="77777777" w:rsidR="00E14B1C" w:rsidRDefault="003F19C6">
            <w:pPr>
              <w:spacing w:line="276" w:lineRule="auto"/>
              <w:jc w:val="left"/>
              <w:rPr>
                <w:szCs w:val="21"/>
              </w:rPr>
            </w:pPr>
            <w:r>
              <w:rPr>
                <w:szCs w:val="21"/>
              </w:rPr>
              <w:t>Z7003521000188</w:t>
            </w:r>
            <w:r>
              <w:rPr>
                <w:rFonts w:hint="eastAsia"/>
                <w:szCs w:val="21"/>
              </w:rPr>
              <w:t>，</w:t>
            </w:r>
            <w:r>
              <w:rPr>
                <w:rFonts w:ascii="新宋体" w:eastAsia="新宋体" w:hAnsi="新宋体" w:hint="eastAsia"/>
              </w:rPr>
              <w:t>投资者可依据该编码通过中国理财网（http://www.chinawealth.com.cn）查询产品信息</w:t>
            </w:r>
          </w:p>
        </w:tc>
      </w:tr>
      <w:tr w:rsidR="00E14B1C" w14:paraId="2F2D575E" w14:textId="77777777">
        <w:trPr>
          <w:trHeight w:val="247"/>
        </w:trPr>
        <w:tc>
          <w:tcPr>
            <w:tcW w:w="881" w:type="pct"/>
            <w:vAlign w:val="center"/>
          </w:tcPr>
          <w:p w14:paraId="700CB56C"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lastRenderedPageBreak/>
              <w:t>产品简称</w:t>
            </w:r>
          </w:p>
        </w:tc>
        <w:tc>
          <w:tcPr>
            <w:tcW w:w="4118" w:type="pct"/>
            <w:vAlign w:val="center"/>
          </w:tcPr>
          <w:p w14:paraId="3298E8F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青银理财璀璨人生奋斗系列单周定开</w:t>
            </w:r>
            <w:r>
              <w:rPr>
                <w:rFonts w:ascii="新宋体" w:eastAsia="新宋体" w:hAnsi="新宋体"/>
                <w:szCs w:val="21"/>
              </w:rPr>
              <w:t>E</w:t>
            </w:r>
            <w:r>
              <w:rPr>
                <w:rFonts w:ascii="新宋体" w:eastAsia="新宋体" w:hAnsi="新宋体" w:hint="eastAsia"/>
                <w:szCs w:val="21"/>
              </w:rPr>
              <w:t>款</w:t>
            </w:r>
          </w:p>
        </w:tc>
      </w:tr>
      <w:tr w:rsidR="00E14B1C" w14:paraId="2A65D984" w14:textId="77777777">
        <w:trPr>
          <w:trHeight w:val="247"/>
        </w:trPr>
        <w:tc>
          <w:tcPr>
            <w:tcW w:w="881" w:type="pct"/>
            <w:vAlign w:val="center"/>
          </w:tcPr>
          <w:p w14:paraId="797D879D"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产品代码</w:t>
            </w:r>
          </w:p>
        </w:tc>
        <w:tc>
          <w:tcPr>
            <w:tcW w:w="4118" w:type="pct"/>
            <w:vAlign w:val="center"/>
          </w:tcPr>
          <w:p w14:paraId="5FC88366" w14:textId="77777777" w:rsidR="00E14B1C" w:rsidRDefault="003F19C6">
            <w:pPr>
              <w:spacing w:line="276" w:lineRule="auto"/>
              <w:jc w:val="left"/>
              <w:rPr>
                <w:szCs w:val="21"/>
              </w:rPr>
            </w:pPr>
            <w:r>
              <w:rPr>
                <w:szCs w:val="21"/>
              </w:rPr>
              <w:t>CCRSFD07E</w:t>
            </w:r>
          </w:p>
        </w:tc>
      </w:tr>
      <w:tr w:rsidR="00E14B1C" w14:paraId="6AFA00CA" w14:textId="77777777">
        <w:trPr>
          <w:trHeight w:val="247"/>
        </w:trPr>
        <w:tc>
          <w:tcPr>
            <w:tcW w:w="881" w:type="pct"/>
            <w:vAlign w:val="center"/>
          </w:tcPr>
          <w:p w14:paraId="3F6F3B5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产品类型</w:t>
            </w:r>
          </w:p>
        </w:tc>
        <w:tc>
          <w:tcPr>
            <w:tcW w:w="4118" w:type="pct"/>
            <w:vAlign w:val="center"/>
          </w:tcPr>
          <w:p w14:paraId="29458487" w14:textId="2FD3FD81" w:rsidR="00E14B1C" w:rsidRDefault="003F19C6">
            <w:pPr>
              <w:spacing w:line="276" w:lineRule="auto"/>
              <w:jc w:val="left"/>
              <w:rPr>
                <w:rFonts w:ascii="新宋体" w:eastAsia="新宋体" w:hAnsi="新宋体" w:hint="eastAsia"/>
                <w:b/>
                <w:szCs w:val="21"/>
              </w:rPr>
            </w:pPr>
            <w:r>
              <w:rPr>
                <w:rFonts w:ascii="新宋体" w:eastAsia="新宋体" w:hAnsi="新宋体" w:hint="eastAsia"/>
                <w:b/>
                <w:szCs w:val="21"/>
              </w:rPr>
              <w:t>非保本浮动收益型，开放式，净值型，公募类</w:t>
            </w:r>
          </w:p>
        </w:tc>
      </w:tr>
      <w:tr w:rsidR="00E14B1C" w14:paraId="4A19E1DB" w14:textId="77777777">
        <w:trPr>
          <w:trHeight w:val="247"/>
        </w:trPr>
        <w:tc>
          <w:tcPr>
            <w:tcW w:w="881" w:type="pct"/>
            <w:vAlign w:val="center"/>
          </w:tcPr>
          <w:p w14:paraId="13FD25BE"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本金/收益币种</w:t>
            </w:r>
          </w:p>
        </w:tc>
        <w:tc>
          <w:tcPr>
            <w:tcW w:w="4118" w:type="pct"/>
            <w:vAlign w:val="center"/>
          </w:tcPr>
          <w:p w14:paraId="719DB44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人民币</w:t>
            </w:r>
          </w:p>
        </w:tc>
      </w:tr>
      <w:tr w:rsidR="00E14B1C" w14:paraId="58F8D88B" w14:textId="77777777">
        <w:trPr>
          <w:trHeight w:val="247"/>
        </w:trPr>
        <w:tc>
          <w:tcPr>
            <w:tcW w:w="881" w:type="pct"/>
            <w:vAlign w:val="center"/>
          </w:tcPr>
          <w:p w14:paraId="5DFA7549"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销售服务机构</w:t>
            </w:r>
          </w:p>
        </w:tc>
        <w:tc>
          <w:tcPr>
            <w:tcW w:w="4118" w:type="pct"/>
            <w:vAlign w:val="center"/>
          </w:tcPr>
          <w:p w14:paraId="6C724C7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青银理财及符合《理财公司理财产品销售管理暂行办法》和国家金融监督管理总局规定，办理理财产品销售业务的机构。</w:t>
            </w:r>
          </w:p>
          <w:p w14:paraId="77ECF82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销售服务机构负责包括理财计划宣传推广、投资者风险承受能力评估和投资者适当性管理、理财计划份额认购</w:t>
            </w:r>
            <w:r>
              <w:rPr>
                <w:rFonts w:ascii="新宋体" w:eastAsia="新宋体" w:hAnsi="新宋体"/>
                <w:szCs w:val="21"/>
              </w:rPr>
              <w:t>/赎回、协助管理人与投资者订立理财计划合同、协助投资者与管理人沟通、接受投资者咨询和客户维护等销售服务。</w:t>
            </w:r>
            <w:r>
              <w:rPr>
                <w:rFonts w:ascii="新宋体" w:eastAsia="新宋体" w:hAnsi="新宋体" w:hint="eastAsia"/>
                <w:szCs w:val="21"/>
              </w:rPr>
              <w:t>（具体信息见</w:t>
            </w:r>
            <w:r>
              <w:rPr>
                <w:rFonts w:ascii="新宋体" w:eastAsia="新宋体" w:hAnsi="新宋体" w:hint="eastAsia"/>
                <w:b/>
                <w:szCs w:val="21"/>
              </w:rPr>
              <w:t>七、销售服务机构</w:t>
            </w:r>
            <w:r>
              <w:rPr>
                <w:rFonts w:ascii="新宋体" w:eastAsia="新宋体" w:hAnsi="新宋体" w:hint="eastAsia"/>
                <w:szCs w:val="21"/>
              </w:rPr>
              <w:t>）</w:t>
            </w:r>
          </w:p>
        </w:tc>
      </w:tr>
      <w:tr w:rsidR="00E14B1C" w14:paraId="769BEEDD" w14:textId="77777777">
        <w:trPr>
          <w:trHeight w:val="247"/>
        </w:trPr>
        <w:tc>
          <w:tcPr>
            <w:tcW w:w="881" w:type="pct"/>
            <w:vAlign w:val="center"/>
          </w:tcPr>
          <w:p w14:paraId="5D98276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产品募集期</w:t>
            </w:r>
          </w:p>
        </w:tc>
        <w:tc>
          <w:tcPr>
            <w:tcW w:w="4118" w:type="pct"/>
            <w:vAlign w:val="center"/>
          </w:tcPr>
          <w:p w14:paraId="312BC11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20</w:t>
            </w:r>
            <w:r>
              <w:rPr>
                <w:rFonts w:ascii="新宋体" w:eastAsia="新宋体" w:hAnsi="新宋体"/>
                <w:szCs w:val="21"/>
              </w:rPr>
              <w:t>21</w:t>
            </w:r>
            <w:r>
              <w:rPr>
                <w:rFonts w:ascii="新宋体" w:eastAsia="新宋体" w:hAnsi="新宋体" w:hint="eastAsia"/>
                <w:szCs w:val="21"/>
              </w:rPr>
              <w:t>年</w:t>
            </w:r>
            <w:r>
              <w:rPr>
                <w:rFonts w:ascii="新宋体" w:eastAsia="新宋体" w:hAnsi="新宋体"/>
                <w:szCs w:val="21"/>
              </w:rPr>
              <w:t>04</w:t>
            </w:r>
            <w:r>
              <w:rPr>
                <w:rFonts w:ascii="新宋体" w:eastAsia="新宋体" w:hAnsi="新宋体" w:hint="eastAsia"/>
                <w:szCs w:val="21"/>
              </w:rPr>
              <w:t>月</w:t>
            </w:r>
            <w:r>
              <w:rPr>
                <w:rFonts w:ascii="新宋体" w:eastAsia="新宋体" w:hAnsi="新宋体"/>
                <w:szCs w:val="21"/>
              </w:rPr>
              <w:t>09</w:t>
            </w:r>
            <w:r>
              <w:rPr>
                <w:rFonts w:ascii="新宋体" w:eastAsia="新宋体" w:hAnsi="新宋体" w:hint="eastAsia"/>
                <w:szCs w:val="21"/>
              </w:rPr>
              <w:t xml:space="preserve">日 </w:t>
            </w:r>
            <w:r>
              <w:rPr>
                <w:rFonts w:ascii="新宋体" w:eastAsia="新宋体" w:hAnsi="新宋体"/>
                <w:szCs w:val="21"/>
              </w:rPr>
              <w:t>9</w:t>
            </w:r>
            <w:r>
              <w:rPr>
                <w:rFonts w:ascii="新宋体" w:eastAsia="新宋体" w:hAnsi="新宋体" w:hint="eastAsia"/>
                <w:szCs w:val="21"/>
              </w:rPr>
              <w:t>:00 ——20</w:t>
            </w:r>
            <w:r>
              <w:rPr>
                <w:rFonts w:ascii="新宋体" w:eastAsia="新宋体" w:hAnsi="新宋体"/>
                <w:szCs w:val="21"/>
              </w:rPr>
              <w:t>21</w:t>
            </w:r>
            <w:r>
              <w:rPr>
                <w:rFonts w:ascii="新宋体" w:eastAsia="新宋体" w:hAnsi="新宋体" w:hint="eastAsia"/>
                <w:szCs w:val="21"/>
              </w:rPr>
              <w:t>年</w:t>
            </w:r>
            <w:r>
              <w:rPr>
                <w:rFonts w:ascii="新宋体" w:eastAsia="新宋体" w:hAnsi="新宋体"/>
                <w:szCs w:val="21"/>
              </w:rPr>
              <w:t>04</w:t>
            </w:r>
            <w:r>
              <w:rPr>
                <w:rFonts w:ascii="新宋体" w:eastAsia="新宋体" w:hAnsi="新宋体" w:hint="eastAsia"/>
                <w:szCs w:val="21"/>
              </w:rPr>
              <w:t>月</w:t>
            </w:r>
            <w:r>
              <w:rPr>
                <w:rFonts w:ascii="新宋体" w:eastAsia="新宋体" w:hAnsi="新宋体"/>
                <w:szCs w:val="21"/>
              </w:rPr>
              <w:t>13</w:t>
            </w:r>
            <w:r>
              <w:rPr>
                <w:rFonts w:ascii="新宋体" w:eastAsia="新宋体" w:hAnsi="新宋体" w:hint="eastAsia"/>
                <w:szCs w:val="21"/>
              </w:rPr>
              <w:t>日 1</w:t>
            </w:r>
            <w:r>
              <w:rPr>
                <w:rFonts w:ascii="新宋体" w:eastAsia="新宋体" w:hAnsi="新宋体"/>
                <w:szCs w:val="21"/>
              </w:rPr>
              <w:t>5</w:t>
            </w:r>
            <w:r>
              <w:rPr>
                <w:rFonts w:ascii="新宋体" w:eastAsia="新宋体" w:hAnsi="新宋体" w:hint="eastAsia"/>
                <w:szCs w:val="21"/>
              </w:rPr>
              <w:t>:00</w:t>
            </w:r>
          </w:p>
        </w:tc>
      </w:tr>
      <w:tr w:rsidR="00E14B1C" w14:paraId="1970030E" w14:textId="77777777">
        <w:trPr>
          <w:trHeight w:val="247"/>
        </w:trPr>
        <w:tc>
          <w:tcPr>
            <w:tcW w:w="881" w:type="pct"/>
            <w:vAlign w:val="center"/>
          </w:tcPr>
          <w:p w14:paraId="57278E1E"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产品成立日</w:t>
            </w:r>
          </w:p>
        </w:tc>
        <w:tc>
          <w:tcPr>
            <w:tcW w:w="4118" w:type="pct"/>
            <w:vAlign w:val="center"/>
          </w:tcPr>
          <w:p w14:paraId="2383FC3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20</w:t>
            </w:r>
            <w:r>
              <w:rPr>
                <w:rFonts w:ascii="新宋体" w:eastAsia="新宋体" w:hAnsi="新宋体"/>
                <w:szCs w:val="21"/>
              </w:rPr>
              <w:t>21</w:t>
            </w:r>
            <w:r>
              <w:rPr>
                <w:rFonts w:ascii="新宋体" w:eastAsia="新宋体" w:hAnsi="新宋体" w:hint="eastAsia"/>
                <w:szCs w:val="21"/>
              </w:rPr>
              <w:t>年</w:t>
            </w:r>
            <w:r>
              <w:rPr>
                <w:rFonts w:ascii="新宋体" w:eastAsia="新宋体" w:hAnsi="新宋体"/>
                <w:szCs w:val="21"/>
              </w:rPr>
              <w:t>04</w:t>
            </w:r>
            <w:r>
              <w:rPr>
                <w:rFonts w:ascii="新宋体" w:eastAsia="新宋体" w:hAnsi="新宋体" w:hint="eastAsia"/>
                <w:szCs w:val="21"/>
              </w:rPr>
              <w:t>月</w:t>
            </w:r>
            <w:r>
              <w:rPr>
                <w:rFonts w:ascii="新宋体" w:eastAsia="新宋体" w:hAnsi="新宋体"/>
                <w:szCs w:val="21"/>
              </w:rPr>
              <w:t>14</w:t>
            </w:r>
            <w:r>
              <w:rPr>
                <w:rFonts w:ascii="新宋体" w:eastAsia="新宋体" w:hAnsi="新宋体" w:hint="eastAsia"/>
                <w:szCs w:val="21"/>
              </w:rPr>
              <w:t>日，本理财计划自成立日起起息运作</w:t>
            </w:r>
          </w:p>
        </w:tc>
      </w:tr>
      <w:tr w:rsidR="00E14B1C" w14:paraId="4B4FB06B"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7931FC9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产品到期日</w:t>
            </w:r>
          </w:p>
        </w:tc>
        <w:tc>
          <w:tcPr>
            <w:tcW w:w="4118" w:type="pct"/>
            <w:tcBorders>
              <w:top w:val="dotted" w:sz="4" w:space="0" w:color="auto"/>
              <w:left w:val="dotted" w:sz="4" w:space="0" w:color="auto"/>
              <w:bottom w:val="dotted" w:sz="4" w:space="0" w:color="auto"/>
              <w:right w:val="dotted" w:sz="4" w:space="0" w:color="auto"/>
            </w:tcBorders>
            <w:vAlign w:val="center"/>
          </w:tcPr>
          <w:p w14:paraId="0DB3F1CB"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2031</w:t>
            </w:r>
            <w:r>
              <w:rPr>
                <w:rFonts w:ascii="新宋体" w:eastAsia="新宋体" w:hAnsi="新宋体" w:hint="eastAsia"/>
                <w:szCs w:val="21"/>
              </w:rPr>
              <w:t>年</w:t>
            </w:r>
            <w:r>
              <w:rPr>
                <w:rFonts w:ascii="新宋体" w:eastAsia="新宋体" w:hAnsi="新宋体"/>
                <w:szCs w:val="21"/>
              </w:rPr>
              <w:t>05</w:t>
            </w:r>
            <w:r>
              <w:rPr>
                <w:rFonts w:ascii="新宋体" w:eastAsia="新宋体" w:hAnsi="新宋体" w:hint="eastAsia"/>
                <w:szCs w:val="21"/>
              </w:rPr>
              <w:t>月</w:t>
            </w:r>
            <w:r>
              <w:rPr>
                <w:rFonts w:ascii="新宋体" w:eastAsia="新宋体" w:hAnsi="新宋体"/>
                <w:szCs w:val="21"/>
              </w:rPr>
              <w:t>15</w:t>
            </w:r>
            <w:r>
              <w:rPr>
                <w:rFonts w:ascii="新宋体" w:eastAsia="新宋体" w:hAnsi="新宋体" w:hint="eastAsia"/>
                <w:szCs w:val="21"/>
              </w:rPr>
              <w:t>日。如青银理财提前（延期）终止本理财计划，则产品到期日为提前（延期）终止日，产品到期日以届时青银理财公告信息为准。</w:t>
            </w:r>
          </w:p>
        </w:tc>
      </w:tr>
      <w:tr w:rsidR="00E14B1C" w14:paraId="64F4AC11"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4B2FD123"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工作日</w:t>
            </w:r>
          </w:p>
        </w:tc>
        <w:tc>
          <w:tcPr>
            <w:tcW w:w="4118" w:type="pct"/>
            <w:tcBorders>
              <w:top w:val="dotted" w:sz="4" w:space="0" w:color="auto"/>
              <w:left w:val="dotted" w:sz="4" w:space="0" w:color="auto"/>
              <w:bottom w:val="dotted" w:sz="4" w:space="0" w:color="auto"/>
              <w:right w:val="dotted" w:sz="4" w:space="0" w:color="auto"/>
            </w:tcBorders>
            <w:vAlign w:val="center"/>
          </w:tcPr>
          <w:p w14:paraId="0477048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除国家法定节假日、公休日以外的其他日</w:t>
            </w:r>
          </w:p>
        </w:tc>
      </w:tr>
      <w:tr w:rsidR="00E14B1C" w14:paraId="14B03277" w14:textId="77777777">
        <w:trPr>
          <w:trHeight w:val="247"/>
        </w:trPr>
        <w:tc>
          <w:tcPr>
            <w:tcW w:w="881" w:type="pct"/>
            <w:vAlign w:val="center"/>
          </w:tcPr>
          <w:p w14:paraId="1979F4E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交易日</w:t>
            </w:r>
          </w:p>
        </w:tc>
        <w:tc>
          <w:tcPr>
            <w:tcW w:w="4118" w:type="pct"/>
            <w:vAlign w:val="center"/>
          </w:tcPr>
          <w:p w14:paraId="76B4E48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指上海证券交易所、深圳证券交易所及全国银行间债券市场同时开放交易的工作日。</w:t>
            </w:r>
          </w:p>
        </w:tc>
      </w:tr>
      <w:tr w:rsidR="00E14B1C" w14:paraId="782AD1C2"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468CB8D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产品规模上限</w:t>
            </w:r>
          </w:p>
        </w:tc>
        <w:tc>
          <w:tcPr>
            <w:tcW w:w="4118" w:type="pct"/>
            <w:tcBorders>
              <w:top w:val="dotted" w:sz="4" w:space="0" w:color="auto"/>
              <w:left w:val="dotted" w:sz="4" w:space="0" w:color="auto"/>
              <w:bottom w:val="dotted" w:sz="4" w:space="0" w:color="auto"/>
              <w:right w:val="dotted" w:sz="4" w:space="0" w:color="auto"/>
            </w:tcBorders>
            <w:vAlign w:val="center"/>
          </w:tcPr>
          <w:p w14:paraId="1F9C50D3"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人民币</w:t>
            </w:r>
            <w:r>
              <w:rPr>
                <w:rFonts w:ascii="新宋体" w:eastAsia="新宋体" w:hAnsi="新宋体"/>
                <w:szCs w:val="21"/>
              </w:rPr>
              <w:t>5</w:t>
            </w:r>
            <w:r>
              <w:rPr>
                <w:rFonts w:ascii="新宋体" w:eastAsia="新宋体" w:hAnsi="新宋体" w:hint="eastAsia"/>
                <w:szCs w:val="21"/>
              </w:rPr>
              <w:t>0</w:t>
            </w:r>
            <w:r>
              <w:rPr>
                <w:rFonts w:ascii="新宋体" w:eastAsia="新宋体" w:hAnsi="新宋体"/>
                <w:szCs w:val="21"/>
              </w:rPr>
              <w:t>0</w:t>
            </w:r>
            <w:r>
              <w:rPr>
                <w:rFonts w:ascii="新宋体" w:eastAsia="新宋体" w:hAnsi="新宋体" w:hint="eastAsia"/>
                <w:szCs w:val="21"/>
              </w:rPr>
              <w:t>亿元。</w:t>
            </w:r>
          </w:p>
          <w:p w14:paraId="4AD56905"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如需调整规模上限，青银理财将最迟提前2个交易日发布公告。</w:t>
            </w:r>
          </w:p>
        </w:tc>
      </w:tr>
      <w:tr w:rsidR="00E14B1C" w14:paraId="604ACBE1"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1DBE03B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单一投资者</w:t>
            </w:r>
          </w:p>
          <w:p w14:paraId="1DA1C0F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持有上限</w:t>
            </w:r>
          </w:p>
        </w:tc>
        <w:tc>
          <w:tcPr>
            <w:tcW w:w="4118" w:type="pct"/>
            <w:tcBorders>
              <w:top w:val="dotted" w:sz="4" w:space="0" w:color="auto"/>
              <w:left w:val="dotted" w:sz="4" w:space="0" w:color="auto"/>
              <w:bottom w:val="dotted" w:sz="4" w:space="0" w:color="auto"/>
              <w:right w:val="dotted" w:sz="4" w:space="0" w:color="auto"/>
            </w:tcBorders>
            <w:vAlign w:val="center"/>
          </w:tcPr>
          <w:p w14:paraId="6174F875"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单一投资者持有份额不得超过产品总份额的50%。</w:t>
            </w:r>
          </w:p>
          <w:p w14:paraId="5F6C7ED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非因管理人主观因素导致突破上述比例限制的，在单一投资者持有比例降至</w:t>
            </w:r>
            <w:r>
              <w:rPr>
                <w:rFonts w:ascii="新宋体" w:eastAsia="新宋体" w:hAnsi="新宋体"/>
                <w:szCs w:val="21"/>
              </w:rPr>
              <w:t>50%以下之前，</w:t>
            </w:r>
            <w:r>
              <w:rPr>
                <w:rFonts w:ascii="新宋体" w:eastAsia="新宋体" w:hAnsi="新宋体" w:hint="eastAsia"/>
                <w:szCs w:val="21"/>
              </w:rPr>
              <w:t>管理人</w:t>
            </w:r>
            <w:r>
              <w:rPr>
                <w:rFonts w:ascii="新宋体" w:eastAsia="新宋体" w:hAnsi="新宋体"/>
                <w:szCs w:val="21"/>
              </w:rPr>
              <w:t>不再接受该投资者对</w:t>
            </w:r>
            <w:r>
              <w:rPr>
                <w:rFonts w:ascii="新宋体" w:eastAsia="新宋体" w:hAnsi="新宋体" w:hint="eastAsia"/>
                <w:szCs w:val="21"/>
              </w:rPr>
              <w:t>本</w:t>
            </w:r>
            <w:r>
              <w:rPr>
                <w:rFonts w:ascii="新宋体" w:eastAsia="新宋体" w:hAnsi="新宋体"/>
                <w:szCs w:val="21"/>
              </w:rPr>
              <w:t>理财产品的</w:t>
            </w:r>
            <w:r>
              <w:rPr>
                <w:rFonts w:ascii="新宋体" w:eastAsia="新宋体" w:hAnsi="新宋体" w:hint="eastAsia"/>
                <w:szCs w:val="21"/>
              </w:rPr>
              <w:t>购买</w:t>
            </w:r>
            <w:r>
              <w:rPr>
                <w:rFonts w:ascii="新宋体" w:eastAsia="新宋体" w:hAnsi="新宋体"/>
                <w:szCs w:val="21"/>
              </w:rPr>
              <w:t>申请。</w:t>
            </w:r>
          </w:p>
        </w:tc>
      </w:tr>
      <w:tr w:rsidR="00E14B1C" w14:paraId="29678442"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307C6569"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产品认购及确认</w:t>
            </w:r>
          </w:p>
        </w:tc>
        <w:tc>
          <w:tcPr>
            <w:tcW w:w="4118" w:type="pct"/>
            <w:tcBorders>
              <w:top w:val="dotted" w:sz="4" w:space="0" w:color="auto"/>
              <w:left w:val="dotted" w:sz="4" w:space="0" w:color="auto"/>
              <w:bottom w:val="dotted" w:sz="4" w:space="0" w:color="auto"/>
              <w:right w:val="dotted" w:sz="4" w:space="0" w:color="auto"/>
            </w:tcBorders>
            <w:vAlign w:val="center"/>
          </w:tcPr>
          <w:p w14:paraId="2F4B2B7C"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1.本产品在成立日对认购申请的有效性进行确认。</w:t>
            </w:r>
          </w:p>
          <w:p w14:paraId="71D012AE"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 xml:space="preserve">2.募集期产品份额净值为1.000000 </w:t>
            </w:r>
            <w:r>
              <w:rPr>
                <w:rFonts w:ascii="新宋体" w:eastAsia="新宋体" w:hAnsi="新宋体" w:hint="eastAsia"/>
                <w:szCs w:val="21"/>
              </w:rPr>
              <w:t>元</w:t>
            </w:r>
            <w:r>
              <w:rPr>
                <w:rFonts w:ascii="新宋体" w:eastAsia="新宋体" w:hAnsi="新宋体"/>
                <w:szCs w:val="21"/>
              </w:rPr>
              <w:t>/份。</w:t>
            </w:r>
          </w:p>
          <w:p w14:paraId="566986DC"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3.认购份额=认购金额÷1.000000。</w:t>
            </w:r>
          </w:p>
        </w:tc>
      </w:tr>
      <w:tr w:rsidR="00E14B1C" w14:paraId="389EDE94"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0349A5C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初始销售面值</w:t>
            </w:r>
          </w:p>
        </w:tc>
        <w:tc>
          <w:tcPr>
            <w:tcW w:w="4118" w:type="pct"/>
            <w:tcBorders>
              <w:top w:val="dotted" w:sz="4" w:space="0" w:color="auto"/>
              <w:left w:val="dotted" w:sz="4" w:space="0" w:color="auto"/>
              <w:bottom w:val="dotted" w:sz="4" w:space="0" w:color="auto"/>
              <w:right w:val="dotted" w:sz="4" w:space="0" w:color="auto"/>
            </w:tcBorders>
            <w:vAlign w:val="center"/>
          </w:tcPr>
          <w:p w14:paraId="3B68A56B"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1元/份</w:t>
            </w:r>
          </w:p>
        </w:tc>
      </w:tr>
      <w:tr w:rsidR="00E14B1C" w14:paraId="211016AE" w14:textId="77777777">
        <w:trPr>
          <w:trHeight w:val="247"/>
        </w:trPr>
        <w:tc>
          <w:tcPr>
            <w:tcW w:w="881" w:type="pct"/>
            <w:vAlign w:val="center"/>
          </w:tcPr>
          <w:p w14:paraId="41CDA30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开放日</w:t>
            </w:r>
          </w:p>
        </w:tc>
        <w:tc>
          <w:tcPr>
            <w:tcW w:w="4118" w:type="pct"/>
            <w:vAlign w:val="center"/>
          </w:tcPr>
          <w:p w14:paraId="08F4973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w:t>
            </w:r>
            <w:r>
              <w:rPr>
                <w:rFonts w:ascii="新宋体" w:eastAsia="新宋体" w:hAnsi="新宋体"/>
                <w:szCs w:val="21"/>
              </w:rPr>
              <w:t>.</w:t>
            </w:r>
            <w:r>
              <w:rPr>
                <w:rFonts w:ascii="新宋体" w:eastAsia="新宋体" w:hAnsi="新宋体" w:hint="eastAsia"/>
                <w:szCs w:val="21"/>
              </w:rPr>
              <w:t>指本产品开放申购、赎回的日期</w:t>
            </w:r>
            <w:r>
              <w:rPr>
                <w:rFonts w:ascii="新宋体" w:eastAsia="新宋体" w:hAnsi="新宋体"/>
                <w:szCs w:val="21"/>
              </w:rPr>
              <w:t>，首个开放日为</w:t>
            </w:r>
            <w:r>
              <w:rPr>
                <w:rFonts w:ascii="新宋体" w:eastAsia="新宋体" w:hAnsi="新宋体" w:hint="eastAsia"/>
                <w:szCs w:val="21"/>
              </w:rPr>
              <w:t>2021年</w:t>
            </w:r>
            <w:r>
              <w:rPr>
                <w:rFonts w:ascii="新宋体" w:eastAsia="新宋体" w:hAnsi="新宋体"/>
                <w:szCs w:val="21"/>
              </w:rPr>
              <w:t>4</w:t>
            </w:r>
            <w:r>
              <w:rPr>
                <w:rFonts w:ascii="新宋体" w:eastAsia="新宋体" w:hAnsi="新宋体" w:hint="eastAsia"/>
                <w:szCs w:val="21"/>
              </w:rPr>
              <w:t>月</w:t>
            </w:r>
            <w:r>
              <w:rPr>
                <w:rFonts w:ascii="新宋体" w:eastAsia="新宋体" w:hAnsi="新宋体"/>
                <w:szCs w:val="21"/>
              </w:rPr>
              <w:t>21日。</w:t>
            </w:r>
          </w:p>
          <w:p w14:paraId="2A59F7FE"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b/>
                <w:szCs w:val="21"/>
              </w:rPr>
              <w:t>2.自首个开放日起每周的周三为本产品开放日。开放预约申购/赎回为每周一至周三（以各销售机构设置的预约期为准），投资者在非开放日的预约申购/赎回申请行为统一视为在产品开放日提交申购/赎回申请。</w:t>
            </w:r>
            <w:r>
              <w:rPr>
                <w:rFonts w:ascii="新宋体" w:eastAsia="新宋体" w:hAnsi="新宋体" w:hint="eastAsia"/>
                <w:szCs w:val="21"/>
              </w:rPr>
              <w:t>投资者可在开放预约、申购时间内的9:00至1</w:t>
            </w:r>
            <w:r>
              <w:rPr>
                <w:rFonts w:ascii="新宋体" w:eastAsia="新宋体" w:hAnsi="新宋体"/>
                <w:szCs w:val="21"/>
              </w:rPr>
              <w:t>5</w:t>
            </w:r>
            <w:r>
              <w:rPr>
                <w:rFonts w:ascii="新宋体" w:eastAsia="新宋体" w:hAnsi="新宋体" w:hint="eastAsia"/>
                <w:szCs w:val="21"/>
              </w:rPr>
              <w:t>:00（含），提交申购、赎回的申请。申购、赎回期的申请，将以开放日的净值进行确认。</w:t>
            </w:r>
          </w:p>
          <w:p w14:paraId="588B8B09"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3</w:t>
            </w:r>
            <w:r>
              <w:rPr>
                <w:rFonts w:ascii="新宋体" w:eastAsia="新宋体" w:hAnsi="新宋体" w:hint="eastAsia"/>
                <w:szCs w:val="21"/>
              </w:rPr>
              <w:t>.若周三为非交易日，则开放日顺延至下一交易日，对应的开放预约</w:t>
            </w:r>
            <w:r>
              <w:rPr>
                <w:rFonts w:ascii="新宋体" w:eastAsia="新宋体" w:hAnsi="新宋体" w:hint="eastAsia"/>
                <w:bCs/>
                <w:szCs w:val="21"/>
              </w:rPr>
              <w:t>申购/赎回为开放日之前2个交易日至开放日（以各销售机构设置的预约期为准）</w:t>
            </w:r>
            <w:r>
              <w:rPr>
                <w:rFonts w:ascii="新宋体" w:eastAsia="新宋体" w:hAnsi="新宋体" w:hint="eastAsia"/>
                <w:szCs w:val="21"/>
              </w:rPr>
              <w:t>。</w:t>
            </w:r>
          </w:p>
          <w:p w14:paraId="7C61C83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4</w:t>
            </w:r>
            <w:r>
              <w:rPr>
                <w:rFonts w:ascii="新宋体" w:eastAsia="新宋体" w:hAnsi="新宋体"/>
                <w:szCs w:val="21"/>
              </w:rPr>
              <w:t>.</w:t>
            </w:r>
            <w:r>
              <w:rPr>
                <w:rFonts w:ascii="新宋体" w:eastAsia="新宋体" w:hAnsi="新宋体" w:hint="eastAsia"/>
                <w:szCs w:val="21"/>
              </w:rPr>
              <w:t>如遇特殊情况需调整开放日、预约申购/赎回区间的，管理人将在调整前</w:t>
            </w:r>
            <w:r>
              <w:rPr>
                <w:rFonts w:ascii="新宋体" w:eastAsia="新宋体" w:hAnsi="新宋体"/>
                <w:szCs w:val="21"/>
              </w:rPr>
              <w:t>2</w:t>
            </w:r>
            <w:r>
              <w:rPr>
                <w:rFonts w:ascii="新宋体" w:eastAsia="新宋体" w:hAnsi="新宋体" w:hint="eastAsia"/>
                <w:szCs w:val="21"/>
              </w:rPr>
              <w:t>个工作日进行公告</w:t>
            </w:r>
          </w:p>
          <w:p w14:paraId="4E4AA7B1" w14:textId="77777777" w:rsidR="00E14B1C" w:rsidRDefault="003F19C6">
            <w:pPr>
              <w:spacing w:line="276" w:lineRule="auto"/>
              <w:jc w:val="left"/>
              <w:rPr>
                <w:rFonts w:ascii="新宋体" w:eastAsia="新宋体" w:hAnsi="新宋体" w:hint="eastAsia"/>
                <w:szCs w:val="21"/>
              </w:rPr>
            </w:pPr>
            <w:r>
              <w:rPr>
                <w:rFonts w:ascii="新宋体" w:eastAsia="新宋体" w:hAnsi="新宋体"/>
                <w:szCs w:val="21"/>
              </w:rPr>
              <w:t>5.</w:t>
            </w:r>
            <w:r>
              <w:rPr>
                <w:rFonts w:ascii="新宋体" w:eastAsia="新宋体" w:hAnsi="新宋体" w:hint="eastAsia"/>
                <w:szCs w:val="21"/>
              </w:rPr>
              <w:t>本产品到期前最后一个开放日不接受购买、赎回等任何交易申请。</w:t>
            </w:r>
          </w:p>
        </w:tc>
      </w:tr>
      <w:tr w:rsidR="00E14B1C" w14:paraId="662A7D73" w14:textId="77777777">
        <w:trPr>
          <w:trHeight w:val="247"/>
        </w:trPr>
        <w:tc>
          <w:tcPr>
            <w:tcW w:w="881" w:type="pct"/>
            <w:vAlign w:val="center"/>
          </w:tcPr>
          <w:p w14:paraId="0142E1D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购买金额</w:t>
            </w:r>
          </w:p>
        </w:tc>
        <w:tc>
          <w:tcPr>
            <w:tcW w:w="4118" w:type="pct"/>
            <w:vAlign w:val="center"/>
          </w:tcPr>
          <w:p w14:paraId="7DDE934C"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1.首次购买最低</w:t>
            </w:r>
            <w:r>
              <w:rPr>
                <w:rFonts w:ascii="新宋体" w:eastAsia="新宋体" w:hAnsi="新宋体"/>
                <w:szCs w:val="21"/>
              </w:rPr>
              <w:t>1</w:t>
            </w:r>
            <w:r>
              <w:rPr>
                <w:rFonts w:ascii="新宋体" w:eastAsia="新宋体" w:hAnsi="新宋体" w:hint="eastAsia"/>
                <w:szCs w:val="21"/>
              </w:rPr>
              <w:t>元，以</w:t>
            </w:r>
            <w:r>
              <w:rPr>
                <w:rFonts w:ascii="新宋体" w:eastAsia="新宋体" w:hAnsi="新宋体"/>
                <w:szCs w:val="21"/>
              </w:rPr>
              <w:t>1</w:t>
            </w:r>
            <w:r>
              <w:rPr>
                <w:rFonts w:ascii="新宋体" w:eastAsia="新宋体" w:hAnsi="新宋体" w:hint="eastAsia"/>
                <w:szCs w:val="21"/>
              </w:rPr>
              <w:t>元整数倍递增，全部赎回成功后再次购买视为首次购买</w:t>
            </w:r>
          </w:p>
          <w:p w14:paraId="5EC5D28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2.</w:t>
            </w:r>
            <w:r>
              <w:rPr>
                <w:rFonts w:ascii="新宋体" w:eastAsia="新宋体" w:hAnsi="新宋体" w:hint="eastAsia"/>
                <w:b/>
                <w:szCs w:val="21"/>
              </w:rPr>
              <w:t>如投资者购买申请触发该产品规模上限控制，则购买申请被拒绝</w:t>
            </w:r>
            <w:r>
              <w:rPr>
                <w:rFonts w:ascii="新宋体" w:eastAsia="新宋体" w:hAnsi="新宋体" w:hint="eastAsia"/>
                <w:szCs w:val="21"/>
              </w:rPr>
              <w:t>。</w:t>
            </w:r>
          </w:p>
        </w:tc>
      </w:tr>
      <w:tr w:rsidR="00E14B1C" w14:paraId="22AFF1C2"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071BA103"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赎回份额</w:t>
            </w:r>
          </w:p>
        </w:tc>
        <w:tc>
          <w:tcPr>
            <w:tcW w:w="4118" w:type="pct"/>
            <w:tcBorders>
              <w:top w:val="dotted" w:sz="4" w:space="0" w:color="auto"/>
              <w:left w:val="dotted" w:sz="4" w:space="0" w:color="auto"/>
              <w:bottom w:val="dotted" w:sz="4" w:space="0" w:color="auto"/>
              <w:right w:val="dotted" w:sz="4" w:space="0" w:color="auto"/>
            </w:tcBorders>
            <w:vAlign w:val="center"/>
          </w:tcPr>
          <w:p w14:paraId="49FCA9B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1.赎回份额为0</w:t>
            </w:r>
            <w:r>
              <w:rPr>
                <w:rFonts w:ascii="新宋体" w:eastAsia="新宋体" w:hAnsi="新宋体"/>
                <w:szCs w:val="21"/>
              </w:rPr>
              <w:t>.01</w:t>
            </w:r>
            <w:r>
              <w:rPr>
                <w:rFonts w:ascii="新宋体" w:eastAsia="新宋体" w:hAnsi="新宋体" w:hint="eastAsia"/>
                <w:szCs w:val="21"/>
              </w:rPr>
              <w:t>份的整数倍。</w:t>
            </w:r>
          </w:p>
          <w:p w14:paraId="7D0778BD" w14:textId="2FA01734"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2.个人客户</w:t>
            </w:r>
            <w:r w:rsidR="00601991">
              <w:rPr>
                <w:rFonts w:ascii="新宋体" w:eastAsia="新宋体" w:hAnsi="新宋体" w:hint="eastAsia"/>
                <w:szCs w:val="21"/>
              </w:rPr>
              <w:t>单笔</w:t>
            </w:r>
            <w:r>
              <w:rPr>
                <w:rFonts w:ascii="新宋体" w:eastAsia="新宋体" w:hAnsi="新宋体" w:hint="eastAsia"/>
                <w:szCs w:val="21"/>
              </w:rPr>
              <w:t>最大赎回份额1亿份，机构客户</w:t>
            </w:r>
            <w:r w:rsidR="00601991">
              <w:rPr>
                <w:rFonts w:ascii="新宋体" w:eastAsia="新宋体" w:hAnsi="新宋体" w:hint="eastAsia"/>
                <w:szCs w:val="21"/>
              </w:rPr>
              <w:t>单笔</w:t>
            </w:r>
            <w:r>
              <w:rPr>
                <w:rFonts w:ascii="新宋体" w:eastAsia="新宋体" w:hAnsi="新宋体" w:hint="eastAsia"/>
                <w:szCs w:val="21"/>
              </w:rPr>
              <w:t>最大赎回份额无限制</w:t>
            </w:r>
            <w:r>
              <w:rPr>
                <w:rFonts w:ascii="新宋体" w:eastAsia="新宋体" w:hAnsi="新宋体" w:hint="eastAsia"/>
                <w:b/>
                <w:szCs w:val="21"/>
              </w:rPr>
              <w:t>（触发巨额赎</w:t>
            </w:r>
            <w:r>
              <w:rPr>
                <w:rFonts w:ascii="新宋体" w:eastAsia="新宋体" w:hAnsi="新宋体" w:hint="eastAsia"/>
                <w:b/>
                <w:szCs w:val="21"/>
              </w:rPr>
              <w:lastRenderedPageBreak/>
              <w:t>回的，赎回限额规则以巨额赎回规则为准，详见“十一、开放日的购买和赎回”</w:t>
            </w:r>
            <w:r>
              <w:rPr>
                <w:rFonts w:ascii="新宋体" w:eastAsia="新宋体" w:hAnsi="新宋体" w:hint="eastAsia"/>
                <w:szCs w:val="21"/>
              </w:rPr>
              <w:t>）</w:t>
            </w:r>
          </w:p>
        </w:tc>
      </w:tr>
      <w:tr w:rsidR="00E14B1C" w14:paraId="00F3B677" w14:textId="77777777">
        <w:trPr>
          <w:trHeight w:val="247"/>
        </w:trPr>
        <w:tc>
          <w:tcPr>
            <w:tcW w:w="881" w:type="pct"/>
            <w:tcBorders>
              <w:top w:val="dotted" w:sz="4" w:space="0" w:color="auto"/>
              <w:left w:val="dotted" w:sz="4" w:space="0" w:color="auto"/>
              <w:bottom w:val="dotted" w:sz="4" w:space="0" w:color="auto"/>
              <w:right w:val="dotted" w:sz="4" w:space="0" w:color="auto"/>
            </w:tcBorders>
            <w:vAlign w:val="center"/>
          </w:tcPr>
          <w:p w14:paraId="52DA662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lastRenderedPageBreak/>
              <w:t>最大投资金额</w:t>
            </w:r>
          </w:p>
        </w:tc>
        <w:tc>
          <w:tcPr>
            <w:tcW w:w="4118" w:type="pct"/>
            <w:tcBorders>
              <w:top w:val="dotted" w:sz="4" w:space="0" w:color="auto"/>
              <w:left w:val="dotted" w:sz="4" w:space="0" w:color="auto"/>
              <w:bottom w:val="dotted" w:sz="4" w:space="0" w:color="auto"/>
              <w:right w:val="dotted" w:sz="4" w:space="0" w:color="auto"/>
            </w:tcBorders>
            <w:vAlign w:val="center"/>
          </w:tcPr>
          <w:p w14:paraId="1F8D0B35"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机构投资者无上限，个人投资者无上限</w:t>
            </w:r>
          </w:p>
        </w:tc>
      </w:tr>
      <w:tr w:rsidR="00E14B1C" w14:paraId="2280E473" w14:textId="77777777">
        <w:trPr>
          <w:trHeight w:val="247"/>
        </w:trPr>
        <w:tc>
          <w:tcPr>
            <w:tcW w:w="881" w:type="pct"/>
            <w:vAlign w:val="center"/>
          </w:tcPr>
          <w:p w14:paraId="20ABAE4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最低持有份额</w:t>
            </w:r>
          </w:p>
        </w:tc>
        <w:tc>
          <w:tcPr>
            <w:tcW w:w="4118" w:type="pct"/>
            <w:vAlign w:val="center"/>
          </w:tcPr>
          <w:p w14:paraId="7549925D"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部分赎回后单户最低持有份额为0</w:t>
            </w:r>
            <w:r>
              <w:rPr>
                <w:rFonts w:ascii="新宋体" w:eastAsia="新宋体" w:hAnsi="新宋体"/>
                <w:szCs w:val="21"/>
              </w:rPr>
              <w:t>.0</w:t>
            </w:r>
            <w:r>
              <w:rPr>
                <w:rFonts w:ascii="新宋体" w:eastAsia="新宋体" w:hAnsi="新宋体" w:hint="eastAsia"/>
                <w:szCs w:val="21"/>
              </w:rPr>
              <w:t>1份（全部赎回无限制）</w:t>
            </w:r>
          </w:p>
        </w:tc>
      </w:tr>
      <w:tr w:rsidR="00E14B1C" w14:paraId="61C77875" w14:textId="77777777">
        <w:trPr>
          <w:trHeight w:val="247"/>
        </w:trPr>
        <w:tc>
          <w:tcPr>
            <w:tcW w:w="881" w:type="pct"/>
            <w:vAlign w:val="center"/>
          </w:tcPr>
          <w:p w14:paraId="45C8C5CD"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单位净值</w:t>
            </w:r>
          </w:p>
        </w:tc>
        <w:tc>
          <w:tcPr>
            <w:tcW w:w="4118" w:type="pct"/>
            <w:vAlign w:val="center"/>
          </w:tcPr>
          <w:p w14:paraId="425921E3"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1.本产品单位净值为单位理财产品份额的净值，该净值为扣除相关费用后的净值</w:t>
            </w:r>
          </w:p>
          <w:p w14:paraId="7075E830"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szCs w:val="21"/>
              </w:rPr>
              <w:t>2.募集期内初始单位净值1元/份，若后续投资运作出现盈利（亏损），单位净值将上升（下降），</w:t>
            </w:r>
            <w:r>
              <w:rPr>
                <w:rFonts w:ascii="新宋体" w:eastAsia="新宋体" w:hAnsi="新宋体" w:hint="eastAsia"/>
                <w:b/>
                <w:szCs w:val="21"/>
              </w:rPr>
              <w:t>如运作亏损，投资者所持产品市值可能小于初始投资本金。</w:t>
            </w:r>
          </w:p>
          <w:p w14:paraId="76597AC3"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3.本理财产品成立后，青银理财将按照监管政策要求，对理财产品的单位净值进行披露，单位净值四舍五入保留至6位小数。投资者可通过青银理财直销APP等可用渠道查询详情。</w:t>
            </w:r>
          </w:p>
        </w:tc>
      </w:tr>
      <w:tr w:rsidR="00E14B1C" w14:paraId="7F9C3588" w14:textId="77777777">
        <w:trPr>
          <w:trHeight w:val="247"/>
        </w:trPr>
        <w:tc>
          <w:tcPr>
            <w:tcW w:w="881" w:type="pct"/>
            <w:vAlign w:val="center"/>
          </w:tcPr>
          <w:p w14:paraId="3C6516D1"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购买及购买确认</w:t>
            </w:r>
          </w:p>
        </w:tc>
        <w:tc>
          <w:tcPr>
            <w:tcW w:w="4118" w:type="pct"/>
            <w:vAlign w:val="center"/>
          </w:tcPr>
          <w:p w14:paraId="0D292280" w14:textId="77777777" w:rsidR="00E14B1C" w:rsidRDefault="003F19C6">
            <w:pPr>
              <w:widowControl/>
              <w:spacing w:line="276" w:lineRule="auto"/>
              <w:jc w:val="left"/>
              <w:rPr>
                <w:rFonts w:ascii="新宋体" w:eastAsia="新宋体" w:hAnsi="新宋体" w:hint="eastAsia"/>
                <w:szCs w:val="21"/>
              </w:rPr>
            </w:pPr>
            <w:r>
              <w:rPr>
                <w:rFonts w:ascii="新宋体" w:eastAsia="新宋体" w:hAnsi="新宋体" w:hint="eastAsia"/>
                <w:szCs w:val="21"/>
              </w:rPr>
              <w:t>1.募集期的购买申请提交成功后，购买份额=购买金额÷(1元/份)</w:t>
            </w:r>
          </w:p>
          <w:p w14:paraId="7E1D426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2.产品成立后，投资者可在开放预约申购/赎回时间内提交购买申请，</w:t>
            </w:r>
            <w:r>
              <w:rPr>
                <w:rFonts w:ascii="新宋体" w:eastAsia="新宋体" w:hAnsi="新宋体" w:hint="eastAsia"/>
                <w:b/>
                <w:szCs w:val="21"/>
              </w:rPr>
              <w:t>购买申请提交成功后，青银理财将于对应开放日的次1个交易日，对客户购买申请进行起息确认，若确认失败（如扣款失败等导致），则该理财购买失败。</w:t>
            </w:r>
            <w:r>
              <w:rPr>
                <w:rFonts w:ascii="新宋体" w:eastAsia="新宋体" w:hAnsi="新宋体" w:hint="eastAsia"/>
                <w:szCs w:val="21"/>
              </w:rPr>
              <w:t>投资者可自对应开放日的次1个交易日起查询对应开放日购买确认结果。</w:t>
            </w:r>
            <w:r>
              <w:rPr>
                <w:rFonts w:ascii="新宋体" w:eastAsia="新宋体" w:hAnsi="新宋体" w:hint="eastAsia"/>
                <w:b/>
                <w:szCs w:val="21"/>
              </w:rPr>
              <w:t>购买申请仅可在所属开放日15:00前做撤销</w:t>
            </w:r>
            <w:r>
              <w:rPr>
                <w:rFonts w:ascii="新宋体" w:eastAsia="新宋体" w:hAnsi="新宋体" w:hint="eastAsia"/>
                <w:szCs w:val="21"/>
              </w:rPr>
              <w:t>。</w:t>
            </w:r>
          </w:p>
          <w:p w14:paraId="4389EC5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3.产品成立后，购买交易采用“金额购买、未知价交易”原则，即客户提交购买申请时，并不知道成交价格，仅能以历史单位净值或收益情况作为参考，购买申请的最终确认价格以该购买申请所属开放日的单位净值为准。</w:t>
            </w:r>
            <w:r>
              <w:rPr>
                <w:rFonts w:ascii="新宋体" w:eastAsia="新宋体" w:hAnsi="新宋体" w:hint="eastAsia"/>
                <w:b/>
                <w:szCs w:val="21"/>
              </w:rPr>
              <w:t>购买确认份额=购买金额÷交易所属投资周期对应开放日的次1个交易日发布的单位净值</w:t>
            </w:r>
            <w:r>
              <w:rPr>
                <w:rFonts w:ascii="新宋体" w:eastAsia="新宋体" w:hAnsi="新宋体" w:hint="eastAsia"/>
                <w:szCs w:val="21"/>
              </w:rPr>
              <w:t>，产品份额四舍五入保留2位小数。</w:t>
            </w:r>
          </w:p>
          <w:p w14:paraId="1D3DC8C3"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b/>
                <w:szCs w:val="21"/>
              </w:rPr>
              <w:t>注：关于销售服务机构的实际工作服务时间的提示</w:t>
            </w:r>
          </w:p>
          <w:p w14:paraId="664BA8E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为本产品办理相关交易的实际服务时间，因销售服务机构的不同可能存在差异（可能晚于销售文件约定的起始时点开始或早于销售文件约定的终止时点结束），投资者应当以销售服务机构的展示为准。</w:t>
            </w:r>
          </w:p>
        </w:tc>
      </w:tr>
      <w:tr w:rsidR="00E14B1C" w14:paraId="38279F6A" w14:textId="77777777">
        <w:trPr>
          <w:trHeight w:val="247"/>
        </w:trPr>
        <w:tc>
          <w:tcPr>
            <w:tcW w:w="881" w:type="pct"/>
            <w:vAlign w:val="center"/>
          </w:tcPr>
          <w:p w14:paraId="26BE8D6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赎回及赎回确认</w:t>
            </w:r>
          </w:p>
        </w:tc>
        <w:tc>
          <w:tcPr>
            <w:tcW w:w="4118" w:type="pct"/>
            <w:vAlign w:val="center"/>
          </w:tcPr>
          <w:p w14:paraId="774390F1"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1.产品成立后，投资者在已持有产品份额的前提下，可在开放预约申购/赎回时间内提交赎回申请，赎回申请提交成功，</w:t>
            </w:r>
            <w:r>
              <w:rPr>
                <w:rFonts w:ascii="新宋体" w:eastAsia="新宋体" w:hAnsi="新宋体" w:hint="eastAsia"/>
                <w:b/>
                <w:szCs w:val="21"/>
              </w:rPr>
              <w:t>青银理财将于对应开放日的次1个交易日对客户赎回申请进行确认，如确认成功，赎回资金将于开放日起</w:t>
            </w:r>
            <w:r>
              <w:rPr>
                <w:rFonts w:ascii="新宋体" w:eastAsia="新宋体" w:hAnsi="新宋体"/>
                <w:b/>
                <w:szCs w:val="21"/>
              </w:rPr>
              <w:t>3</w:t>
            </w:r>
            <w:r>
              <w:rPr>
                <w:rFonts w:ascii="新宋体" w:eastAsia="新宋体" w:hAnsi="新宋体" w:hint="eastAsia"/>
                <w:b/>
                <w:szCs w:val="21"/>
              </w:rPr>
              <w:t>个交易日内入账，若确认失败，则该理财赎回失败。</w:t>
            </w:r>
            <w:r>
              <w:rPr>
                <w:rFonts w:ascii="新宋体" w:eastAsia="新宋体" w:hAnsi="新宋体" w:hint="eastAsia"/>
                <w:szCs w:val="21"/>
              </w:rPr>
              <w:t>投资者可自对应开放日的次1个交易日起查询对应开放日赎回确认结果。</w:t>
            </w:r>
            <w:r>
              <w:rPr>
                <w:rFonts w:ascii="新宋体" w:eastAsia="新宋体" w:hAnsi="新宋体" w:hint="eastAsia"/>
                <w:b/>
                <w:szCs w:val="21"/>
              </w:rPr>
              <w:t>赎回申请仅可在所属开放日1</w:t>
            </w:r>
            <w:r>
              <w:rPr>
                <w:rFonts w:ascii="新宋体" w:eastAsia="新宋体" w:hAnsi="新宋体"/>
                <w:b/>
                <w:szCs w:val="21"/>
              </w:rPr>
              <w:t>5</w:t>
            </w:r>
            <w:r>
              <w:rPr>
                <w:rFonts w:ascii="新宋体" w:eastAsia="新宋体" w:hAnsi="新宋体" w:hint="eastAsia"/>
                <w:b/>
                <w:szCs w:val="21"/>
              </w:rPr>
              <w:t>:0</w:t>
            </w:r>
            <w:r>
              <w:rPr>
                <w:rFonts w:ascii="新宋体" w:eastAsia="新宋体" w:hAnsi="新宋体"/>
                <w:b/>
                <w:szCs w:val="21"/>
              </w:rPr>
              <w:t>0</w:t>
            </w:r>
            <w:r>
              <w:rPr>
                <w:rFonts w:ascii="新宋体" w:eastAsia="新宋体" w:hAnsi="新宋体" w:hint="eastAsia"/>
                <w:b/>
                <w:szCs w:val="21"/>
              </w:rPr>
              <w:t>前做撤销</w:t>
            </w:r>
            <w:r>
              <w:rPr>
                <w:rFonts w:ascii="新宋体" w:eastAsia="新宋体" w:hAnsi="新宋体" w:hint="eastAsia"/>
                <w:szCs w:val="21"/>
              </w:rPr>
              <w:t>。</w:t>
            </w:r>
          </w:p>
          <w:p w14:paraId="761C564C" w14:textId="77777777" w:rsidR="00E14B1C" w:rsidRDefault="003F19C6">
            <w:pPr>
              <w:widowControl/>
              <w:spacing w:line="276" w:lineRule="auto"/>
              <w:jc w:val="left"/>
              <w:rPr>
                <w:rFonts w:ascii="新宋体" w:eastAsia="新宋体" w:hAnsi="新宋体" w:hint="eastAsia"/>
                <w:szCs w:val="21"/>
              </w:rPr>
            </w:pPr>
            <w:r>
              <w:rPr>
                <w:rFonts w:ascii="新宋体" w:eastAsia="新宋体" w:hAnsi="新宋体"/>
                <w:szCs w:val="21"/>
              </w:rPr>
              <w:t>2</w:t>
            </w:r>
            <w:r>
              <w:rPr>
                <w:rFonts w:ascii="新宋体" w:eastAsia="新宋体" w:hAnsi="新宋体" w:hint="eastAsia"/>
                <w:szCs w:val="21"/>
              </w:rPr>
              <w:t>.产品成立后，赎回交易采用“份额赎回、未知价交易”原则，即客户提交赎回申请时，并不知道成交价格，仅能以历史单位净值或收益情况作为参考，赎回申请的最终确认价格以该赎回申请对应开放日的次1个交易日发布的单位净值为准。</w:t>
            </w:r>
            <w:r>
              <w:rPr>
                <w:rFonts w:ascii="新宋体" w:eastAsia="新宋体" w:hAnsi="新宋体" w:hint="eastAsia"/>
                <w:b/>
                <w:szCs w:val="21"/>
              </w:rPr>
              <w:t>赎回金额=赎回份额×交易对应开放日的次1个交易日发布的单位净值，</w:t>
            </w:r>
            <w:r>
              <w:rPr>
                <w:rFonts w:ascii="新宋体" w:eastAsia="新宋体" w:hAnsi="新宋体" w:hint="eastAsia"/>
                <w:szCs w:val="21"/>
              </w:rPr>
              <w:t>赎回资金四舍五入保留2位小数。</w:t>
            </w:r>
          </w:p>
        </w:tc>
      </w:tr>
      <w:tr w:rsidR="00E14B1C" w14:paraId="088A4812" w14:textId="77777777">
        <w:trPr>
          <w:trHeight w:val="247"/>
        </w:trPr>
        <w:tc>
          <w:tcPr>
            <w:tcW w:w="881" w:type="pct"/>
            <w:vAlign w:val="center"/>
          </w:tcPr>
          <w:p w14:paraId="631B7E7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产品市值</w:t>
            </w:r>
          </w:p>
        </w:tc>
        <w:tc>
          <w:tcPr>
            <w:tcW w:w="4118" w:type="pct"/>
            <w:vAlign w:val="center"/>
          </w:tcPr>
          <w:p w14:paraId="30CECC8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产品市值=产品份额×单位净值，详见以下</w:t>
            </w:r>
            <w:r>
              <w:rPr>
                <w:rFonts w:ascii="新宋体" w:eastAsia="新宋体" w:hAnsi="新宋体" w:hint="eastAsia"/>
                <w:b/>
                <w:szCs w:val="21"/>
              </w:rPr>
              <w:t>“十二、产品市值及理财收益分配”</w:t>
            </w:r>
          </w:p>
        </w:tc>
      </w:tr>
      <w:tr w:rsidR="00E14B1C" w14:paraId="12091386" w14:textId="77777777">
        <w:trPr>
          <w:trHeight w:val="247"/>
        </w:trPr>
        <w:tc>
          <w:tcPr>
            <w:tcW w:w="881" w:type="pct"/>
            <w:vAlign w:val="center"/>
          </w:tcPr>
          <w:p w14:paraId="3BFB7DE8" w14:textId="77777777" w:rsidR="00E14B1C" w:rsidRDefault="003F19C6">
            <w:pPr>
              <w:widowControl/>
              <w:spacing w:line="276" w:lineRule="auto"/>
              <w:jc w:val="left"/>
              <w:rPr>
                <w:rFonts w:ascii="新宋体" w:eastAsia="新宋体" w:hAnsi="新宋体" w:hint="eastAsia"/>
                <w:szCs w:val="21"/>
              </w:rPr>
            </w:pPr>
            <w:r>
              <w:rPr>
                <w:rFonts w:ascii="新宋体" w:eastAsia="新宋体" w:hAnsi="新宋体" w:hint="eastAsia"/>
                <w:szCs w:val="21"/>
              </w:rPr>
              <w:t>理财收益</w:t>
            </w:r>
          </w:p>
        </w:tc>
        <w:tc>
          <w:tcPr>
            <w:tcW w:w="4118" w:type="pct"/>
            <w:vAlign w:val="center"/>
          </w:tcPr>
          <w:p w14:paraId="3A19FCEE" w14:textId="77777777" w:rsidR="00E14B1C" w:rsidRDefault="003F19C6">
            <w:pPr>
              <w:widowControl/>
              <w:spacing w:line="276" w:lineRule="auto"/>
              <w:jc w:val="left"/>
              <w:rPr>
                <w:rFonts w:ascii="新宋体" w:eastAsia="新宋体" w:hAnsi="新宋体" w:hint="eastAsia"/>
                <w:color w:val="0000FF"/>
                <w:szCs w:val="21"/>
              </w:rPr>
            </w:pPr>
            <w:r>
              <w:rPr>
                <w:rFonts w:ascii="新宋体" w:eastAsia="新宋体" w:hAnsi="新宋体" w:hint="eastAsia"/>
                <w:szCs w:val="21"/>
              </w:rPr>
              <w:t>详见以下</w:t>
            </w:r>
            <w:r>
              <w:rPr>
                <w:rFonts w:ascii="新宋体" w:eastAsia="新宋体" w:hAnsi="新宋体" w:hint="eastAsia"/>
                <w:b/>
                <w:szCs w:val="21"/>
              </w:rPr>
              <w:t>“十二、产品市值及理财收益分配”</w:t>
            </w:r>
          </w:p>
        </w:tc>
      </w:tr>
      <w:tr w:rsidR="00E14B1C" w14:paraId="5E5F2DD3" w14:textId="77777777">
        <w:trPr>
          <w:trHeight w:val="247"/>
        </w:trPr>
        <w:tc>
          <w:tcPr>
            <w:tcW w:w="881" w:type="pct"/>
            <w:vAlign w:val="center"/>
          </w:tcPr>
          <w:p w14:paraId="013EC61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分红</w:t>
            </w:r>
          </w:p>
        </w:tc>
        <w:tc>
          <w:tcPr>
            <w:tcW w:w="4118" w:type="pct"/>
            <w:vAlign w:val="center"/>
          </w:tcPr>
          <w:p w14:paraId="6041FBA1"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青银理财将视本产品运作情况进行现金分红，具体规则以公告为准。</w:t>
            </w:r>
          </w:p>
        </w:tc>
      </w:tr>
      <w:tr w:rsidR="00E14B1C" w14:paraId="10517A12" w14:textId="77777777">
        <w:trPr>
          <w:trHeight w:val="247"/>
        </w:trPr>
        <w:tc>
          <w:tcPr>
            <w:tcW w:w="881" w:type="pct"/>
            <w:vAlign w:val="center"/>
          </w:tcPr>
          <w:p w14:paraId="046DD0E5"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业绩比较基准</w:t>
            </w:r>
          </w:p>
        </w:tc>
        <w:tc>
          <w:tcPr>
            <w:tcW w:w="4118" w:type="pct"/>
            <w:vAlign w:val="center"/>
          </w:tcPr>
          <w:p w14:paraId="03F3A17C" w14:textId="77777777" w:rsidR="00E14B1C" w:rsidRDefault="003F19C6">
            <w:pPr>
              <w:spacing w:line="276" w:lineRule="auto"/>
              <w:jc w:val="left"/>
              <w:rPr>
                <w:rFonts w:ascii="新宋体" w:eastAsia="新宋体" w:hAnsi="新宋体" w:hint="eastAsia"/>
                <w:b/>
              </w:rPr>
            </w:pPr>
            <w:r>
              <w:rPr>
                <w:rFonts w:ascii="新宋体" w:eastAsia="新宋体" w:hAnsi="新宋体" w:hint="eastAsia"/>
                <w:b/>
              </w:rPr>
              <w:t>本产品为净值型产品，业绩表现将随市场波动，具有不确定性。业绩比较基准不代表本理财计划的未来表现和实际收益，或管理人对本理财计划进行的收益承诺。投资者不应将业绩比较基准作为持有本理财计划份额到期的综合投资收益参考值。</w:t>
            </w:r>
          </w:p>
          <w:p w14:paraId="3486BFAE" w14:textId="0C964ED0" w:rsidR="00E14B1C" w:rsidRDefault="003F19C6">
            <w:pPr>
              <w:spacing w:line="276" w:lineRule="auto"/>
              <w:jc w:val="left"/>
              <w:rPr>
                <w:rFonts w:ascii="新宋体" w:eastAsia="新宋体" w:hAnsi="新宋体" w:hint="eastAsia"/>
                <w:b/>
              </w:rPr>
            </w:pPr>
            <w:r>
              <w:rPr>
                <w:rFonts w:ascii="新宋体" w:eastAsia="新宋体" w:hAnsi="新宋体" w:hint="eastAsia"/>
                <w:b/>
              </w:rPr>
              <w:t>业绩比较基准：</w:t>
            </w:r>
            <w:r>
              <w:rPr>
                <w:rFonts w:ascii="新宋体" w:eastAsia="新宋体" w:hAnsi="新宋体" w:hint="eastAsia"/>
                <w:b/>
                <w:bCs/>
              </w:rPr>
              <w:t>中债-新综合财富(1年以下)指数收益率*95%+中国人民银行公布的活期存款利率*5%</w:t>
            </w:r>
            <w:r>
              <w:rPr>
                <w:rFonts w:ascii="新宋体" w:eastAsia="新宋体" w:hAnsi="新宋体" w:hint="eastAsia"/>
                <w:b/>
              </w:rPr>
              <w:t>（年化）</w:t>
            </w:r>
          </w:p>
          <w:p w14:paraId="30744171" w14:textId="77777777" w:rsidR="00E14B1C" w:rsidRDefault="003F19C6">
            <w:pPr>
              <w:spacing w:line="276" w:lineRule="auto"/>
              <w:jc w:val="left"/>
              <w:rPr>
                <w:rFonts w:ascii="新宋体" w:eastAsia="新宋体" w:hAnsi="新宋体" w:hint="eastAsia"/>
                <w:b/>
              </w:rPr>
            </w:pPr>
            <w:r>
              <w:rPr>
                <w:rFonts w:ascii="新宋体" w:eastAsia="新宋体" w:hAnsi="新宋体" w:hint="eastAsia"/>
                <w:b/>
              </w:rPr>
              <w:lastRenderedPageBreak/>
              <w:t>注：指数收益率=（B-A）/A。其中，A是成立日当日或上一确认日前1个工作日收盘指数；B是确认日前1个工作日或到期日前1个工作日收盘指数。</w:t>
            </w:r>
          </w:p>
          <w:p w14:paraId="3B515767" w14:textId="03C9245C" w:rsidR="00E14B1C" w:rsidRDefault="003F19C6">
            <w:pPr>
              <w:spacing w:line="276" w:lineRule="auto"/>
              <w:jc w:val="left"/>
              <w:rPr>
                <w:rFonts w:ascii="新宋体" w:eastAsia="新宋体" w:hAnsi="新宋体" w:hint="eastAsia"/>
                <w:b/>
              </w:rPr>
            </w:pPr>
            <w:r>
              <w:rPr>
                <w:rFonts w:ascii="新宋体" w:eastAsia="新宋体" w:hAnsi="新宋体" w:hint="eastAsia"/>
                <w:b/>
              </w:rPr>
              <w:t>业绩比较基准测算依据：本产品投资对象主要包括固定收益类资产、货币市场工具、资产管理计划、非标资产（如有）等，业绩比较基准测算参考上述投资对象的资产加权平均收益率。综合考虑当前市场环境、资产配置中枢比例、产品费用及税费等因素，得出产品业绩比较基准。业绩比较基准的选择原因是产品管理人基于产品性质、投资策略、过往经验等因素进行综合考量设定。业绩比较基准不是预期收益率，不代表产品的未来表现和实际收益，不构成对产品收益的承诺。</w:t>
            </w:r>
          </w:p>
          <w:p w14:paraId="3A92DC77" w14:textId="77777777" w:rsidR="00E14B1C" w:rsidRDefault="003F19C6">
            <w:pPr>
              <w:spacing w:line="276" w:lineRule="auto"/>
              <w:jc w:val="left"/>
              <w:rPr>
                <w:rFonts w:ascii="新宋体" w:eastAsia="新宋体" w:hAnsi="新宋体" w:hint="eastAsia"/>
                <w:b/>
              </w:rPr>
            </w:pPr>
            <w:r>
              <w:rPr>
                <w:b/>
              </w:rPr>
              <w:t>本产品为净值型产品，业绩表现将随市场情况波动，具有不确定性。当监管政策、市场环境、产品性质等因素发生变化，导致理财产品的业绩比较基准需要调整时，产品管理人将至少于调整日之前</w:t>
            </w:r>
            <w:r>
              <w:rPr>
                <w:rFonts w:hint="eastAsia"/>
                <w:b/>
              </w:rPr>
              <w:t>2</w:t>
            </w:r>
            <w:r>
              <w:rPr>
                <w:b/>
              </w:rPr>
              <w:t>个工作日通过机构官方渠道或与投资者约定的其他渠道公布调整情况和调整原因。</w:t>
            </w:r>
          </w:p>
          <w:p w14:paraId="2F20971A" w14:textId="4DAC17C3" w:rsidR="00E14B1C" w:rsidRDefault="003F19C6">
            <w:pPr>
              <w:spacing w:line="276" w:lineRule="auto"/>
              <w:jc w:val="left"/>
              <w:rPr>
                <w:rFonts w:ascii="新宋体" w:eastAsia="新宋体" w:hAnsi="新宋体" w:hint="eastAsia"/>
              </w:rPr>
            </w:pPr>
            <w:r>
              <w:rPr>
                <w:rFonts w:ascii="新宋体" w:eastAsia="新宋体" w:hAnsi="新宋体" w:hint="eastAsia"/>
              </w:rPr>
              <w:t>如理财投资本金及收益未按时和/或足额收回，则本理财计划的到期收益可能降低，最不利情形损失部分或全部本金。对于超出“业绩比较基准”部分的投资收益，50%归于</w:t>
            </w:r>
            <w:r w:rsidR="0004251E">
              <w:rPr>
                <w:rFonts w:ascii="新宋体" w:eastAsia="新宋体" w:hAnsi="新宋体" w:hint="eastAsia"/>
              </w:rPr>
              <w:t>投资者</w:t>
            </w:r>
            <w:r>
              <w:rPr>
                <w:rFonts w:ascii="新宋体" w:eastAsia="新宋体" w:hAnsi="新宋体" w:hint="eastAsia"/>
              </w:rPr>
              <w:t>。</w:t>
            </w:r>
          </w:p>
        </w:tc>
      </w:tr>
      <w:tr w:rsidR="00E14B1C" w14:paraId="744A8FD5" w14:textId="77777777">
        <w:trPr>
          <w:trHeight w:val="208"/>
        </w:trPr>
        <w:tc>
          <w:tcPr>
            <w:tcW w:w="881" w:type="pct"/>
            <w:vAlign w:val="center"/>
          </w:tcPr>
          <w:p w14:paraId="20C4ABCE"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lastRenderedPageBreak/>
              <w:t>托管费率</w:t>
            </w:r>
          </w:p>
        </w:tc>
        <w:tc>
          <w:tcPr>
            <w:tcW w:w="4118" w:type="pct"/>
            <w:vAlign w:val="center"/>
          </w:tcPr>
          <w:p w14:paraId="33FFB835" w14:textId="77777777" w:rsidR="00E14B1C" w:rsidRDefault="003F19C6">
            <w:pPr>
              <w:widowControl/>
              <w:spacing w:before="100" w:beforeAutospacing="1" w:after="100" w:afterAutospacing="1" w:line="276" w:lineRule="auto"/>
              <w:jc w:val="left"/>
              <w:rPr>
                <w:rFonts w:ascii="新宋体" w:eastAsia="新宋体" w:hAnsi="新宋体" w:hint="eastAsia"/>
                <w:szCs w:val="21"/>
              </w:rPr>
            </w:pPr>
            <w:r>
              <w:rPr>
                <w:rFonts w:ascii="新宋体" w:eastAsia="新宋体" w:hAnsi="新宋体" w:hint="eastAsia"/>
                <w:szCs w:val="21"/>
              </w:rPr>
              <w:t>0.008％（年化费率，按日根据理财产品存续份额计提，由理财资产托管人收取）</w:t>
            </w:r>
          </w:p>
        </w:tc>
      </w:tr>
      <w:tr w:rsidR="00E14B1C" w14:paraId="283B86E8" w14:textId="77777777">
        <w:trPr>
          <w:trHeight w:val="208"/>
        </w:trPr>
        <w:tc>
          <w:tcPr>
            <w:tcW w:w="881" w:type="pct"/>
            <w:vAlign w:val="center"/>
          </w:tcPr>
          <w:p w14:paraId="6B7CE2A0"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固定管理费率</w:t>
            </w:r>
          </w:p>
        </w:tc>
        <w:tc>
          <w:tcPr>
            <w:tcW w:w="4118" w:type="pct"/>
            <w:vAlign w:val="center"/>
          </w:tcPr>
          <w:p w14:paraId="310F04E5" w14:textId="77777777" w:rsidR="00E14B1C" w:rsidRDefault="003F19C6">
            <w:pPr>
              <w:widowControl/>
              <w:spacing w:before="100" w:beforeAutospacing="1" w:after="100" w:afterAutospacing="1" w:line="276" w:lineRule="auto"/>
              <w:jc w:val="left"/>
              <w:rPr>
                <w:rFonts w:ascii="新宋体" w:eastAsia="新宋体" w:hAnsi="新宋体" w:hint="eastAsia"/>
                <w:szCs w:val="21"/>
              </w:rPr>
            </w:pPr>
            <w:r>
              <w:rPr>
                <w:rFonts w:ascii="新宋体" w:eastAsia="新宋体" w:hAnsi="新宋体" w:hint="eastAsia"/>
                <w:szCs w:val="21"/>
              </w:rPr>
              <w:t>0.</w:t>
            </w:r>
            <w:r>
              <w:rPr>
                <w:rFonts w:ascii="新宋体" w:eastAsia="新宋体" w:hAnsi="新宋体"/>
                <w:szCs w:val="21"/>
              </w:rPr>
              <w:t>40</w:t>
            </w:r>
            <w:r>
              <w:rPr>
                <w:rFonts w:ascii="新宋体" w:eastAsia="新宋体" w:hAnsi="新宋体" w:hint="eastAsia"/>
                <w:szCs w:val="21"/>
              </w:rPr>
              <w:t>％（年化费率，按日根据理财产品存续份额计提，由理财管理人收取）。当本理财计划投资运作收益小于“业绩比较基准”时，管理人将有权放弃计提的固定管理费，最高为已计提的全部固定管理费。</w:t>
            </w:r>
          </w:p>
        </w:tc>
      </w:tr>
      <w:tr w:rsidR="00E14B1C" w14:paraId="44AE776A" w14:textId="77777777">
        <w:trPr>
          <w:trHeight w:val="208"/>
        </w:trPr>
        <w:tc>
          <w:tcPr>
            <w:tcW w:w="881" w:type="pct"/>
            <w:vAlign w:val="center"/>
          </w:tcPr>
          <w:p w14:paraId="0EB33139" w14:textId="77777777" w:rsidR="00E14B1C" w:rsidRDefault="003F19C6">
            <w:pPr>
              <w:spacing w:line="276" w:lineRule="auto"/>
              <w:jc w:val="center"/>
              <w:rPr>
                <w:rFonts w:ascii="新宋体" w:eastAsia="新宋体" w:hAnsi="新宋体" w:hint="eastAsia"/>
                <w:szCs w:val="21"/>
              </w:rPr>
            </w:pPr>
            <w:r>
              <w:rPr>
                <w:rFonts w:ascii="新宋体" w:eastAsia="新宋体" w:hAnsi="新宋体" w:hint="eastAsia"/>
                <w:szCs w:val="21"/>
              </w:rPr>
              <w:t>产品认（申）</w:t>
            </w:r>
          </w:p>
          <w:p w14:paraId="0B74215D"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购及赎回费</w:t>
            </w:r>
          </w:p>
        </w:tc>
        <w:tc>
          <w:tcPr>
            <w:tcW w:w="4118" w:type="pct"/>
            <w:vAlign w:val="center"/>
          </w:tcPr>
          <w:p w14:paraId="0130B578" w14:textId="77777777" w:rsidR="00E14B1C" w:rsidRDefault="003F19C6">
            <w:pPr>
              <w:widowControl/>
              <w:spacing w:before="100" w:beforeAutospacing="1" w:after="100" w:afterAutospacing="1" w:line="276" w:lineRule="auto"/>
              <w:jc w:val="left"/>
              <w:rPr>
                <w:rFonts w:ascii="新宋体" w:eastAsia="新宋体" w:hAnsi="新宋体" w:hint="eastAsia"/>
                <w:szCs w:val="21"/>
              </w:rPr>
            </w:pPr>
            <w:r>
              <w:rPr>
                <w:rFonts w:ascii="新宋体" w:eastAsia="新宋体" w:hAnsi="新宋体" w:hint="eastAsia"/>
                <w:szCs w:val="21"/>
              </w:rPr>
              <w:t>本产品不收取认（申）购及赎回费。</w:t>
            </w:r>
          </w:p>
        </w:tc>
      </w:tr>
      <w:tr w:rsidR="00E14B1C" w14:paraId="70E7FC09" w14:textId="77777777">
        <w:trPr>
          <w:trHeight w:val="208"/>
        </w:trPr>
        <w:tc>
          <w:tcPr>
            <w:tcW w:w="881" w:type="pct"/>
            <w:vAlign w:val="center"/>
          </w:tcPr>
          <w:p w14:paraId="7427E789"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销售手续费</w:t>
            </w:r>
          </w:p>
        </w:tc>
        <w:tc>
          <w:tcPr>
            <w:tcW w:w="4118" w:type="pct"/>
            <w:vAlign w:val="center"/>
          </w:tcPr>
          <w:p w14:paraId="39EA69C2" w14:textId="77777777" w:rsidR="00E14B1C" w:rsidRDefault="003F19C6">
            <w:pPr>
              <w:widowControl/>
              <w:spacing w:before="100" w:beforeAutospacing="1" w:after="100" w:afterAutospacing="1" w:line="276" w:lineRule="auto"/>
              <w:jc w:val="left"/>
              <w:rPr>
                <w:rFonts w:ascii="新宋体" w:eastAsia="新宋体" w:hAnsi="新宋体" w:hint="eastAsia"/>
                <w:szCs w:val="21"/>
              </w:rPr>
            </w:pPr>
            <w:r>
              <w:rPr>
                <w:rFonts w:ascii="新宋体" w:eastAsia="新宋体" w:hAnsi="新宋体" w:hint="eastAsia"/>
                <w:szCs w:val="21"/>
              </w:rPr>
              <w:t>本产品不收取销售手续费。</w:t>
            </w:r>
          </w:p>
        </w:tc>
      </w:tr>
      <w:tr w:rsidR="00E14B1C" w14:paraId="415CA057" w14:textId="77777777">
        <w:trPr>
          <w:trHeight w:val="208"/>
        </w:trPr>
        <w:tc>
          <w:tcPr>
            <w:tcW w:w="881" w:type="pct"/>
            <w:vAlign w:val="center"/>
          </w:tcPr>
          <w:p w14:paraId="0EBCC6D4"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业绩报酬</w:t>
            </w:r>
          </w:p>
        </w:tc>
        <w:tc>
          <w:tcPr>
            <w:tcW w:w="4118" w:type="pct"/>
            <w:vAlign w:val="center"/>
          </w:tcPr>
          <w:p w14:paraId="7B2479AB" w14:textId="6B55674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在扣除本产品说明书约定的应由本理财产品承担的费用包括但不限于固定管理费、托管费等费用后，本理财计划项下资产组合收益率超出本理财计划业绩基准部分的50%归于</w:t>
            </w:r>
            <w:r w:rsidR="0004251E">
              <w:rPr>
                <w:rFonts w:ascii="新宋体" w:eastAsia="新宋体" w:hAnsi="新宋体" w:hint="eastAsia"/>
                <w:szCs w:val="21"/>
              </w:rPr>
              <w:t>投资者</w:t>
            </w:r>
            <w:r>
              <w:rPr>
                <w:rFonts w:ascii="新宋体" w:eastAsia="新宋体" w:hAnsi="新宋体" w:hint="eastAsia"/>
                <w:szCs w:val="21"/>
              </w:rPr>
              <w:t>，剩余部分作为管理人业绩报酬，业绩报酬逐日计提。每日计提的业绩报酬仅作为暂估数据，用于理财产品会计核算和估值日估值。仅以理财产品确认日（或产品实际到期日）当天确认计提的业绩报酬作为业绩报酬的结算依据。</w:t>
            </w:r>
            <w:r>
              <w:rPr>
                <w:rFonts w:ascii="新宋体" w:eastAsia="新宋体" w:hAnsi="新宋体" w:hint="eastAsia"/>
                <w:b/>
                <w:szCs w:val="21"/>
              </w:rPr>
              <w:t>业绩基准并不代表投资者投资本理财计划的实际收益率。</w:t>
            </w:r>
          </w:p>
        </w:tc>
      </w:tr>
      <w:tr w:rsidR="00E14B1C" w14:paraId="2DD2E81C" w14:textId="77777777">
        <w:trPr>
          <w:trHeight w:val="208"/>
        </w:trPr>
        <w:tc>
          <w:tcPr>
            <w:tcW w:w="881" w:type="pct"/>
            <w:vAlign w:val="center"/>
          </w:tcPr>
          <w:p w14:paraId="197FEFF7"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提前终止权</w:t>
            </w:r>
          </w:p>
        </w:tc>
        <w:tc>
          <w:tcPr>
            <w:tcW w:w="4118" w:type="pct"/>
            <w:vAlign w:val="center"/>
          </w:tcPr>
          <w:p w14:paraId="5C259FB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1.管理人有权按照监管要求或实际投资情况终止本理财产品，并至少于终止前2个工作日进行信息披露。</w:t>
            </w:r>
          </w:p>
          <w:p w14:paraId="2A6CDFD0"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b/>
                <w:szCs w:val="21"/>
              </w:rPr>
              <w:t>2.投资者无权提前终止本理财计划，仅能根据本产品说明书的约定选择赎回本理财计划。</w:t>
            </w:r>
          </w:p>
        </w:tc>
      </w:tr>
      <w:tr w:rsidR="00E14B1C" w14:paraId="319503C0" w14:textId="77777777">
        <w:trPr>
          <w:trHeight w:val="168"/>
        </w:trPr>
        <w:tc>
          <w:tcPr>
            <w:tcW w:w="881" w:type="pct"/>
            <w:vAlign w:val="center"/>
          </w:tcPr>
          <w:p w14:paraId="0F1F40D5"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税款</w:t>
            </w:r>
          </w:p>
        </w:tc>
        <w:tc>
          <w:tcPr>
            <w:tcW w:w="4118" w:type="pct"/>
            <w:vAlign w:val="center"/>
          </w:tcPr>
          <w:p w14:paraId="3D06E9DF"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b/>
                <w:szCs w:val="21"/>
              </w:rPr>
              <w:t>本理财收益的应纳税款由投资者自行申报、缴纳</w:t>
            </w:r>
          </w:p>
          <w:p w14:paraId="4D46D638" w14:textId="77777777" w:rsidR="00E14B1C" w:rsidRDefault="003F19C6">
            <w:pPr>
              <w:spacing w:line="276" w:lineRule="auto"/>
              <w:jc w:val="left"/>
              <w:rPr>
                <w:rFonts w:ascii="新宋体" w:eastAsia="新宋体" w:hAnsi="新宋体" w:hint="eastAsia"/>
                <w:b/>
                <w:szCs w:val="21"/>
              </w:rPr>
            </w:pPr>
            <w:r>
              <w:rPr>
                <w:rFonts w:ascii="新宋体" w:eastAsia="新宋体" w:hAnsi="新宋体" w:hint="eastAsia"/>
                <w:szCs w:val="21"/>
              </w:rPr>
              <w:t>本理财计划运作过程中涉及的各纳税主体，其纳税义务按国家税收法律、法规执行。除法律法规特别要求外，投资者应缴纳的税收由投资者负责，产品管理人不承担代扣代缴或纳税的义务。理财计划运营过程中发生的应由理财计划承担的增值税应税行为，由本产品管理人申报和缴纳增值税及附加税费，该等税款直接从理财计划账户中扣付缴纳。</w:t>
            </w:r>
          </w:p>
        </w:tc>
      </w:tr>
      <w:tr w:rsidR="00E14B1C" w14:paraId="17E0A870" w14:textId="77777777">
        <w:trPr>
          <w:trHeight w:val="143"/>
        </w:trPr>
        <w:tc>
          <w:tcPr>
            <w:tcW w:w="881" w:type="pct"/>
            <w:vAlign w:val="center"/>
          </w:tcPr>
          <w:p w14:paraId="3CBDBBA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理财资产托管人</w:t>
            </w:r>
          </w:p>
        </w:tc>
        <w:tc>
          <w:tcPr>
            <w:tcW w:w="4118" w:type="pct"/>
            <w:vAlign w:val="center"/>
          </w:tcPr>
          <w:p w14:paraId="55D607B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中信银行青岛分行</w:t>
            </w:r>
          </w:p>
          <w:p w14:paraId="0EF38500"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负责履行法律法规和托管协议约定的各项职责，包括理财产品的资产保管、资金的清算交</w:t>
            </w:r>
            <w:r>
              <w:rPr>
                <w:rFonts w:ascii="新宋体" w:eastAsia="新宋体" w:hAnsi="新宋体" w:hint="eastAsia"/>
                <w:szCs w:val="21"/>
              </w:rPr>
              <w:lastRenderedPageBreak/>
              <w:t>割、账务的处理及核对、理财产品净值的复核、以及投资运作的监督等职责。</w:t>
            </w:r>
          </w:p>
          <w:p w14:paraId="2F421257" w14:textId="77777777" w:rsidR="00E14B1C" w:rsidRDefault="003F19C6">
            <w:pPr>
              <w:spacing w:line="276" w:lineRule="auto"/>
              <w:rPr>
                <w:rFonts w:ascii="新宋体" w:eastAsia="新宋体" w:hAnsi="新宋体" w:hint="eastAsia"/>
                <w:szCs w:val="21"/>
              </w:rPr>
            </w:pPr>
            <w:r>
              <w:rPr>
                <w:rFonts w:ascii="新宋体" w:eastAsia="新宋体" w:hAnsi="新宋体" w:hint="eastAsia"/>
                <w:szCs w:val="21"/>
              </w:rPr>
              <w:t>住所：山东省青岛市市南区香港中路22号</w:t>
            </w:r>
          </w:p>
          <w:p w14:paraId="14C65612"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联系方式：95558</w:t>
            </w:r>
          </w:p>
        </w:tc>
      </w:tr>
      <w:tr w:rsidR="00E14B1C" w14:paraId="49E8557D" w14:textId="77777777">
        <w:trPr>
          <w:trHeight w:val="143"/>
        </w:trPr>
        <w:tc>
          <w:tcPr>
            <w:tcW w:w="881" w:type="pct"/>
            <w:vAlign w:val="center"/>
          </w:tcPr>
          <w:p w14:paraId="20AA977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lastRenderedPageBreak/>
              <w:t>理财管理人</w:t>
            </w:r>
          </w:p>
        </w:tc>
        <w:tc>
          <w:tcPr>
            <w:tcW w:w="4118" w:type="pct"/>
            <w:vAlign w:val="center"/>
          </w:tcPr>
          <w:p w14:paraId="4B82AF90"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青银理财有限责任公司</w:t>
            </w:r>
          </w:p>
          <w:p w14:paraId="6F960BA4" w14:textId="77777777" w:rsidR="00E14B1C" w:rsidRDefault="003F19C6">
            <w:pPr>
              <w:spacing w:line="276" w:lineRule="auto"/>
              <w:jc w:val="left"/>
              <w:rPr>
                <w:rFonts w:ascii="新宋体" w:eastAsia="新宋体" w:hAnsi="新宋体" w:cs="新宋体" w:hint="eastAsia"/>
                <w:color w:val="000000"/>
                <w:kern w:val="0"/>
                <w:szCs w:val="21"/>
                <w:lang w:bidi="ar"/>
              </w:rPr>
            </w:pPr>
            <w:r>
              <w:rPr>
                <w:rFonts w:ascii="新宋体" w:eastAsia="新宋体" w:hAnsi="新宋体" w:cs="新宋体" w:hint="eastAsia"/>
                <w:color w:val="000000"/>
                <w:kern w:val="0"/>
                <w:szCs w:val="21"/>
                <w:lang w:bidi="ar"/>
              </w:rPr>
              <w:t>负责本理财计划的投资运作和产品管理。</w:t>
            </w:r>
          </w:p>
          <w:p w14:paraId="6A4974BB" w14:textId="77777777" w:rsidR="00E14B1C" w:rsidRDefault="003F19C6">
            <w:pPr>
              <w:spacing w:line="276" w:lineRule="auto"/>
              <w:rPr>
                <w:rFonts w:ascii="新宋体" w:eastAsia="新宋体" w:hAnsi="新宋体" w:hint="eastAsia"/>
                <w:szCs w:val="21"/>
              </w:rPr>
            </w:pPr>
            <w:r>
              <w:rPr>
                <w:rFonts w:ascii="新宋体" w:eastAsia="新宋体" w:hAnsi="新宋体" w:hint="eastAsia"/>
                <w:szCs w:val="21"/>
              </w:rPr>
              <w:t>住所：山东省青岛市崂山区秦岭路</w:t>
            </w:r>
            <w:r>
              <w:rPr>
                <w:rFonts w:ascii="新宋体" w:eastAsia="新宋体" w:hAnsi="新宋体"/>
                <w:szCs w:val="21"/>
              </w:rPr>
              <w:t>19号1号楼37-40层</w:t>
            </w:r>
          </w:p>
          <w:p w14:paraId="1F102857" w14:textId="77777777" w:rsidR="00E14B1C" w:rsidRDefault="003F19C6">
            <w:pPr>
              <w:spacing w:line="276" w:lineRule="auto"/>
              <w:jc w:val="left"/>
              <w:rPr>
                <w:rFonts w:ascii="新宋体" w:eastAsia="新宋体" w:hAnsi="新宋体" w:cs="新宋体" w:hint="eastAsia"/>
                <w:color w:val="000000"/>
                <w:kern w:val="0"/>
                <w:szCs w:val="21"/>
                <w:lang w:bidi="ar"/>
              </w:rPr>
            </w:pPr>
            <w:r>
              <w:rPr>
                <w:rFonts w:ascii="新宋体" w:eastAsia="新宋体" w:hAnsi="新宋体" w:hint="eastAsia"/>
                <w:szCs w:val="21"/>
              </w:rPr>
              <w:t>联系方式：</w:t>
            </w:r>
            <w:r>
              <w:rPr>
                <w:rFonts w:ascii="新宋体" w:eastAsia="新宋体" w:hAnsi="新宋体"/>
                <w:szCs w:val="21"/>
              </w:rPr>
              <w:t>400-0879-666</w:t>
            </w:r>
          </w:p>
        </w:tc>
      </w:tr>
      <w:tr w:rsidR="00E14B1C" w14:paraId="3B7865A7" w14:textId="77777777">
        <w:trPr>
          <w:trHeight w:val="143"/>
        </w:trPr>
        <w:tc>
          <w:tcPr>
            <w:tcW w:w="881" w:type="pct"/>
            <w:vAlign w:val="center"/>
          </w:tcPr>
          <w:p w14:paraId="71248BF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理财投资合作机构</w:t>
            </w:r>
          </w:p>
        </w:tc>
        <w:tc>
          <w:tcPr>
            <w:tcW w:w="4118" w:type="pct"/>
            <w:vAlign w:val="center"/>
          </w:tcPr>
          <w:p w14:paraId="221AE16B"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本理财计划投资合作机构（如有）包括但不限于理财产品所投资资产管理产品的发行机构、根据合同约定从事理财产品受托投资的机构等。</w:t>
            </w:r>
          </w:p>
          <w:p w14:paraId="7C46996A"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负责进行受托资金的投资管理，具体以管理人与投资合作机构签署的合同为准。</w:t>
            </w:r>
          </w:p>
        </w:tc>
      </w:tr>
    </w:tbl>
    <w:p w14:paraId="0651F8DE" w14:textId="77777777" w:rsidR="00E14B1C" w:rsidRDefault="003F19C6">
      <w:pPr>
        <w:spacing w:line="276" w:lineRule="auto"/>
        <w:ind w:left="397"/>
        <w:jc w:val="left"/>
        <w:rPr>
          <w:rFonts w:ascii="新宋体" w:eastAsia="新宋体" w:hAnsi="新宋体" w:hint="eastAsia"/>
          <w:b/>
          <w:szCs w:val="21"/>
        </w:rPr>
      </w:pPr>
      <w:r>
        <w:rPr>
          <w:rFonts w:hint="eastAsia"/>
          <w:b/>
        </w:rPr>
        <w:t>二、风险揭示</w:t>
      </w:r>
    </w:p>
    <w:p w14:paraId="11C51513" w14:textId="77777777" w:rsidR="00E14B1C" w:rsidRDefault="003F19C6">
      <w:pPr>
        <w:snapToGrid w:val="0"/>
        <w:spacing w:line="276" w:lineRule="auto"/>
        <w:jc w:val="left"/>
        <w:rPr>
          <w:rFonts w:ascii="新宋体" w:eastAsia="新宋体" w:hAnsi="新宋体" w:hint="eastAsia"/>
        </w:rPr>
      </w:pPr>
      <w:r>
        <w:rPr>
          <w:rFonts w:ascii="新宋体" w:eastAsia="新宋体" w:hAnsi="新宋体" w:hint="eastAsia"/>
        </w:rPr>
        <w:t>尊敬的客户：</w:t>
      </w:r>
    </w:p>
    <w:p w14:paraId="50C624C3" w14:textId="77777777" w:rsidR="00E14B1C" w:rsidRDefault="003F19C6">
      <w:pPr>
        <w:snapToGrid w:val="0"/>
        <w:spacing w:line="276" w:lineRule="auto"/>
        <w:ind w:firstLineChars="200" w:firstLine="420"/>
        <w:jc w:val="left"/>
        <w:rPr>
          <w:rFonts w:ascii="新宋体" w:eastAsia="新宋体" w:hAnsi="新宋体" w:hint="eastAsia"/>
        </w:rPr>
      </w:pPr>
      <w:r>
        <w:rPr>
          <w:rFonts w:ascii="新宋体" w:eastAsia="新宋体" w:hAnsi="新宋体" w:hint="eastAsia"/>
        </w:rPr>
        <w:t>在您购买理财产品前，应仔细阅读本理财产品对应的产品说明书，同时了解本理财计划的投资风险等相关信息，并自己独立作出是否购买本理财产品的决定。您签署本产品说明书及相应风险揭示书、理财计划协议书、投资协议书、客户权益须知，并将资金委托于我方运作是您真实的意思表示。本产品说明书及相应理财计划协议书、风险揭示书、投资协议书、客户权益须知等销售材料将共同构成贵我双方理财合同的有效组成部分。</w:t>
      </w:r>
    </w:p>
    <w:p w14:paraId="5C7D22C8" w14:textId="77777777" w:rsidR="00E14B1C" w:rsidRDefault="003F19C6">
      <w:pPr>
        <w:snapToGrid w:val="0"/>
        <w:spacing w:line="276" w:lineRule="auto"/>
        <w:ind w:firstLineChars="200" w:firstLine="420"/>
        <w:jc w:val="left"/>
        <w:rPr>
          <w:rFonts w:ascii="新宋体" w:eastAsia="新宋体" w:hAnsi="新宋体" w:hint="eastAsia"/>
        </w:rPr>
      </w:pPr>
      <w:r>
        <w:rPr>
          <w:rFonts w:ascii="新宋体" w:eastAsia="新宋体" w:hAnsi="新宋体" w:hint="eastAsia"/>
          <w:szCs w:val="21"/>
        </w:rPr>
        <w:t>本理财产品风险揭示内容详见《青银理财个人理财计划风险揭示书》。</w:t>
      </w:r>
    </w:p>
    <w:p w14:paraId="47AC399C" w14:textId="77777777" w:rsidR="00E14B1C" w:rsidRDefault="003F19C6">
      <w:pPr>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理财非存款，产品有风险，投资须谨慎。您应充分认识以下风险：</w:t>
      </w:r>
    </w:p>
    <w:p w14:paraId="352ADF2D" w14:textId="77777777" w:rsidR="00E14B1C" w:rsidRDefault="003F19C6">
      <w:pPr>
        <w:spacing w:line="276" w:lineRule="auto"/>
        <w:ind w:firstLineChars="200" w:firstLine="422"/>
        <w:jc w:val="left"/>
        <w:rPr>
          <w:rFonts w:ascii="新宋体" w:eastAsia="新宋体" w:hAnsi="新宋体" w:hint="eastAsia"/>
          <w:b/>
          <w:szCs w:val="21"/>
        </w:rPr>
      </w:pPr>
      <w:r>
        <w:rPr>
          <w:b/>
        </w:rPr>
        <w:t>1.</w:t>
      </w:r>
      <w:r>
        <w:rPr>
          <w:rFonts w:hint="eastAsia"/>
          <w:b/>
        </w:rPr>
        <w:t>理财本金及收益风险</w:t>
      </w:r>
    </w:p>
    <w:p w14:paraId="48C0A274"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本理财产品为非保本浮动收益型，不保障理财本金和收益，</w:t>
      </w:r>
      <w:r>
        <w:rPr>
          <w:rFonts w:ascii="新宋体" w:eastAsia="新宋体" w:hAnsi="新宋体" w:hint="eastAsia"/>
          <w:sz w:val="21"/>
          <w:szCs w:val="21"/>
        </w:rPr>
        <w:t>您的本金可能会因市场波动而蒙受重大损失。</w:t>
      </w:r>
      <w:r>
        <w:rPr>
          <w:rFonts w:ascii="新宋体" w:eastAsia="新宋体" w:hAnsi="新宋体" w:hint="eastAsia"/>
          <w:color w:val="auto"/>
          <w:sz w:val="21"/>
          <w:szCs w:val="21"/>
        </w:rPr>
        <w:t>产品的业绩比较基准为综合考虑当前市场环境、资产配置中枢比例、产品费用及税费等因素而得，不代表产品业绩的未来表现，不作为支付产品本金或收益的承诺。本产品为净值型产品，业绩表现将随市场情况波动，具有不确定性，产品业绩表现存在不达业绩比较基准的风险。</w:t>
      </w:r>
    </w:p>
    <w:p w14:paraId="21252591" w14:textId="075335AE" w:rsidR="00E14B1C" w:rsidRDefault="003F19C6">
      <w:pPr>
        <w:pStyle w:val="Default"/>
        <w:spacing w:line="276" w:lineRule="auto"/>
        <w:ind w:firstLineChars="200" w:firstLine="422"/>
        <w:rPr>
          <w:rFonts w:ascii="新宋体" w:eastAsia="新宋体" w:hAnsi="新宋体" w:hint="eastAsia"/>
          <w:color w:val="auto"/>
          <w:sz w:val="21"/>
          <w:szCs w:val="21"/>
        </w:rPr>
      </w:pPr>
      <w:r>
        <w:rPr>
          <w:rFonts w:ascii="新宋体" w:eastAsia="新宋体" w:hAnsi="新宋体" w:hint="eastAsia"/>
          <w:b/>
          <w:color w:val="auto"/>
          <w:sz w:val="21"/>
          <w:szCs w:val="21"/>
        </w:rPr>
        <w:t>青银理财根据资产投资类别、风险收益特点、流动性等因素对产品进行风险评级，按产品风险级别从低到高分为五级，依次为：谨慎型</w:t>
      </w:r>
      <w:r>
        <w:rPr>
          <w:rFonts w:ascii="新宋体" w:eastAsia="新宋体" w:hAnsi="新宋体"/>
          <w:b/>
          <w:color w:val="auto"/>
          <w:sz w:val="21"/>
          <w:szCs w:val="21"/>
        </w:rPr>
        <w:t xml:space="preserve"> (★)、稳健型 (★★)、平衡型 (★★★)、进取型 (★★★★)、激进型 (★★★★★)。</w:t>
      </w:r>
      <w:r>
        <w:rPr>
          <w:rFonts w:ascii="新宋体" w:eastAsia="新宋体" w:hAnsi="新宋体" w:hint="eastAsia"/>
          <w:color w:val="auto"/>
          <w:sz w:val="21"/>
          <w:szCs w:val="21"/>
        </w:rPr>
        <w:t>本产品的青银理财内部评级为</w:t>
      </w:r>
      <w:r>
        <w:rPr>
          <w:rFonts w:ascii="新宋体" w:eastAsia="新宋体" w:hAnsi="新宋体" w:hint="eastAsia"/>
          <w:b/>
          <w:color w:val="auto"/>
          <w:sz w:val="21"/>
          <w:szCs w:val="21"/>
        </w:rPr>
        <w:t>稳健型（存续期内风险等级可能会进行调整），</w:t>
      </w:r>
      <w:bookmarkStart w:id="0" w:name="_Hlk149119716"/>
      <w:r>
        <w:rPr>
          <w:rFonts w:ascii="新宋体" w:eastAsia="新宋体" w:hAnsi="新宋体" w:hint="eastAsia"/>
          <w:sz w:val="21"/>
          <w:szCs w:val="21"/>
        </w:rPr>
        <w:t>该评级为青银理财内部评级，仅供参考。</w:t>
      </w:r>
      <w:bookmarkEnd w:id="0"/>
      <w:r>
        <w:rPr>
          <w:rFonts w:ascii="新宋体" w:eastAsia="新宋体" w:hAnsi="新宋体" w:hint="eastAsia"/>
          <w:color w:val="auto"/>
          <w:sz w:val="21"/>
          <w:szCs w:val="21"/>
        </w:rPr>
        <w:t>投资者应充分认识投资风险，谨慎投资。</w:t>
      </w:r>
    </w:p>
    <w:p w14:paraId="291EF4F5" w14:textId="77777777" w:rsidR="00E14B1C" w:rsidRDefault="003F19C6">
      <w:pPr>
        <w:pStyle w:val="Default"/>
        <w:spacing w:line="276" w:lineRule="auto"/>
        <w:ind w:firstLineChars="200" w:firstLine="422"/>
        <w:rPr>
          <w:rFonts w:ascii="新宋体" w:eastAsia="新宋体" w:hAnsi="新宋体" w:hint="eastAsia"/>
          <w:color w:val="auto"/>
          <w:sz w:val="21"/>
          <w:szCs w:val="21"/>
        </w:rPr>
      </w:pPr>
      <w:r>
        <w:rPr>
          <w:rFonts w:ascii="新宋体" w:eastAsia="新宋体" w:hAnsi="新宋体" w:hint="eastAsia"/>
          <w:b/>
          <w:color w:val="auto"/>
          <w:sz w:val="21"/>
          <w:szCs w:val="21"/>
        </w:rPr>
        <w:t>该产品通过代理销售机构渠道销售的，理财产品评级应当以代理销售机构最终披露的评级结果为准。</w:t>
      </w:r>
    </w:p>
    <w:p w14:paraId="77A5039E"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2.管理人风险</w:t>
      </w:r>
    </w:p>
    <w:p w14:paraId="1088B851"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因管理人（包括本理财计划的理财管理人、所投资信托计划/资管计划的受托人（如有）、相关投资顾问（如有）等，下同）受经验、技能等因素限制，可能导致本理财计划项下的理财资金遭受损失。</w:t>
      </w:r>
    </w:p>
    <w:p w14:paraId="6813AEE6"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3.市场风险</w:t>
      </w:r>
    </w:p>
    <w:p w14:paraId="5629A597"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受未来各种市场因素变化影响，本产品基础资产价值可能波动，进而导致客户投资收益波动，甚至本金损失。市场风险包括但不限于投资债券面临的利率变化及债券价格波动带来的风险，投资股票面临的股票价格波动带来的风险，投资商品及金融衍生品面临的商品及衍生品价格波动带来的风险等。青银理财将竭力降低市场风险带来的负面影响，但并不能完全规避。</w:t>
      </w:r>
    </w:p>
    <w:p w14:paraId="16C26B3F"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4.政策风险</w:t>
      </w:r>
    </w:p>
    <w:p w14:paraId="3B991E1D" w14:textId="77777777" w:rsidR="00E14B1C" w:rsidRDefault="003F19C6">
      <w:pPr>
        <w:autoSpaceDE w:val="0"/>
        <w:autoSpaceDN w:val="0"/>
        <w:adjustRightInd w:val="0"/>
        <w:snapToGrid w:val="0"/>
        <w:spacing w:line="276" w:lineRule="auto"/>
        <w:ind w:firstLineChars="200" w:firstLine="420"/>
        <w:jc w:val="left"/>
        <w:rPr>
          <w:rFonts w:ascii="新宋体" w:eastAsia="新宋体" w:hAnsi="新宋体" w:cs="宋体" w:hint="eastAsia"/>
          <w:b/>
          <w:kern w:val="0"/>
          <w:szCs w:val="21"/>
        </w:rPr>
      </w:pPr>
      <w:r>
        <w:rPr>
          <w:rFonts w:ascii="新宋体" w:eastAsia="新宋体" w:hAnsi="新宋体" w:cs="宋体" w:hint="eastAsia"/>
          <w:kern w:val="0"/>
          <w:szCs w:val="21"/>
        </w:rPr>
        <w:t>本理财计划是针对当前的相关法规和政策设计的。如国家宏观政策、市场相关法规政策等发生变化，可能影响理财计划的受理、投资、偿还等环节的正常进行，甚至导致本理财计划收益降低或本金损失。</w:t>
      </w:r>
    </w:p>
    <w:p w14:paraId="7C250A49"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lastRenderedPageBreak/>
        <w:t>5.流动性风险</w:t>
      </w:r>
    </w:p>
    <w:p w14:paraId="340884DC" w14:textId="77777777" w:rsidR="00E14B1C" w:rsidRDefault="003F19C6">
      <w:pPr>
        <w:autoSpaceDE w:val="0"/>
        <w:autoSpaceDN w:val="0"/>
        <w:adjustRightInd w:val="0"/>
        <w:snapToGrid w:val="0"/>
        <w:spacing w:line="276" w:lineRule="auto"/>
        <w:ind w:firstLineChars="200" w:firstLine="420"/>
        <w:jc w:val="left"/>
        <w:rPr>
          <w:rFonts w:ascii="新宋体" w:eastAsia="新宋体" w:hAnsi="新宋体" w:cs="宋体" w:hint="eastAsia"/>
          <w:kern w:val="0"/>
          <w:szCs w:val="21"/>
        </w:rPr>
      </w:pPr>
      <w:r>
        <w:rPr>
          <w:rFonts w:ascii="新宋体" w:eastAsia="新宋体" w:hAnsi="新宋体" w:cs="宋体" w:hint="eastAsia"/>
          <w:kern w:val="0"/>
          <w:szCs w:val="21"/>
        </w:rPr>
        <w:t>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您产生流动性需求，可能面临理财产品投资期限与资金需求日不匹配的流动性风险。此外，针对开放式产品，投资者只能在开放期的交易时间内进行申购、赎回，开放期内若发生巨额赎回，投资者将面临不能及时赎回理财产品的流动性风险。</w:t>
      </w:r>
    </w:p>
    <w:p w14:paraId="45DDCCF4"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6.理财计划不成立风险</w:t>
      </w:r>
    </w:p>
    <w:p w14:paraId="690C8F18"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如本理财计划认购总金额未达规模下限（如有约定），或国家政策以及市场相关法规政策发生变化使本理财计划无法正常成立，或市场发生剧烈波动，经青银理财合理判断难以按照本产品说明书规定向投资者提供本理财计划，则青银理财有权宣布本理财计划不成立。</w:t>
      </w:r>
    </w:p>
    <w:p w14:paraId="21DA7F7C"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7</w:t>
      </w:r>
      <w:r>
        <w:rPr>
          <w:rFonts w:ascii="新宋体" w:eastAsia="新宋体" w:hAnsi="新宋体" w:cs="宋体"/>
          <w:b/>
          <w:kern w:val="0"/>
          <w:szCs w:val="21"/>
        </w:rPr>
        <w:t>.</w:t>
      </w:r>
      <w:r>
        <w:rPr>
          <w:rFonts w:ascii="新宋体" w:eastAsia="新宋体" w:hAnsi="新宋体" w:cs="宋体" w:hint="eastAsia"/>
          <w:b/>
          <w:kern w:val="0"/>
          <w:szCs w:val="21"/>
        </w:rPr>
        <w:t>理财计划提前终止风险</w:t>
      </w:r>
    </w:p>
    <w:p w14:paraId="565983E0" w14:textId="5FB0B8E9" w:rsidR="00E14B1C" w:rsidRDefault="003F19C6">
      <w:pPr>
        <w:autoSpaceDE w:val="0"/>
        <w:autoSpaceDN w:val="0"/>
        <w:adjustRightInd w:val="0"/>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产品存续期内，为保护客户利益，如遇包括但不限于国家金融政策发生重大调整、金融市场发生重大波动、不可抗力、产品存续规模低于产品最低成立规模或产品管理人认为影响产品运作需要提前终止产品的其他情况，青银理财可能根据国家金融政策、市场变化等情况选择提前终止本期产品，客户可能因此面临不能按预定期限取得本金及预期收益的风险。（具体信息及相关规则见十四、产品</w:t>
      </w:r>
      <w:r w:rsidRPr="0004251E">
        <w:rPr>
          <w:rFonts w:ascii="新宋体" w:eastAsia="新宋体" w:hAnsi="新宋体" w:hint="eastAsia"/>
          <w:bCs/>
          <w:szCs w:val="21"/>
        </w:rPr>
        <w:t>终止及清算事项</w:t>
      </w:r>
      <w:r>
        <w:rPr>
          <w:rFonts w:ascii="新宋体" w:eastAsia="新宋体" w:hAnsi="新宋体" w:hint="eastAsia"/>
          <w:szCs w:val="21"/>
        </w:rPr>
        <w:t xml:space="preserve">） </w:t>
      </w:r>
    </w:p>
    <w:p w14:paraId="4324FB52"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b/>
          <w:kern w:val="0"/>
          <w:szCs w:val="21"/>
        </w:rPr>
        <w:t>8</w:t>
      </w:r>
      <w:r>
        <w:rPr>
          <w:rFonts w:ascii="新宋体" w:eastAsia="新宋体" w:hAnsi="新宋体" w:cs="宋体" w:hint="eastAsia"/>
          <w:b/>
          <w:kern w:val="0"/>
          <w:szCs w:val="21"/>
        </w:rPr>
        <w:t>.信息传递风险</w:t>
      </w:r>
    </w:p>
    <w:p w14:paraId="7CCA558C"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hint="eastAsia"/>
          <w:b/>
          <w:kern w:val="0"/>
          <w:szCs w:val="21"/>
        </w:rPr>
        <w:t>青银理财或代理销售机构将按照本理财计划产品说明书所约定的方式进行信息披露，客户应充分关注并主动及时查询青银理财披露的相关信息。青银理财或代理销售机构通过理财产品销售文件约定方式披露信息后，视为本公司已向您完全履行信息披露义务，您可及时登录本公司/代理销售机构网站或致电本公司/代理销售机构客户服务热线（青银理财：4000879666；代理销售机构详见客户权益须知）查询。如因您未及时查询，或因通讯、系统故障或其他不可抗力等因素的影响，致使您无法及时了解理财产品信息，所产生的责任和风险将由您自行承担。客户预留在青银理财或代理销售机构的联系方式如有变更应及时进行调整以通知青银理财或代理销售机构。如因客户未及时查询相关信息，或预留联系方式变更未及时通知青银理财或代理销售机构，导致青银理财或代理销售机构在需要的时候无法及时联系客户，可能因此影响客户的投资决策，由此而产生的责任和风险由客户自行承担。</w:t>
      </w:r>
    </w:p>
    <w:p w14:paraId="7940D71D" w14:textId="77777777" w:rsidR="00E14B1C" w:rsidRDefault="003F19C6">
      <w:pPr>
        <w:autoSpaceDE w:val="0"/>
        <w:autoSpaceDN w:val="0"/>
        <w:adjustRightInd w:val="0"/>
        <w:snapToGrid w:val="0"/>
        <w:spacing w:line="276" w:lineRule="auto"/>
        <w:ind w:firstLineChars="200" w:firstLine="422"/>
        <w:jc w:val="left"/>
        <w:rPr>
          <w:rFonts w:ascii="新宋体" w:eastAsia="新宋体" w:hAnsi="新宋体" w:cs="宋体" w:hint="eastAsia"/>
          <w:b/>
          <w:kern w:val="0"/>
          <w:szCs w:val="21"/>
        </w:rPr>
      </w:pPr>
      <w:r>
        <w:rPr>
          <w:rFonts w:ascii="新宋体" w:eastAsia="新宋体" w:hAnsi="新宋体" w:cs="宋体"/>
          <w:b/>
          <w:kern w:val="0"/>
          <w:szCs w:val="21"/>
        </w:rPr>
        <w:t>9</w:t>
      </w:r>
      <w:r>
        <w:rPr>
          <w:rFonts w:ascii="新宋体" w:eastAsia="新宋体" w:hAnsi="新宋体" w:cs="宋体" w:hint="eastAsia"/>
          <w:b/>
          <w:kern w:val="0"/>
          <w:szCs w:val="21"/>
        </w:rPr>
        <w:t>.不可抗力及意外事件风险</w:t>
      </w:r>
    </w:p>
    <w:p w14:paraId="47896C18" w14:textId="77777777" w:rsidR="00E14B1C" w:rsidRDefault="003F19C6">
      <w:pPr>
        <w:pStyle w:val="ab"/>
        <w:spacing w:before="0" w:beforeAutospacing="0" w:after="0" w:afterAutospacing="0" w:line="276" w:lineRule="auto"/>
        <w:ind w:firstLine="420"/>
        <w:rPr>
          <w:rFonts w:ascii="新宋体" w:eastAsia="新宋体" w:hAnsi="新宋体" w:hint="eastAsia"/>
          <w:sz w:val="21"/>
          <w:szCs w:val="21"/>
        </w:rPr>
      </w:pPr>
      <w:r>
        <w:rPr>
          <w:rFonts w:ascii="新宋体" w:eastAsia="新宋体" w:hAnsi="新宋体" w:hint="eastAsia"/>
          <w:sz w:val="21"/>
          <w:szCs w:val="21"/>
        </w:rPr>
        <w:t>不可抗力因素可能导致理财资产收益降低或本金损失，影响理财计划的信息传递、成立、运作、偿还及本金安全。“不可抗力”是指交易各方不能合理控制、不可预见或即使预见亦无法避免的事件，该事件妨碍、影响或延误任何一方履行其全部或部分权利和义务。该事件包括但不限于自然灾害、战争、骚乱、相关法律法规出台变更及市场环境突变等因素。</w:t>
      </w:r>
    </w:p>
    <w:p w14:paraId="7E04B898" w14:textId="77777777" w:rsidR="00E14B1C" w:rsidRDefault="003F19C6">
      <w:pPr>
        <w:snapToGrid w:val="0"/>
        <w:spacing w:line="276" w:lineRule="auto"/>
        <w:ind w:firstLineChars="200" w:firstLine="422"/>
        <w:jc w:val="left"/>
        <w:rPr>
          <w:rFonts w:ascii="新宋体" w:eastAsia="新宋体" w:hAnsi="新宋体" w:hint="eastAsia"/>
          <w:szCs w:val="21"/>
        </w:rPr>
      </w:pPr>
      <w:r>
        <w:rPr>
          <w:b/>
          <w:szCs w:val="21"/>
        </w:rPr>
        <w:t>以上风险仅为列举性质，详见产品风险揭示书。</w:t>
      </w:r>
    </w:p>
    <w:p w14:paraId="4E7F66F1" w14:textId="77ED0764" w:rsidR="00E14B1C" w:rsidRDefault="003F19C6">
      <w:pPr>
        <w:snapToGrid w:val="0"/>
        <w:spacing w:line="276" w:lineRule="auto"/>
        <w:ind w:left="397"/>
        <w:jc w:val="left"/>
        <w:rPr>
          <w:rFonts w:ascii="新宋体" w:eastAsia="新宋体" w:hAnsi="新宋体" w:hint="eastAsia"/>
          <w:b/>
          <w:szCs w:val="21"/>
        </w:rPr>
      </w:pPr>
      <w:r>
        <w:rPr>
          <w:rFonts w:ascii="新宋体" w:eastAsia="新宋体" w:hAnsi="新宋体" w:hint="eastAsia"/>
          <w:b/>
          <w:szCs w:val="21"/>
        </w:rPr>
        <w:t>三、产品投资范围</w:t>
      </w:r>
    </w:p>
    <w:p w14:paraId="089CFF53" w14:textId="5B41879B"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本理财计划由青银理财募集理财资金自行投资运作，投资性质属固定收益类，产品投资范围主要包括：</w:t>
      </w:r>
    </w:p>
    <w:p w14:paraId="09FBC97B"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1.银行存款、债券回购、买入返售金融资产、拆放同业、同业存款、同业存单等货币市场工具；</w:t>
      </w:r>
    </w:p>
    <w:p w14:paraId="1B6D1B40"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2.国债、央行票据、政策性金融债、商业银行金融债（含二级资本债、混合资本债、次级债等）、超短期融资券、短期融资券、中期票据、中小企业集合票据、定向工具、资产支持证券、企业债、项目收益票据、证券交易所标准化投资品种（含公司债、中小企业私募债、优先股、新股申购、股票质押回购等）等；</w:t>
      </w:r>
    </w:p>
    <w:p w14:paraId="43BB1621"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3.符合条件的信托计划、券商资管计划、保险资管计划、基金资管计划、基金子公司资管计划、期货资管计划、FOF、MOM；</w:t>
      </w:r>
    </w:p>
    <w:p w14:paraId="7B4CCC72"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4. 权益类资产、金融衍生品、境外理财投资QDII、商品类资产、公募基金；</w:t>
      </w:r>
    </w:p>
    <w:p w14:paraId="4C4C3729"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5.监管部门允许的其他投资工具。</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0"/>
        <w:gridCol w:w="3060"/>
      </w:tblGrid>
      <w:tr w:rsidR="00E14B1C" w14:paraId="09FD3C96" w14:textId="77777777">
        <w:trPr>
          <w:trHeight w:val="405"/>
        </w:trPr>
        <w:tc>
          <w:tcPr>
            <w:tcW w:w="3060" w:type="dxa"/>
            <w:tcBorders>
              <w:top w:val="single" w:sz="4" w:space="0" w:color="auto"/>
              <w:left w:val="single" w:sz="4" w:space="0" w:color="auto"/>
              <w:bottom w:val="single" w:sz="4" w:space="0" w:color="auto"/>
              <w:right w:val="single" w:sz="4" w:space="0" w:color="auto"/>
            </w:tcBorders>
          </w:tcPr>
          <w:p w14:paraId="22ED0294"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lastRenderedPageBreak/>
              <w:t>货币市场工具</w:t>
            </w:r>
          </w:p>
        </w:tc>
        <w:tc>
          <w:tcPr>
            <w:tcW w:w="3060" w:type="dxa"/>
            <w:tcBorders>
              <w:top w:val="single" w:sz="4" w:space="0" w:color="auto"/>
              <w:left w:val="single" w:sz="4" w:space="0" w:color="auto"/>
              <w:bottom w:val="single" w:sz="4" w:space="0" w:color="auto"/>
              <w:right w:val="single" w:sz="4" w:space="0" w:color="auto"/>
            </w:tcBorders>
          </w:tcPr>
          <w:p w14:paraId="7988A3B4"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0-</w:t>
            </w:r>
            <w:r>
              <w:rPr>
                <w:rFonts w:ascii="新宋体" w:eastAsia="新宋体" w:hAnsi="新宋体"/>
                <w:szCs w:val="21"/>
              </w:rPr>
              <w:t>95</w:t>
            </w:r>
            <w:r>
              <w:rPr>
                <w:rFonts w:ascii="新宋体" w:eastAsia="新宋体" w:hAnsi="新宋体" w:hint="eastAsia"/>
                <w:szCs w:val="21"/>
              </w:rPr>
              <w:t>%</w:t>
            </w:r>
          </w:p>
        </w:tc>
      </w:tr>
      <w:tr w:rsidR="00E14B1C" w14:paraId="015678E8" w14:textId="77777777">
        <w:trPr>
          <w:trHeight w:val="405"/>
        </w:trPr>
        <w:tc>
          <w:tcPr>
            <w:tcW w:w="3060" w:type="dxa"/>
            <w:tcBorders>
              <w:top w:val="single" w:sz="4" w:space="0" w:color="auto"/>
              <w:left w:val="single" w:sz="4" w:space="0" w:color="auto"/>
              <w:bottom w:val="single" w:sz="4" w:space="0" w:color="auto"/>
              <w:right w:val="single" w:sz="4" w:space="0" w:color="auto"/>
            </w:tcBorders>
          </w:tcPr>
          <w:p w14:paraId="5309F446"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固定收益类资产</w:t>
            </w:r>
          </w:p>
        </w:tc>
        <w:tc>
          <w:tcPr>
            <w:tcW w:w="3060" w:type="dxa"/>
            <w:tcBorders>
              <w:top w:val="single" w:sz="4" w:space="0" w:color="auto"/>
              <w:left w:val="single" w:sz="4" w:space="0" w:color="auto"/>
              <w:bottom w:val="single" w:sz="4" w:space="0" w:color="auto"/>
              <w:right w:val="single" w:sz="4" w:space="0" w:color="auto"/>
            </w:tcBorders>
          </w:tcPr>
          <w:p w14:paraId="3FECFA9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10-100%</w:t>
            </w:r>
          </w:p>
        </w:tc>
      </w:tr>
      <w:tr w:rsidR="00E14B1C" w14:paraId="715EAE52" w14:textId="77777777">
        <w:trPr>
          <w:trHeight w:val="405"/>
        </w:trPr>
        <w:tc>
          <w:tcPr>
            <w:tcW w:w="3060" w:type="dxa"/>
            <w:tcBorders>
              <w:top w:val="single" w:sz="4" w:space="0" w:color="auto"/>
              <w:left w:val="single" w:sz="4" w:space="0" w:color="auto"/>
              <w:bottom w:val="single" w:sz="4" w:space="0" w:color="auto"/>
              <w:right w:val="single" w:sz="4" w:space="0" w:color="auto"/>
            </w:tcBorders>
          </w:tcPr>
          <w:p w14:paraId="6D690E08"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其他资产</w:t>
            </w:r>
          </w:p>
        </w:tc>
        <w:tc>
          <w:tcPr>
            <w:tcW w:w="3060" w:type="dxa"/>
            <w:tcBorders>
              <w:top w:val="single" w:sz="4" w:space="0" w:color="auto"/>
              <w:left w:val="single" w:sz="4" w:space="0" w:color="auto"/>
              <w:bottom w:val="single" w:sz="4" w:space="0" w:color="auto"/>
              <w:right w:val="single" w:sz="4" w:space="0" w:color="auto"/>
            </w:tcBorders>
          </w:tcPr>
          <w:p w14:paraId="724C3A1F" w14:textId="77777777" w:rsidR="00E14B1C" w:rsidRDefault="003F19C6">
            <w:pPr>
              <w:spacing w:line="276" w:lineRule="auto"/>
              <w:jc w:val="left"/>
              <w:rPr>
                <w:rFonts w:ascii="新宋体" w:eastAsia="新宋体" w:hAnsi="新宋体" w:hint="eastAsia"/>
                <w:szCs w:val="21"/>
              </w:rPr>
            </w:pPr>
            <w:r>
              <w:rPr>
                <w:rFonts w:ascii="新宋体" w:eastAsia="新宋体" w:hAnsi="新宋体" w:hint="eastAsia"/>
                <w:szCs w:val="21"/>
              </w:rPr>
              <w:t>0-20%</w:t>
            </w:r>
          </w:p>
        </w:tc>
      </w:tr>
    </w:tbl>
    <w:p w14:paraId="585271C1"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理财产品存续期内可能因市场的重大变化导致投资比例暂时超出如上区间。非</w:t>
      </w:r>
      <w:r>
        <w:rPr>
          <w:rFonts w:ascii="新宋体" w:eastAsia="新宋体" w:hAnsi="新宋体" w:hint="eastAsia"/>
          <w:b/>
          <w:kern w:val="0"/>
          <w:szCs w:val="21"/>
        </w:rPr>
        <w:t>因管理人主观因素导致突破前述比例限制的，管理人应当在流动性受限资产可出售、可转让或者恢复交易的15个交易日内将理财产品投资比例调整至符合要求，国务院银行业监督管理机构规定的特殊情形除外。</w:t>
      </w:r>
    </w:p>
    <w:p w14:paraId="6DE2DD97"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青银理财有权根据市场情况，以客户利益最大化为原则，对本理财的投资范围、投资品种和投资比例进行调整。调整前，青银理财最迟提前2个交易日发布公告。</w:t>
      </w:r>
      <w:r>
        <w:rPr>
          <w:rFonts w:ascii="新宋体" w:eastAsia="新宋体" w:hAnsi="新宋体" w:hint="eastAsia"/>
          <w:szCs w:val="21"/>
        </w:rPr>
        <w:t>如投资者不接受调整 ，则应及时通过销售服务机构营业网点或网上销售平台赎回本产品（高风险类型的理财产品超出比例范围投资较低风险资产的情况除外），若本产品投资者未赎回本产品，则视为本理财产品投资者对相关调整无异议并同意继续持有本理财产品。</w:t>
      </w:r>
    </w:p>
    <w:p w14:paraId="335BD9F3"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四、产品投资限制</w:t>
      </w:r>
    </w:p>
    <w:p w14:paraId="65C50EED"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1</w:t>
      </w:r>
      <w:r>
        <w:rPr>
          <w:rFonts w:ascii="新宋体" w:eastAsia="新宋体" w:hAnsi="新宋体" w:cs="Times New Roman"/>
          <w:kern w:val="2"/>
          <w:sz w:val="21"/>
          <w:szCs w:val="21"/>
        </w:rPr>
        <w:t>.</w:t>
      </w:r>
      <w:r>
        <w:rPr>
          <w:rFonts w:ascii="新宋体" w:eastAsia="新宋体" w:hAnsi="新宋体" w:cs="Times New Roman" w:hint="eastAsia"/>
          <w:kern w:val="2"/>
          <w:sz w:val="21"/>
          <w:szCs w:val="21"/>
        </w:rPr>
        <w:t>本产品投资于单只证券或单只公募证券投资基金的市值不超过本产品净资产的10%。</w:t>
      </w:r>
    </w:p>
    <w:p w14:paraId="53DA7728"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2</w:t>
      </w:r>
      <w:r>
        <w:rPr>
          <w:rFonts w:ascii="新宋体" w:eastAsia="新宋体" w:hAnsi="新宋体" w:cs="Times New Roman"/>
          <w:kern w:val="2"/>
          <w:sz w:val="21"/>
          <w:szCs w:val="21"/>
        </w:rPr>
        <w:t>.</w:t>
      </w:r>
      <w:r>
        <w:rPr>
          <w:rFonts w:ascii="新宋体" w:eastAsia="新宋体" w:hAnsi="新宋体" w:cs="Times New Roman" w:hint="eastAsia"/>
          <w:kern w:val="2"/>
          <w:sz w:val="21"/>
          <w:szCs w:val="21"/>
        </w:rPr>
        <w:t>本产品投资总资产不超过净资产的</w:t>
      </w:r>
      <w:r>
        <w:rPr>
          <w:rFonts w:ascii="新宋体" w:eastAsia="新宋体" w:hAnsi="新宋体" w:cs="Times New Roman"/>
          <w:kern w:val="2"/>
          <w:sz w:val="21"/>
          <w:szCs w:val="21"/>
        </w:rPr>
        <w:t>140</w:t>
      </w:r>
      <w:r>
        <w:rPr>
          <w:rFonts w:ascii="新宋体" w:eastAsia="新宋体" w:hAnsi="新宋体" w:cs="Times New Roman" w:hint="eastAsia"/>
          <w:kern w:val="2"/>
          <w:sz w:val="21"/>
          <w:szCs w:val="21"/>
        </w:rPr>
        <w:t>%。</w:t>
      </w:r>
    </w:p>
    <w:p w14:paraId="7F1A2A4B"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3</w:t>
      </w:r>
      <w:r>
        <w:rPr>
          <w:rFonts w:ascii="新宋体" w:eastAsia="新宋体" w:hAnsi="新宋体" w:cs="Times New Roman"/>
          <w:kern w:val="2"/>
          <w:sz w:val="21"/>
          <w:szCs w:val="21"/>
        </w:rPr>
        <w:t>.</w:t>
      </w:r>
      <w:r>
        <w:rPr>
          <w:rFonts w:ascii="新宋体" w:eastAsia="新宋体" w:hAnsi="新宋体" w:cs="Times New Roman" w:hint="eastAsia"/>
          <w:kern w:val="2"/>
          <w:sz w:val="21"/>
          <w:szCs w:val="21"/>
        </w:rPr>
        <w:t>非因管理人主观因素致使不符合前述比例限制的，管理人将在流动性受限资产可出售、可转让或者恢复交易10个交易日内调整至符合相关要求。</w:t>
      </w:r>
    </w:p>
    <w:p w14:paraId="29D58D9D"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color w:val="auto"/>
          <w:sz w:val="21"/>
          <w:szCs w:val="21"/>
        </w:rPr>
        <w:t>4.以上限制，如监管有最新规定的，可参照监管规定调整。</w:t>
      </w:r>
    </w:p>
    <w:p w14:paraId="00A67803" w14:textId="77777777" w:rsidR="00E14B1C" w:rsidRDefault="003F19C6">
      <w:pPr>
        <w:snapToGrid w:val="0"/>
        <w:spacing w:line="276" w:lineRule="auto"/>
        <w:ind w:firstLineChars="196" w:firstLine="413"/>
        <w:jc w:val="left"/>
        <w:rPr>
          <w:rFonts w:ascii="新宋体" w:eastAsia="新宋体" w:hAnsi="新宋体" w:hint="eastAsia"/>
          <w:b/>
          <w:szCs w:val="21"/>
        </w:rPr>
      </w:pPr>
      <w:r>
        <w:rPr>
          <w:rFonts w:ascii="新宋体" w:eastAsia="新宋体" w:hAnsi="新宋体" w:hint="eastAsia"/>
          <w:b/>
          <w:szCs w:val="21"/>
        </w:rPr>
        <w:t>五、</w:t>
      </w:r>
      <w:r>
        <w:rPr>
          <w:rFonts w:ascii="新宋体" w:eastAsia="新宋体" w:hAnsi="新宋体"/>
          <w:b/>
          <w:szCs w:val="21"/>
        </w:rPr>
        <w:tab/>
        <w:t>理财管理人</w:t>
      </w:r>
    </w:p>
    <w:p w14:paraId="0D56B28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本理财计划的投资管理人为青银理财有限责任公司。青银理财负责本理财计划的投资运作和产品管理，投资者在此授权并同意青银理财享有以下权利：</w:t>
      </w:r>
    </w:p>
    <w:p w14:paraId="520AC72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1.按照本理财计划文件的约定，管理、运用和处分理财计划资金；</w:t>
      </w:r>
    </w:p>
    <w:p w14:paraId="0287ACD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2.按照本理财计划文件的约定，及时、足额获得</w:t>
      </w:r>
      <w:r>
        <w:rPr>
          <w:rFonts w:ascii="新宋体" w:eastAsia="新宋体" w:hAnsi="新宋体" w:hint="eastAsia"/>
          <w:szCs w:val="21"/>
        </w:rPr>
        <w:t>固定</w:t>
      </w:r>
      <w:r>
        <w:rPr>
          <w:rFonts w:ascii="新宋体" w:eastAsia="新宋体" w:hAnsi="新宋体"/>
          <w:szCs w:val="21"/>
        </w:rPr>
        <w:t>管理费和本《产品说明书》 约定的其他费用（如有） ；</w:t>
      </w:r>
    </w:p>
    <w:p w14:paraId="29FE07E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3.管理人以其固有财产先行垫付因处理本理财计划相关事务所支出的理财计划费用及税费的 ，对理财计划资金享有优先受偿的权利；</w:t>
      </w:r>
    </w:p>
    <w:p w14:paraId="1181D5F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4.管理人有权根据本理财计划文件的约定提前终止或延长本理财计划；</w:t>
      </w:r>
    </w:p>
    <w:p w14:paraId="3CF9C27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5.管理人有权单方调整本理财计划的发行规模上限/下限、认购/申购起点、认购/申购金额上限、认购/申购资金的最低金额、单笔认购上限、 单笔申购上限、 单日净申购比例上限、 单一客户持有上限、赎回上限等要素；</w:t>
      </w:r>
    </w:p>
    <w:p w14:paraId="54A70EE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6.管理人有权按照法律规定和监管机构的要求将投资者的信息向有权部门或相关机构披露；</w:t>
      </w:r>
    </w:p>
    <w:p w14:paraId="27F27C9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7.以理财计划投资管理人的名义，依照法律法规相关规定以及为理财计划的利益，对被投资的信托计划、资管计划、各类基金（含公募基金、公司/企业等行使出资人/投资者权利（包括但不限于表决投票的权利）以及行使因理财计划财产投资于证券类基础资产（含债券、股票等）或其他基础资产（包括但不限于债权类资产）所产生的相关权利。</w:t>
      </w:r>
    </w:p>
    <w:p w14:paraId="1CA1B4A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8.以理财计划投资管理人的名义，依照法律法规相关规定以及代表理财计划份额持有人的利益行使代为追索的权利（包括但不限于提起诉讼/仲裁、申请保全/执行的权利）或者实施其他风险处置，行使、放弃、变更相关权利义务等法律行为。</w:t>
      </w:r>
    </w:p>
    <w:p w14:paraId="029CF6D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9.在法律法规、监管政策允许的前提下调整估值日。</w:t>
      </w:r>
    </w:p>
    <w:p w14:paraId="5AB64D1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10.法律法规、监管政策和本理财计划文件约定的其他权利。</w:t>
      </w:r>
    </w:p>
    <w:p w14:paraId="1EB8C4BA" w14:textId="77777777" w:rsidR="00E14B1C" w:rsidRDefault="003F19C6">
      <w:pPr>
        <w:snapToGrid w:val="0"/>
        <w:spacing w:line="276" w:lineRule="auto"/>
        <w:ind w:firstLineChars="196" w:firstLine="413"/>
        <w:jc w:val="left"/>
        <w:rPr>
          <w:rFonts w:ascii="新宋体" w:eastAsia="新宋体" w:hAnsi="新宋体" w:hint="eastAsia"/>
          <w:b/>
          <w:szCs w:val="21"/>
        </w:rPr>
      </w:pPr>
      <w:r>
        <w:rPr>
          <w:rFonts w:ascii="新宋体" w:eastAsia="新宋体" w:hAnsi="新宋体" w:hint="eastAsia"/>
          <w:b/>
          <w:szCs w:val="21"/>
        </w:rPr>
        <w:t>六、</w:t>
      </w:r>
      <w:r>
        <w:rPr>
          <w:rFonts w:ascii="新宋体" w:eastAsia="新宋体" w:hAnsi="新宋体"/>
          <w:b/>
          <w:szCs w:val="21"/>
        </w:rPr>
        <w:tab/>
        <w:t>托管人</w:t>
      </w:r>
    </w:p>
    <w:p w14:paraId="315FDBB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1.托管人基本信息</w:t>
      </w:r>
    </w:p>
    <w:p w14:paraId="457D455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lastRenderedPageBreak/>
        <w:t>本理财产品的托管人为【中信银行股份有限公司青岛分行】。</w:t>
      </w:r>
      <w:r>
        <w:rPr>
          <w:rFonts w:ascii="新宋体" w:eastAsia="新宋体" w:hAnsi="新宋体"/>
          <w:szCs w:val="21"/>
        </w:rPr>
        <w:t xml:space="preserve"> </w:t>
      </w:r>
    </w:p>
    <w:p w14:paraId="71D9DB1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2.托管人职责</w:t>
      </w:r>
    </w:p>
    <w:p w14:paraId="4DB7F6C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本理财产品托管人应当履行下列职责，确保实现实质性独立托管：</w:t>
      </w:r>
    </w:p>
    <w:p w14:paraId="2583D55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1）安全保管理财产品财产；</w:t>
      </w:r>
    </w:p>
    <w:p w14:paraId="4D9C2D4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2）为每只理财产品开设独立的托管账户，不同托管账户中的资产应当相互独立；</w:t>
      </w:r>
    </w:p>
    <w:p w14:paraId="7B82630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3）按照托管协议约定和理财产品管理人的投资指令，及时办理清算、交割 事宜；</w:t>
      </w:r>
    </w:p>
    <w:p w14:paraId="541EA42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4）建立与理财产品管理人的对账机制，复核、审查理财产品资金头寸、资产账目、资产净值、认购和赎回价格等数据，及时核查认购、赎回以及投资资金的支付和到账情况；</w:t>
      </w:r>
    </w:p>
    <w:p w14:paraId="368CD32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5）监督理财产品投资运作，发现理财产品违反法律、行政法规、规章规定或合同约定进行投资的，应当拒绝执行，及时通知理财产品管理人并报告银行业监督管理机构；</w:t>
      </w:r>
    </w:p>
    <w:p w14:paraId="538E18B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6）办理与理财产品托管业务活动相关的信息披露事项，包括披露理财产品托管协议、对理财产品信息披露文件中的理财产品财务会计报告等出具意见，以及在公募理财产品半年度和年度报告中出具理财托管机构报告等；</w:t>
      </w:r>
    </w:p>
    <w:p w14:paraId="0D58487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7）</w:t>
      </w:r>
      <w:r>
        <w:rPr>
          <w:rFonts w:ascii="新宋体" w:eastAsia="新宋体" w:hAnsi="新宋体" w:hint="eastAsia"/>
          <w:szCs w:val="21"/>
        </w:rPr>
        <w:t>对</w:t>
      </w:r>
      <w:r>
        <w:rPr>
          <w:rFonts w:ascii="新宋体" w:eastAsia="新宋体" w:hAnsi="新宋体"/>
          <w:szCs w:val="21"/>
        </w:rPr>
        <w:t>理财托管业务活动的记录、账册、报表和其他相关资料保存15年以上；</w:t>
      </w:r>
    </w:p>
    <w:p w14:paraId="0EE067A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8）对理财产品投资信息和相关资料承担保密责任，除法律、行政法规、规章规定、审计要求或者合同约定外，不得向任何机构或者个人提供相关信息和资料；</w:t>
      </w:r>
    </w:p>
    <w:p w14:paraId="51F53F8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w:t>
      </w:r>
      <w:r>
        <w:rPr>
          <w:rFonts w:ascii="新宋体" w:eastAsia="新宋体" w:hAnsi="新宋体"/>
          <w:szCs w:val="21"/>
        </w:rPr>
        <w:t>9）国务院银行业监督管理机构规定的其他职责。</w:t>
      </w:r>
    </w:p>
    <w:p w14:paraId="4892A097" w14:textId="77777777" w:rsidR="00E14B1C" w:rsidRDefault="003F19C6">
      <w:pPr>
        <w:snapToGrid w:val="0"/>
        <w:spacing w:line="276" w:lineRule="auto"/>
        <w:ind w:firstLineChars="196" w:firstLine="413"/>
        <w:jc w:val="left"/>
        <w:rPr>
          <w:rFonts w:ascii="新宋体" w:eastAsia="新宋体" w:hAnsi="新宋体" w:hint="eastAsia"/>
          <w:b/>
          <w:szCs w:val="21"/>
        </w:rPr>
      </w:pPr>
      <w:r>
        <w:rPr>
          <w:rFonts w:ascii="新宋体" w:eastAsia="新宋体" w:hAnsi="新宋体" w:hint="eastAsia"/>
          <w:b/>
          <w:szCs w:val="21"/>
        </w:rPr>
        <w:t>七、</w:t>
      </w:r>
      <w:r>
        <w:rPr>
          <w:rFonts w:ascii="新宋体" w:eastAsia="新宋体" w:hAnsi="新宋体"/>
          <w:b/>
          <w:szCs w:val="21"/>
        </w:rPr>
        <w:tab/>
        <w:t>销售服务机构</w:t>
      </w:r>
    </w:p>
    <w:p w14:paraId="3C27A170" w14:textId="77777777" w:rsidR="00E14B1C" w:rsidRDefault="003F19C6">
      <w:pPr>
        <w:snapToGrid w:val="0"/>
        <w:spacing w:line="276" w:lineRule="auto"/>
        <w:ind w:firstLineChars="196" w:firstLine="413"/>
        <w:jc w:val="left"/>
        <w:rPr>
          <w:rFonts w:ascii="新宋体" w:eastAsia="新宋体" w:hAnsi="新宋体" w:hint="eastAsia"/>
          <w:b/>
          <w:szCs w:val="21"/>
        </w:rPr>
      </w:pPr>
      <w:r>
        <w:rPr>
          <w:rFonts w:ascii="新宋体" w:eastAsia="新宋体" w:hAnsi="新宋体" w:hint="eastAsia"/>
          <w:b/>
          <w:szCs w:val="21"/>
        </w:rPr>
        <w:t>本理财产品的销售服务机构为青银理财直销及各销售服务机构。销售服务机构及其分支机构提供包括理财计划宣传推广销售、投资者风险承受能力评估和投资者适当性管理、理财计划份额认购</w:t>
      </w:r>
      <w:r>
        <w:rPr>
          <w:rFonts w:ascii="新宋体" w:eastAsia="新宋体" w:hAnsi="新宋体"/>
          <w:b/>
          <w:szCs w:val="21"/>
        </w:rPr>
        <w:t>/申购/赎回、协助管理人与投资者订立理财计划合同、协助管理人与投资者沟通及进行信息披露、接受投资者咨询和客户维护、落实反洗钱、反恐怖融资及非居民金融账户涉税信息尽职调查、完整记录和保存销售业务活动信息等义务。后续合作销售服务机构如有新增、减少和变更，将按照本说明书约定的方式告知投资者，具体销售服务机构以实际销售情况为准。</w:t>
      </w:r>
    </w:p>
    <w:p w14:paraId="576924B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合作销售服务机构信息：</w:t>
      </w:r>
    </w:p>
    <w:p w14:paraId="77B1A6C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1.名称：青银理财有限责任公司</w:t>
      </w:r>
    </w:p>
    <w:p w14:paraId="7558835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住所：山东省青岛市崂山区秦岭路</w:t>
      </w:r>
      <w:r>
        <w:rPr>
          <w:rFonts w:ascii="新宋体" w:eastAsia="新宋体" w:hAnsi="新宋体"/>
          <w:szCs w:val="21"/>
        </w:rPr>
        <w:t>19号1号楼37-40层</w:t>
      </w:r>
    </w:p>
    <w:p w14:paraId="5FB2EF6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4000879666</w:t>
      </w:r>
    </w:p>
    <w:p w14:paraId="6E96293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2.名称：青岛银行股份有限公司</w:t>
      </w:r>
    </w:p>
    <w:p w14:paraId="11B7052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住所：青岛市崂山区秦岭路</w:t>
      </w:r>
      <w:r>
        <w:rPr>
          <w:rFonts w:ascii="新宋体" w:eastAsia="新宋体" w:hAnsi="新宋体"/>
          <w:szCs w:val="21"/>
        </w:rPr>
        <w:t>6号青岛银行大厦</w:t>
      </w:r>
    </w:p>
    <w:p w14:paraId="354EA18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400-66-96588</w:t>
      </w:r>
    </w:p>
    <w:p w14:paraId="2497C6D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3.名称：中国银行股份有限公司</w:t>
      </w:r>
    </w:p>
    <w:p w14:paraId="6DB4A15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住所：北京市西城区复兴门内大街</w:t>
      </w:r>
      <w:r>
        <w:rPr>
          <w:rFonts w:ascii="新宋体" w:eastAsia="新宋体" w:hAnsi="新宋体"/>
          <w:szCs w:val="21"/>
        </w:rPr>
        <w:t>1号</w:t>
      </w:r>
    </w:p>
    <w:p w14:paraId="459E620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95566</w:t>
      </w:r>
    </w:p>
    <w:p w14:paraId="6823245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4.名称：兴业银行股份有限公司</w:t>
      </w:r>
    </w:p>
    <w:p w14:paraId="2737201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住所：福建省福州市台江区江滨中大道</w:t>
      </w:r>
      <w:r>
        <w:rPr>
          <w:rFonts w:ascii="新宋体" w:eastAsia="新宋体" w:hAnsi="新宋体"/>
          <w:szCs w:val="21"/>
        </w:rPr>
        <w:t>398号兴业银行大厦</w:t>
      </w:r>
    </w:p>
    <w:p w14:paraId="08D6C21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95561</w:t>
      </w:r>
    </w:p>
    <w:p w14:paraId="31E0948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5.名称：平安银行股份有限公司</w:t>
      </w:r>
    </w:p>
    <w:p w14:paraId="0FAE739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住所：深圳市福田区益田路</w:t>
      </w:r>
      <w:r>
        <w:rPr>
          <w:rFonts w:ascii="新宋体" w:eastAsia="新宋体" w:hAnsi="新宋体"/>
          <w:szCs w:val="21"/>
        </w:rPr>
        <w:t>5023号平安金融中心B座</w:t>
      </w:r>
    </w:p>
    <w:p w14:paraId="3294D6A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95511</w:t>
      </w:r>
    </w:p>
    <w:p w14:paraId="12FA742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6.名称：深圳前海微众银行股份有限公司</w:t>
      </w:r>
    </w:p>
    <w:p w14:paraId="2D4675E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住所：广东省深圳市南山区金港街</w:t>
      </w:r>
      <w:r>
        <w:rPr>
          <w:rFonts w:ascii="新宋体" w:eastAsia="新宋体" w:hAnsi="新宋体"/>
          <w:szCs w:val="21"/>
        </w:rPr>
        <w:t>88号微众银行大厦</w:t>
      </w:r>
    </w:p>
    <w:p w14:paraId="0324E25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95384</w:t>
      </w:r>
    </w:p>
    <w:p w14:paraId="390B5CB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7.名称：盛京银行股份有限公司</w:t>
      </w:r>
    </w:p>
    <w:p w14:paraId="03F1057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lastRenderedPageBreak/>
        <w:t>住所：沈阳市沈河区北站路</w:t>
      </w:r>
      <w:r>
        <w:rPr>
          <w:rFonts w:ascii="新宋体" w:eastAsia="新宋体" w:hAnsi="新宋体"/>
          <w:szCs w:val="21"/>
        </w:rPr>
        <w:t>109号</w:t>
      </w:r>
    </w:p>
    <w:p w14:paraId="506C8CE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95337</w:t>
      </w:r>
    </w:p>
    <w:p w14:paraId="6F66B43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8.名称：中山农村商业银行股份有限公司</w:t>
      </w:r>
    </w:p>
    <w:p w14:paraId="521B84B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住所：中山市东区中山三路</w:t>
      </w:r>
      <w:r>
        <w:rPr>
          <w:rFonts w:ascii="新宋体" w:eastAsia="新宋体" w:hAnsi="新宋体"/>
          <w:szCs w:val="21"/>
        </w:rPr>
        <w:t>26号之一</w:t>
      </w:r>
    </w:p>
    <w:p w14:paraId="04BEE38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020-96138</w:t>
      </w:r>
    </w:p>
    <w:p w14:paraId="2A2C833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9.名称：哈尔滨银行股份有限公司</w:t>
      </w:r>
    </w:p>
    <w:p w14:paraId="08B2E3D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住所：哈尔滨市道里区上江街</w:t>
      </w:r>
      <w:r>
        <w:rPr>
          <w:rFonts w:ascii="新宋体" w:eastAsia="新宋体" w:hAnsi="新宋体"/>
          <w:szCs w:val="21"/>
        </w:rPr>
        <w:t>888号</w:t>
      </w:r>
    </w:p>
    <w:p w14:paraId="51DCA46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95537</w:t>
      </w:r>
    </w:p>
    <w:p w14:paraId="189BB45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10.名称：珠海农村商业银行股份有限公司</w:t>
      </w:r>
    </w:p>
    <w:p w14:paraId="2862854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住所：珠海市香洲兴业路</w:t>
      </w:r>
      <w:r>
        <w:rPr>
          <w:rFonts w:ascii="新宋体" w:eastAsia="新宋体" w:hAnsi="新宋体"/>
          <w:szCs w:val="21"/>
        </w:rPr>
        <w:t>223号农信金融大厦</w:t>
      </w:r>
    </w:p>
    <w:p w14:paraId="669F276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96138</w:t>
      </w:r>
    </w:p>
    <w:p w14:paraId="02B70F2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11.名称：乌鲁木齐银行股份有限公司</w:t>
      </w:r>
    </w:p>
    <w:p w14:paraId="43CE281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住所：新疆乌鲁木齐市水磨沟区会展大道</w:t>
      </w:r>
      <w:r>
        <w:rPr>
          <w:rFonts w:ascii="新宋体" w:eastAsia="新宋体" w:hAnsi="新宋体"/>
          <w:szCs w:val="21"/>
        </w:rPr>
        <w:t>599号新疆财富中心A座4层至31层</w:t>
      </w:r>
    </w:p>
    <w:p w14:paraId="56E5903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0991-96518</w:t>
      </w:r>
    </w:p>
    <w:p w14:paraId="3FD9865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12.名称：中信百信银行股份有限公司</w:t>
      </w:r>
    </w:p>
    <w:p w14:paraId="17045A1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住所：北京市朝阳区安定路</w:t>
      </w:r>
      <w:r>
        <w:rPr>
          <w:rFonts w:ascii="新宋体" w:eastAsia="新宋体" w:hAnsi="新宋体"/>
          <w:szCs w:val="21"/>
        </w:rPr>
        <w:t>5号院3号楼8层</w:t>
      </w:r>
    </w:p>
    <w:p w14:paraId="1D0179C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956186</w:t>
      </w:r>
    </w:p>
    <w:p w14:paraId="5CA8A09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13.名称：北京中关村银行股份有限公司</w:t>
      </w:r>
    </w:p>
    <w:p w14:paraId="4C2521D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住所：北京市海淀区丰豪东路</w:t>
      </w:r>
      <w:r>
        <w:rPr>
          <w:rFonts w:ascii="新宋体" w:eastAsia="新宋体" w:hAnsi="新宋体"/>
          <w:szCs w:val="21"/>
        </w:rPr>
        <w:t>9号院2号楼3层2单元301至306,4层至10层2单元</w:t>
      </w:r>
    </w:p>
    <w:p w14:paraId="478FE0F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010-956195</w:t>
      </w:r>
    </w:p>
    <w:p w14:paraId="75B53AF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14.名称：广东华兴银行股份有限公司</w:t>
      </w:r>
    </w:p>
    <w:p w14:paraId="44A4FA0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住所：汕头市龙湖区黄山路</w:t>
      </w:r>
      <w:r>
        <w:rPr>
          <w:rFonts w:ascii="新宋体" w:eastAsia="新宋体" w:hAnsi="新宋体"/>
          <w:szCs w:val="21"/>
        </w:rPr>
        <w:t>28号四层</w:t>
      </w:r>
    </w:p>
    <w:p w14:paraId="081839E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95091</w:t>
      </w:r>
    </w:p>
    <w:p w14:paraId="2472339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15.名称：东莞农村商业银行股份有限公司</w:t>
      </w:r>
    </w:p>
    <w:p w14:paraId="4C31746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住所：广东省东莞市东城街道鸿福东路</w:t>
      </w:r>
      <w:r>
        <w:rPr>
          <w:rFonts w:ascii="新宋体" w:eastAsia="新宋体" w:hAnsi="新宋体"/>
          <w:szCs w:val="21"/>
        </w:rPr>
        <w:t>2号</w:t>
      </w:r>
    </w:p>
    <w:p w14:paraId="204A8F3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0769-961122</w:t>
      </w:r>
    </w:p>
    <w:p w14:paraId="67662DD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16.名称：广州银行股份有限公司</w:t>
      </w:r>
    </w:p>
    <w:p w14:paraId="55F975A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住所：广东省广州市天河区珠江东路</w:t>
      </w:r>
      <w:r>
        <w:rPr>
          <w:rFonts w:ascii="新宋体" w:eastAsia="新宋体" w:hAnsi="新宋体"/>
          <w:szCs w:val="21"/>
        </w:rPr>
        <w:t>30号</w:t>
      </w:r>
    </w:p>
    <w:p w14:paraId="5E23A51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020-96699</w:t>
      </w:r>
    </w:p>
    <w:p w14:paraId="1881554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17.名称：南洋商业银行（中国）有限公司</w:t>
      </w:r>
    </w:p>
    <w:p w14:paraId="34B02F5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住所：上海市浦东新区浦明路</w:t>
      </w:r>
      <w:r>
        <w:rPr>
          <w:rFonts w:ascii="新宋体" w:eastAsia="新宋体" w:hAnsi="新宋体"/>
          <w:szCs w:val="21"/>
        </w:rPr>
        <w:t>898号南商大厦13层至20层</w:t>
      </w:r>
    </w:p>
    <w:p w14:paraId="66144A0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95327</w:t>
      </w:r>
    </w:p>
    <w:p w14:paraId="33690EA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18.名称：富滇银行股份有限公司</w:t>
      </w:r>
    </w:p>
    <w:p w14:paraId="60646FF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住所：云南省昆明市西山区西园路</w:t>
      </w:r>
      <w:r>
        <w:rPr>
          <w:rFonts w:ascii="新宋体" w:eastAsia="新宋体" w:hAnsi="新宋体"/>
          <w:szCs w:val="21"/>
        </w:rPr>
        <w:t>1912号</w:t>
      </w:r>
    </w:p>
    <w:p w14:paraId="0828394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400-889-6533</w:t>
      </w:r>
    </w:p>
    <w:p w14:paraId="0A2993B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19.名称：山西银行股份有限公司</w:t>
      </w:r>
    </w:p>
    <w:p w14:paraId="781474D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住所：山西转型综合改革示范区学府产业园区高新街</w:t>
      </w:r>
      <w:r>
        <w:rPr>
          <w:rFonts w:ascii="新宋体" w:eastAsia="新宋体" w:hAnsi="新宋体"/>
          <w:szCs w:val="21"/>
        </w:rPr>
        <w:t>15号</w:t>
      </w:r>
    </w:p>
    <w:p w14:paraId="43D295F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0351-96588</w:t>
      </w:r>
    </w:p>
    <w:p w14:paraId="00D04AB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20.名称：北京农村商业银行股份有限公司</w:t>
      </w:r>
    </w:p>
    <w:p w14:paraId="51CE755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住所：北京市西城区月坛南街</w:t>
      </w:r>
      <w:r>
        <w:rPr>
          <w:rFonts w:ascii="新宋体" w:eastAsia="新宋体" w:hAnsi="新宋体"/>
          <w:szCs w:val="21"/>
        </w:rPr>
        <w:t>1号院2号楼</w:t>
      </w:r>
    </w:p>
    <w:p w14:paraId="7877786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010-96198</w:t>
      </w:r>
    </w:p>
    <w:p w14:paraId="1A539DE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21.名称：吉林银行股份有限公司</w:t>
      </w:r>
    </w:p>
    <w:p w14:paraId="14DE6D1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住所：吉林省长春市南关区人民大街</w:t>
      </w:r>
      <w:r>
        <w:rPr>
          <w:rFonts w:ascii="新宋体" w:eastAsia="新宋体" w:hAnsi="新宋体"/>
          <w:szCs w:val="21"/>
        </w:rPr>
        <w:t>10666号</w:t>
      </w:r>
    </w:p>
    <w:p w14:paraId="340B8C4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400-88-96666</w:t>
      </w:r>
    </w:p>
    <w:p w14:paraId="3A107A5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lastRenderedPageBreak/>
        <w:t>22.名称：贵阳银行股份有限公司</w:t>
      </w:r>
    </w:p>
    <w:p w14:paraId="25326EE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住所：贵州省贵阳市观山湖区长岭北路中天会展城</w:t>
      </w:r>
      <w:r>
        <w:rPr>
          <w:rFonts w:ascii="新宋体" w:eastAsia="新宋体" w:hAnsi="新宋体"/>
          <w:szCs w:val="21"/>
        </w:rPr>
        <w:t>B区金融商务区东区1-6栋</w:t>
      </w:r>
    </w:p>
    <w:p w14:paraId="1AD5E4E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0851-96033</w:t>
      </w:r>
    </w:p>
    <w:p w14:paraId="1ABAEF8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23.名称：河北银行股份有限公司</w:t>
      </w:r>
    </w:p>
    <w:p w14:paraId="1083A25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住所：石家庄市平安北大街</w:t>
      </w:r>
      <w:r>
        <w:rPr>
          <w:rFonts w:ascii="新宋体" w:eastAsia="新宋体" w:hAnsi="新宋体"/>
          <w:szCs w:val="21"/>
        </w:rPr>
        <w:t>28号</w:t>
      </w:r>
    </w:p>
    <w:p w14:paraId="24F812C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400-612-9999</w:t>
      </w:r>
    </w:p>
    <w:p w14:paraId="5BF59CC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24.名称：杭州银行股份有限公司</w:t>
      </w:r>
    </w:p>
    <w:p w14:paraId="788C96D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住所：杭州市解放东路</w:t>
      </w:r>
      <w:r>
        <w:rPr>
          <w:rFonts w:ascii="新宋体" w:eastAsia="新宋体" w:hAnsi="新宋体"/>
          <w:szCs w:val="21"/>
        </w:rPr>
        <w:t>168号杭银大厦</w:t>
      </w:r>
    </w:p>
    <w:p w14:paraId="4483D5C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95398</w:t>
      </w:r>
    </w:p>
    <w:p w14:paraId="10AD102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25.名称：桂林银行股份有限公司</w:t>
      </w:r>
    </w:p>
    <w:p w14:paraId="5A509DD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住所：桂林市临桂区公园北路</w:t>
      </w:r>
      <w:r>
        <w:rPr>
          <w:rFonts w:ascii="新宋体" w:eastAsia="新宋体" w:hAnsi="新宋体"/>
          <w:szCs w:val="21"/>
        </w:rPr>
        <w:t>8号</w:t>
      </w:r>
    </w:p>
    <w:p w14:paraId="61C4823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400-86-96299</w:t>
      </w:r>
    </w:p>
    <w:p w14:paraId="4AC3956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26.名称：浙江网商银行股份有限公司</w:t>
      </w:r>
    </w:p>
    <w:p w14:paraId="4C465C3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住所：浙江省杭州市西湖区翠苑街道学院路</w:t>
      </w:r>
      <w:r>
        <w:rPr>
          <w:rFonts w:ascii="新宋体" w:eastAsia="新宋体" w:hAnsi="新宋体"/>
          <w:szCs w:val="21"/>
        </w:rPr>
        <w:t>77号黄龙国际中心8号楼14-20层</w:t>
      </w:r>
    </w:p>
    <w:p w14:paraId="424C89B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95188</w:t>
      </w:r>
    </w:p>
    <w:p w14:paraId="0D4CF6B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27.名称：中国邮政储蓄银行股份有限公司</w:t>
      </w:r>
    </w:p>
    <w:p w14:paraId="5CA2C41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住所：北京市西城区金融大街</w:t>
      </w:r>
      <w:r>
        <w:rPr>
          <w:rFonts w:ascii="新宋体" w:eastAsia="新宋体" w:hAnsi="新宋体"/>
          <w:szCs w:val="21"/>
        </w:rPr>
        <w:t>3号</w:t>
      </w:r>
    </w:p>
    <w:p w14:paraId="6B4A9EB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95580</w:t>
      </w:r>
    </w:p>
    <w:p w14:paraId="28B7E14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28.名称：临商银行股份有限公司</w:t>
      </w:r>
    </w:p>
    <w:p w14:paraId="314ADC2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住所：山东省临沂市兰山区北京路</w:t>
      </w:r>
      <w:r>
        <w:rPr>
          <w:rFonts w:ascii="新宋体" w:eastAsia="新宋体" w:hAnsi="新宋体"/>
          <w:szCs w:val="21"/>
        </w:rPr>
        <w:t>37号</w:t>
      </w:r>
    </w:p>
    <w:p w14:paraId="1FED93B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400-69-96588</w:t>
      </w:r>
    </w:p>
    <w:p w14:paraId="7847FC56"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29.名称：浙江临海农村商业银行股份有限公司</w:t>
      </w:r>
    </w:p>
    <w:p w14:paraId="7CA865E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住所：浙江省临海市河阳路</w:t>
      </w:r>
      <w:r>
        <w:rPr>
          <w:rFonts w:ascii="新宋体" w:eastAsia="新宋体" w:hAnsi="新宋体"/>
          <w:szCs w:val="21"/>
        </w:rPr>
        <w:t>299号</w:t>
      </w:r>
    </w:p>
    <w:p w14:paraId="635B2A8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4008896596</w:t>
      </w:r>
    </w:p>
    <w:p w14:paraId="3B7AAF5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30.名称：浙江丽水莲都农村商业银行股份有限公司</w:t>
      </w:r>
    </w:p>
    <w:p w14:paraId="6CA58EF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住所：浙江省丽水市莲都区解放街</w:t>
      </w:r>
      <w:r>
        <w:rPr>
          <w:rFonts w:ascii="新宋体" w:eastAsia="新宋体" w:hAnsi="新宋体"/>
          <w:szCs w:val="21"/>
        </w:rPr>
        <w:t>438号</w:t>
      </w:r>
    </w:p>
    <w:p w14:paraId="2669BAC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0578-2396596</w:t>
      </w:r>
    </w:p>
    <w:p w14:paraId="412FF8B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31.名称:浙江萧山农村商业银行股份有限公司</w:t>
      </w:r>
    </w:p>
    <w:p w14:paraId="6864EE0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:浙江省杭州市萧山区盈丰街道鸿宁路2288号</w:t>
      </w:r>
    </w:p>
    <w:p w14:paraId="030B635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400-889-6596</w:t>
      </w:r>
    </w:p>
    <w:p w14:paraId="66EE1B2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32.名称:浙江玉环农村商业银行股份有限公司</w:t>
      </w:r>
    </w:p>
    <w:p w14:paraId="57948342"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:浙江省玉环市玉城街道珠港大道26号</w:t>
      </w:r>
    </w:p>
    <w:p w14:paraId="777C4E8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0576-87222297</w:t>
      </w:r>
    </w:p>
    <w:p w14:paraId="76DD327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33.名称：浙江桐乡农村商业银行股份有限公司</w:t>
      </w:r>
    </w:p>
    <w:p w14:paraId="1EE5B34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浙江省桐乡市梧桐街道校场东路59号</w:t>
      </w:r>
    </w:p>
    <w:p w14:paraId="6D1C9A7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 96596</w:t>
      </w:r>
    </w:p>
    <w:p w14:paraId="7D5EACF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34.名称：浙江金华成泰农村商业银行股份有限公司</w:t>
      </w:r>
    </w:p>
    <w:p w14:paraId="341F0CC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浙江省金华市八一南街123号</w:t>
      </w:r>
    </w:p>
    <w:p w14:paraId="263AD27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 96596</w:t>
      </w:r>
    </w:p>
    <w:p w14:paraId="39A7F4D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35.名称：浙江平湖农村商业银行股份有限公司</w:t>
      </w:r>
    </w:p>
    <w:p w14:paraId="7B68DA5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浙江省平湖市当湖街道胜利路518号</w:t>
      </w:r>
    </w:p>
    <w:p w14:paraId="008DD7B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 96596</w:t>
      </w:r>
    </w:p>
    <w:p w14:paraId="5C9A18B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36.名称：浙江德清农村商业银行股份有限公司</w:t>
      </w:r>
    </w:p>
    <w:p w14:paraId="1EB41BE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浙江省德清县武康街道沈长圩街50号</w:t>
      </w:r>
    </w:p>
    <w:p w14:paraId="7E9E2010"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lastRenderedPageBreak/>
        <w:t>联系方式</w:t>
      </w:r>
      <w:r>
        <w:rPr>
          <w:rFonts w:ascii="新宋体" w:eastAsia="新宋体" w:hAnsi="新宋体"/>
          <w:szCs w:val="21"/>
        </w:rPr>
        <w:t>: 96596</w:t>
      </w:r>
    </w:p>
    <w:p w14:paraId="1340EEC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37.名称：浙江兰溪农村商业银行股份有限公司</w:t>
      </w:r>
    </w:p>
    <w:p w14:paraId="3D15814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浙江省兰溪市丹溪大道18号</w:t>
      </w:r>
    </w:p>
    <w:p w14:paraId="7D0DDFC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 96596</w:t>
      </w:r>
    </w:p>
    <w:p w14:paraId="184EC4B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38.名称：浙江东阳农村商业银行股份有限公司</w:t>
      </w:r>
    </w:p>
    <w:p w14:paraId="20DD57D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浙江省东阳市双岘路18号</w:t>
      </w:r>
    </w:p>
    <w:p w14:paraId="668028F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5DAFDB8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39.名称：浙江海宁农村商业银行股份有限公司</w:t>
      </w:r>
    </w:p>
    <w:p w14:paraId="3E8691E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浙江省海宁市钱江西路278号</w:t>
      </w:r>
    </w:p>
    <w:p w14:paraId="4B992BE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4E3631F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40.名称：台州银行股份有限公司</w:t>
      </w:r>
    </w:p>
    <w:p w14:paraId="1027533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浙江省台州市椒江区市府大道699号</w:t>
      </w:r>
    </w:p>
    <w:p w14:paraId="4FAFCB8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95371</w:t>
      </w:r>
    </w:p>
    <w:p w14:paraId="261EF6F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41.名称：杭州联合农村商业银行股份有限公司</w:t>
      </w:r>
    </w:p>
    <w:p w14:paraId="0CF6540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浙江省杭州市建国中路99号</w:t>
      </w:r>
    </w:p>
    <w:p w14:paraId="61025DA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32CF5943"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42.名称：浙江富阳农村商业银行股份有限公司</w:t>
      </w:r>
    </w:p>
    <w:p w14:paraId="57A01C6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浙江省杭州市富阳区鹿山街道依江路501号</w:t>
      </w:r>
    </w:p>
    <w:p w14:paraId="346E9D0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128B91F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43.名称：湖州吴兴农村商业银行股份有限公司</w:t>
      </w:r>
    </w:p>
    <w:p w14:paraId="0F6BFBA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浙江省湖州市东街55号</w:t>
      </w:r>
    </w:p>
    <w:p w14:paraId="3CA1718F"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188E508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44.名称：浙江长兴农村商业银行股份有限公司</w:t>
      </w:r>
    </w:p>
    <w:p w14:paraId="26B3C26E"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浙江省湖州市长兴县太湖街道明珠路 1298 号</w:t>
      </w:r>
    </w:p>
    <w:p w14:paraId="5936ADB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96596</w:t>
      </w:r>
    </w:p>
    <w:p w14:paraId="21B2D7FD"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45.名称：湖南银行股份有限公司</w:t>
      </w:r>
    </w:p>
    <w:p w14:paraId="6514D99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w:t>
      </w:r>
      <w:r>
        <w:rPr>
          <w:rFonts w:ascii="新宋体" w:eastAsia="新宋体" w:hAnsi="新宋体"/>
          <w:szCs w:val="21"/>
        </w:rPr>
        <w:t>: 湖南省长沙市天心区湘江中路二段210号</w:t>
      </w:r>
    </w:p>
    <w:p w14:paraId="6BEBE65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 0731-96599</w:t>
      </w:r>
    </w:p>
    <w:p w14:paraId="53F0A72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46.名称：大连银行股份有限公司 </w:t>
      </w:r>
    </w:p>
    <w:p w14:paraId="5249F75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住所：辽宁省大连市中山区中山路</w:t>
      </w:r>
      <w:r>
        <w:rPr>
          <w:rFonts w:ascii="新宋体" w:eastAsia="新宋体" w:hAnsi="新宋体"/>
          <w:szCs w:val="21"/>
        </w:rPr>
        <w:t xml:space="preserve">88号 </w:t>
      </w:r>
    </w:p>
    <w:p w14:paraId="7AA35CF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956169</w:t>
      </w:r>
    </w:p>
    <w:p w14:paraId="6833243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47.名称：甘肃银行股份有限公司 </w:t>
      </w:r>
    </w:p>
    <w:p w14:paraId="0D00FE6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住所：甘肃省兰州市东岗西路</w:t>
      </w:r>
      <w:r>
        <w:rPr>
          <w:rFonts w:ascii="新宋体" w:eastAsia="新宋体" w:hAnsi="新宋体"/>
          <w:szCs w:val="21"/>
        </w:rPr>
        <w:t xml:space="preserve">525-1号甘肃银行大厦 </w:t>
      </w:r>
    </w:p>
    <w:p w14:paraId="7A2CF75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0931-96666</w:t>
      </w:r>
    </w:p>
    <w:p w14:paraId="2A195504"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48.名称：蒙商银行股份有限公司 </w:t>
      </w:r>
    </w:p>
    <w:p w14:paraId="28DF4BE7"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住所：内蒙古自治区包头市九原区赛罕街道办事处建华南路</w:t>
      </w:r>
      <w:r>
        <w:rPr>
          <w:rFonts w:ascii="新宋体" w:eastAsia="新宋体" w:hAnsi="新宋体"/>
          <w:szCs w:val="21"/>
        </w:rPr>
        <w:t xml:space="preserve">2号A座 </w:t>
      </w:r>
    </w:p>
    <w:p w14:paraId="196FA168"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95352</w:t>
      </w:r>
    </w:p>
    <w:p w14:paraId="6A8FC70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49.名称：厦门银行股份有限公司 </w:t>
      </w:r>
    </w:p>
    <w:p w14:paraId="28D2625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住所：厦门市思明区湖滨北路</w:t>
      </w:r>
      <w:r>
        <w:rPr>
          <w:rFonts w:ascii="新宋体" w:eastAsia="新宋体" w:hAnsi="新宋体"/>
          <w:szCs w:val="21"/>
        </w:rPr>
        <w:t xml:space="preserve">101号商业银行大厦 </w:t>
      </w:r>
    </w:p>
    <w:p w14:paraId="2A14139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400-858-8888</w:t>
      </w:r>
    </w:p>
    <w:p w14:paraId="5F40CCEA"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50.名称：九江银行股份有限公司 </w:t>
      </w:r>
    </w:p>
    <w:p w14:paraId="54022245"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住所：江西省九江市濂溪区长虹大道</w:t>
      </w:r>
      <w:r>
        <w:rPr>
          <w:rFonts w:ascii="新宋体" w:eastAsia="新宋体" w:hAnsi="新宋体"/>
          <w:szCs w:val="21"/>
        </w:rPr>
        <w:t xml:space="preserve">619号 </w:t>
      </w:r>
    </w:p>
    <w:p w14:paraId="70E9952B"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95316</w:t>
      </w:r>
    </w:p>
    <w:p w14:paraId="4C0C863C"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szCs w:val="21"/>
        </w:rPr>
        <w:t xml:space="preserve">51.名称：北京银行股份有限公司 </w:t>
      </w:r>
    </w:p>
    <w:p w14:paraId="17869021"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lastRenderedPageBreak/>
        <w:t>住所：北京市西城区金融大街丙</w:t>
      </w:r>
      <w:r>
        <w:rPr>
          <w:rFonts w:ascii="新宋体" w:eastAsia="新宋体" w:hAnsi="新宋体"/>
          <w:szCs w:val="21"/>
        </w:rPr>
        <w:t xml:space="preserve">17号 </w:t>
      </w:r>
    </w:p>
    <w:p w14:paraId="2053FDC9" w14:textId="77777777" w:rsidR="00E14B1C" w:rsidRDefault="003F19C6">
      <w:pPr>
        <w:snapToGrid w:val="0"/>
        <w:spacing w:line="276" w:lineRule="auto"/>
        <w:ind w:firstLineChars="196" w:firstLine="412"/>
        <w:jc w:val="left"/>
        <w:rPr>
          <w:rFonts w:ascii="新宋体" w:eastAsia="新宋体" w:hAnsi="新宋体" w:hint="eastAsia"/>
          <w:szCs w:val="21"/>
        </w:rPr>
      </w:pPr>
      <w:r>
        <w:rPr>
          <w:rFonts w:ascii="新宋体" w:eastAsia="新宋体" w:hAnsi="新宋体" w:hint="eastAsia"/>
          <w:szCs w:val="21"/>
        </w:rPr>
        <w:t>联系方式：</w:t>
      </w:r>
      <w:r>
        <w:rPr>
          <w:rFonts w:ascii="新宋体" w:eastAsia="新宋体" w:hAnsi="新宋体"/>
          <w:szCs w:val="21"/>
        </w:rPr>
        <w:t>95526</w:t>
      </w:r>
    </w:p>
    <w:p w14:paraId="7B4A0C2B" w14:textId="1EAD252A" w:rsidR="00E14B1C" w:rsidRDefault="003F19C6" w:rsidP="0004251E">
      <w:pPr>
        <w:snapToGrid w:val="0"/>
        <w:spacing w:line="276" w:lineRule="auto"/>
        <w:ind w:firstLineChars="196" w:firstLine="412"/>
        <w:jc w:val="left"/>
        <w:rPr>
          <w:rFonts w:ascii="新宋体" w:eastAsia="新宋体" w:hAnsi="新宋体" w:hint="eastAsia"/>
          <w:b/>
          <w:szCs w:val="21"/>
        </w:rPr>
      </w:pPr>
      <w:r>
        <w:rPr>
          <w:rFonts w:ascii="新宋体" w:eastAsia="新宋体" w:hAnsi="新宋体" w:hint="eastAsia"/>
          <w:szCs w:val="21"/>
        </w:rPr>
        <w:t>八</w:t>
      </w:r>
      <w:r>
        <w:rPr>
          <w:rFonts w:ascii="新宋体" w:eastAsia="新宋体" w:hAnsi="新宋体" w:hint="eastAsia"/>
          <w:b/>
          <w:szCs w:val="21"/>
        </w:rPr>
        <w:t>、风控措施</w:t>
      </w:r>
    </w:p>
    <w:p w14:paraId="62C1C56E"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kern w:val="2"/>
          <w:sz w:val="21"/>
          <w:szCs w:val="21"/>
        </w:rPr>
        <w:t>1</w:t>
      </w:r>
      <w:r>
        <w:rPr>
          <w:rFonts w:ascii="新宋体" w:eastAsia="新宋体" w:hAnsi="新宋体" w:cs="Times New Roman" w:hint="eastAsia"/>
          <w:kern w:val="2"/>
          <w:sz w:val="21"/>
          <w:szCs w:val="21"/>
        </w:rPr>
        <w:t>.风险管理组织架构</w:t>
      </w:r>
    </w:p>
    <w:p w14:paraId="3EBFF7E2"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管理人制定了一系列严密有效的风险控制制度，建立和完善对风险的事前防范、事中控制、事后稽查和监察的管理机制。</w:t>
      </w:r>
    </w:p>
    <w:p w14:paraId="65957AA8"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kern w:val="2"/>
          <w:sz w:val="21"/>
          <w:szCs w:val="21"/>
        </w:rPr>
        <w:t>2</w:t>
      </w:r>
      <w:r>
        <w:rPr>
          <w:rFonts w:ascii="新宋体" w:eastAsia="新宋体" w:hAnsi="新宋体" w:cs="Times New Roman" w:hint="eastAsia"/>
          <w:kern w:val="2"/>
          <w:sz w:val="21"/>
          <w:szCs w:val="21"/>
        </w:rPr>
        <w:t>.市场风险管理</w:t>
      </w:r>
    </w:p>
    <w:p w14:paraId="328F6BE7"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管理人主要通过对国内外宏观经济走势及各项宏观经济政策等要素的分析来把握市场走势和选取投资品种，注重研究的运用，注重风险控制，采取有效措施防范和控制风险。</w:t>
      </w:r>
    </w:p>
    <w:p w14:paraId="432B53D6"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color w:val="auto"/>
          <w:kern w:val="2"/>
          <w:sz w:val="21"/>
          <w:szCs w:val="21"/>
        </w:rPr>
        <w:t>3</w:t>
      </w:r>
      <w:r>
        <w:rPr>
          <w:rFonts w:ascii="新宋体" w:eastAsia="新宋体" w:hAnsi="新宋体" w:cs="Times New Roman" w:hint="eastAsia"/>
          <w:color w:val="auto"/>
          <w:kern w:val="2"/>
          <w:sz w:val="21"/>
          <w:szCs w:val="21"/>
        </w:rPr>
        <w:t>.流动性风险管理</w:t>
      </w:r>
    </w:p>
    <w:p w14:paraId="703C0731"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（1）流动性风险评估</w:t>
      </w:r>
    </w:p>
    <w:p w14:paraId="49ECC375"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1）主要拟投资市场、资产的流动性风险：根据本理财产品的投资范围，本理财产品存在以下流动性风险：一是对于流动性好的标的资产，可能在某些时段受市场行情、投资群体等诸多因素影响，出现成交少、流动性较差的情况，在市场流动性相对不足时，可能增加变现成本或出现变现困难，对投资造成不利影响；二是本产品投资标的资产成交少，流动性低，即使在市场流动性较好情况下，因个别资产的流动性可能较差，可能造成无法以合理价格买入或卖出的情形，并因此影响投资者收益，甚至使本理财产品遭受损失；三是为应对投资者的赎回或履行其他支付义务，管理人被迫以不适当价格卖出债券或其他资产；四是本理财产品计划投资不存在活跃交易市场并且需要采取估值技术确定公允价值的资产的比例较高，存在产品可变现资产变现后不能满足投资者的赎回或履行其他支付义务情况，或者低流动资产无法变现或处置，或以不适当的价格处置的情况。以上均可能影响本产品投资收益、影响投资者赎回安排，甚至使得本产品遭受损失。</w:t>
      </w:r>
    </w:p>
    <w:p w14:paraId="1B1345A2"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2）投资者资金流动性风险：本产品计划存续10年，每一周为一个投资周期，在本产品存续期内，投资者只能在本产品说明书规定的申购、赎回期限内办理申购、赎回业务，并在产品说明书描述的规则下确认扣款、资金到账。</w:t>
      </w:r>
    </w:p>
    <w:p w14:paraId="4D63216E"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3）巨额赎回情况下的流动性风险：在本理财计划存续期内，若单个开放日净赎回申请份额超过本产品计划上一开放日日终份额的10%时，即为发生巨额赎回。当理财产品发生巨额赎回时，管理人有权依照产品当时的资产组合状况选择全额赎回或部分赎回；如出现连续2个赎回确认日以上（含）发生巨额赎回，除有权选择全额赎回或部分赎回等措施外，对于已经接受的赎回申请，管理人还可延缓支付赎回款项。发生上述情形时，投资者将面临无法全部赎回或无法及时获得赎回资金的风险，由此可能影响投资者的资金安排，带来流动性风险。在本产品暂停接受或延期办理投资者赎回申请的情况下，投资者未能赎回的产品份额还将面临净值波动的风险。若出现巨额赎回或连续巨额赎回，管理人选择运用暂停接受投资者的赎回申请、延期办理巨额赎回申请、延缓支付赎回款项等措施后，在运用相关措施后的3个工作日内按《产品说明书》信息披露相关约定进行信息披露。摆动定价机制是指产品遭遇大额认购或赎回时，通过调整理财产品份额净值的方式，将理财产品调整投资组合的市场冲击成本分配给实际认购、赎回的投资者，从而减少对存量理财产品份额持有人利益的不利影响。</w:t>
      </w:r>
    </w:p>
    <w:p w14:paraId="6F066109"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4）运用流动性风险应对措施下的潜在影响：除巨额赎回情况外，根据国家相关法律法规及《产品说明书》约定，在确保投资者得到公平对待的前提下，产品还可以运用相关流动性风险应对措施应对除巨额赎回情况外的其他流动性风险，包括但不限于暂停接受赎回申请、延缓支付赎回款项、暂停理财产品估值、摆动定价以及国家金融监督管理总局规定的其他措施。</w:t>
      </w:r>
    </w:p>
    <w:p w14:paraId="62C57B92"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lastRenderedPageBreak/>
        <w:t>（2）应对措施</w:t>
      </w:r>
    </w:p>
    <w:p w14:paraId="4D22800E"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青银理财流动性风险管理遵循合规性、审慎性、前瞻性、全面性等原则，借鉴监管相关政策办法，使用优质流动性风险相关指标逻辑，通过资负久期管理、杠杆比例管理、流动性指标监测与流动性压力测试等措施，加强流动性管理。</w:t>
      </w:r>
    </w:p>
    <w:p w14:paraId="3F978821"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在该产品投资运作过程中，青银理财将严格控制流动性受限金融资产的配置比例，并对持仓债券组合的流动性进行监控，还将观察客户申购、赎回行为，对资产的流动性进行研究和监控，使未来现金流尽可能地均匀分布：</w:t>
      </w:r>
    </w:p>
    <w:p w14:paraId="334E3B2C"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1）合理安排投资结构，配置不同比例的货币工具、债券资产等，形成阶梯型期限结构的资产摆布，提高理财产品投资资产的整体流动性管理。</w:t>
      </w:r>
    </w:p>
    <w:p w14:paraId="5B40D103"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2）合理匡定理财资金净申购/赎回头寸，保持一定的类现金资产比例，满足短期的流动性需求。</w:t>
      </w:r>
    </w:p>
    <w:p w14:paraId="609F4B9C" w14:textId="77777777" w:rsidR="00E14B1C" w:rsidRDefault="003F19C6">
      <w:pPr>
        <w:pStyle w:val="Default"/>
        <w:spacing w:line="276" w:lineRule="auto"/>
        <w:ind w:firstLineChars="200" w:firstLine="420"/>
        <w:rPr>
          <w:rFonts w:ascii="新宋体" w:eastAsia="新宋体" w:hAnsi="新宋体" w:cs="Times New Roman" w:hint="eastAsia"/>
          <w:color w:val="auto"/>
          <w:kern w:val="2"/>
          <w:sz w:val="21"/>
          <w:szCs w:val="21"/>
        </w:rPr>
      </w:pPr>
      <w:r>
        <w:rPr>
          <w:rFonts w:ascii="新宋体" w:eastAsia="新宋体" w:hAnsi="新宋体" w:cs="Times New Roman" w:hint="eastAsia"/>
          <w:color w:val="auto"/>
          <w:kern w:val="2"/>
          <w:sz w:val="21"/>
          <w:szCs w:val="21"/>
        </w:rPr>
        <w:t>3）强化理财产品的市场融资功能，通过回购等工具，向产品提供临时性的流动性支持。</w:t>
      </w:r>
    </w:p>
    <w:p w14:paraId="5A24929C" w14:textId="77777777" w:rsidR="00E14B1C" w:rsidRDefault="003F19C6">
      <w:pPr>
        <w:autoSpaceDE w:val="0"/>
        <w:autoSpaceDN w:val="0"/>
        <w:adjustRightIn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4.操作风险管理</w:t>
      </w:r>
    </w:p>
    <w:p w14:paraId="48195CF0"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hint="eastAsia"/>
          <w:kern w:val="2"/>
          <w:sz w:val="21"/>
          <w:szCs w:val="21"/>
        </w:rPr>
        <w:t>在本理财计划的管理运作过程中，将通过严密的风险管理体系严格控制管理风险，最大可能地保护投资者利益。通过对资产管理投资业务实行分级授权管理，并明确授权人、被授权人及被授权人超越授权时的处理办法，防止出现因管理人对经济形势的判断有误、获取的信息不全等因素影响本理财计划的收益水平。管理人将加强内部控制，强化职业道德教育，严格执行交易流程，避免操作层面上出现风险。</w:t>
      </w:r>
    </w:p>
    <w:p w14:paraId="100F3D1B" w14:textId="73777F17" w:rsidR="00E14B1C" w:rsidRDefault="003F19C6">
      <w:pPr>
        <w:spacing w:line="276" w:lineRule="auto"/>
        <w:ind w:firstLineChars="200" w:firstLine="422"/>
        <w:jc w:val="left"/>
        <w:rPr>
          <w:rFonts w:ascii="新宋体" w:eastAsia="新宋体" w:hAnsi="新宋体" w:hint="eastAsia"/>
          <w:b/>
          <w:bCs/>
          <w:szCs w:val="21"/>
        </w:rPr>
      </w:pPr>
      <w:r>
        <w:rPr>
          <w:rFonts w:ascii="新宋体" w:eastAsia="新宋体" w:hAnsi="新宋体" w:hint="eastAsia"/>
          <w:b/>
          <w:bCs/>
          <w:szCs w:val="21"/>
        </w:rPr>
        <w:t>九、产品估值</w:t>
      </w:r>
    </w:p>
    <w:p w14:paraId="33A7E716"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1.估值目的及原则</w:t>
      </w:r>
    </w:p>
    <w:p w14:paraId="4B590C43"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本产品估值的目的是以客观性、准确性的原则反映理财资产价值，以及理财产品资产净值。</w:t>
      </w:r>
    </w:p>
    <w:p w14:paraId="3153C9C8"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2.估值日</w:t>
      </w:r>
    </w:p>
    <w:p w14:paraId="7670DB63" w14:textId="03BFDF26"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本产品工作日期间按周估值，管理人于估值日后两个工作日内进行披露。</w:t>
      </w:r>
    </w:p>
    <w:p w14:paraId="629D6E15"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3.估值对象</w:t>
      </w:r>
    </w:p>
    <w:p w14:paraId="4C95050D"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本产品持有的各类证券、银行存款、应收款项及其他投资等资产。</w:t>
      </w:r>
    </w:p>
    <w:p w14:paraId="0BEFB35F"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4.估值方法</w:t>
      </w:r>
    </w:p>
    <w:p w14:paraId="05C0E95B"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本产品以公允价值计量。在满足《企业会计准则》及其他适用的法律法规、监管规定的条件下，可以摊余成本进行计量。</w:t>
      </w:r>
    </w:p>
    <w:p w14:paraId="54C4F11E" w14:textId="77777777" w:rsidR="00E14B1C" w:rsidRDefault="003F19C6">
      <w:pPr>
        <w:widowControl/>
        <w:snapToGrid w:val="0"/>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5.</w:t>
      </w:r>
      <w:r>
        <w:rPr>
          <w:rFonts w:ascii="新宋体" w:eastAsia="新宋体" w:hAnsi="新宋体"/>
          <w:bCs/>
          <w:szCs w:val="21"/>
        </w:rPr>
        <w:t>估值错误的处理</w:t>
      </w:r>
    </w:p>
    <w:p w14:paraId="2262FA6B"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产品管理人和产品托管人将采取必要、适当合理的措施确保产品资产估值的准确性、及时性。当产品份额净值出现错误时，产品管理人经与产品托管人沟通一致，将采取合理措施保护投资者权益。由于本产品估值所用的价格来源中出现错误，或由于其它不可抗力原因，产品管理人和产品托管人虽然已经采取必要、适当、合理的措施进行检查，但是未能发现该错误的，由此造成的产品估值错误，产品管理人和产品托管人免除赔偿责任。产品管理人和产品托管人会积极采取必要的措施消除由此造成的影响。</w:t>
      </w:r>
    </w:p>
    <w:p w14:paraId="4A2DB1A3"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bCs/>
          <w:szCs w:val="21"/>
        </w:rPr>
        <w:t>6</w:t>
      </w:r>
      <w:r>
        <w:rPr>
          <w:rFonts w:ascii="新宋体" w:eastAsia="新宋体" w:hAnsi="新宋体" w:hint="eastAsia"/>
          <w:bCs/>
          <w:szCs w:val="21"/>
        </w:rPr>
        <w:t>.暂停估值</w:t>
      </w:r>
    </w:p>
    <w:p w14:paraId="5604A117" w14:textId="77777777" w:rsidR="00E14B1C" w:rsidRDefault="003F19C6">
      <w:pPr>
        <w:spacing w:line="276" w:lineRule="auto"/>
        <w:ind w:firstLineChars="200" w:firstLine="420"/>
        <w:jc w:val="left"/>
        <w:rPr>
          <w:rFonts w:ascii="新宋体" w:eastAsia="新宋体" w:hAnsi="新宋体" w:hint="eastAsia"/>
          <w:bCs/>
          <w:szCs w:val="21"/>
        </w:rPr>
      </w:pPr>
      <w:r>
        <w:rPr>
          <w:rFonts w:ascii="新宋体" w:eastAsia="新宋体" w:hAnsi="新宋体" w:hint="eastAsia"/>
          <w:bCs/>
          <w:szCs w:val="21"/>
        </w:rPr>
        <w:t>如遇法定节假日调整或其他原因暂停营业时，或因任何不可抗力导致无法准确估值时，管理人可暂停估值，并于2个工作日内披露相关信息及处理措施。</w:t>
      </w:r>
    </w:p>
    <w:p w14:paraId="0AA4D842"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十、募集期购买</w:t>
      </w:r>
    </w:p>
    <w:p w14:paraId="71091AD7"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kern w:val="2"/>
          <w:sz w:val="21"/>
          <w:szCs w:val="21"/>
        </w:rPr>
        <w:t>1.</w:t>
      </w:r>
      <w:r>
        <w:rPr>
          <w:rFonts w:ascii="新宋体" w:eastAsia="新宋体" w:hAnsi="新宋体" w:cs="Times New Roman" w:hint="eastAsia"/>
          <w:kern w:val="2"/>
          <w:sz w:val="21"/>
          <w:szCs w:val="21"/>
        </w:rPr>
        <w:t>本产品募集期内，投资者可在青银理财直销A</w:t>
      </w:r>
      <w:r>
        <w:rPr>
          <w:rFonts w:ascii="新宋体" w:eastAsia="新宋体" w:hAnsi="新宋体" w:cs="Times New Roman"/>
          <w:kern w:val="2"/>
          <w:sz w:val="21"/>
          <w:szCs w:val="21"/>
        </w:rPr>
        <w:t>PP</w:t>
      </w:r>
      <w:r>
        <w:rPr>
          <w:rFonts w:ascii="新宋体" w:eastAsia="新宋体" w:hAnsi="新宋体" w:cs="Times New Roman" w:hint="eastAsia"/>
          <w:kern w:val="2"/>
          <w:sz w:val="21"/>
          <w:szCs w:val="21"/>
        </w:rPr>
        <w:t>及各可用销售渠道办理。</w:t>
      </w:r>
    </w:p>
    <w:p w14:paraId="05579329" w14:textId="77777777" w:rsidR="00E14B1C" w:rsidRDefault="003F19C6">
      <w:pPr>
        <w:pStyle w:val="ab"/>
        <w:spacing w:before="0" w:beforeAutospacing="0" w:after="0" w:afterAutospacing="0" w:line="276" w:lineRule="auto"/>
        <w:ind w:firstLineChars="200" w:firstLine="420"/>
        <w:rPr>
          <w:rFonts w:ascii="新宋体" w:eastAsia="新宋体" w:hAnsi="新宋体" w:cs="Times New Roman" w:hint="eastAsia"/>
          <w:kern w:val="2"/>
          <w:sz w:val="21"/>
          <w:szCs w:val="21"/>
        </w:rPr>
      </w:pPr>
      <w:r>
        <w:rPr>
          <w:rFonts w:ascii="新宋体" w:eastAsia="新宋体" w:hAnsi="新宋体" w:cs="Times New Roman"/>
          <w:kern w:val="2"/>
          <w:sz w:val="21"/>
          <w:szCs w:val="21"/>
        </w:rPr>
        <w:t>2.</w:t>
      </w:r>
      <w:r>
        <w:rPr>
          <w:rFonts w:ascii="新宋体" w:eastAsia="新宋体" w:hAnsi="新宋体" w:cs="Times New Roman" w:hint="eastAsia"/>
          <w:kern w:val="2"/>
          <w:sz w:val="21"/>
          <w:szCs w:val="21"/>
        </w:rPr>
        <w:t>募集期内，投资者购买资金实时扣款。产品成立日起息确认，如扣款失败则投资者理财购买失败。</w:t>
      </w:r>
    </w:p>
    <w:p w14:paraId="0BB5327C"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十一、开放日的购买和赎回</w:t>
      </w:r>
    </w:p>
    <w:p w14:paraId="415E876E"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b/>
          <w:szCs w:val="21"/>
        </w:rPr>
        <w:lastRenderedPageBreak/>
        <w:t>1.</w:t>
      </w:r>
      <w:r>
        <w:rPr>
          <w:rFonts w:ascii="新宋体" w:eastAsia="新宋体" w:hAnsi="新宋体" w:hint="eastAsia"/>
          <w:b/>
          <w:szCs w:val="21"/>
        </w:rPr>
        <w:t>投资者提交购买、赎回交易，仅代表青银理财收到了投资者的交易申请，该购买、赎回交易最终是否成功以对应开放日的次1个交易日青银理财的确认结果为准。投资者应在交易对应开放日的次1个交易日起，及时查询确认结果。</w:t>
      </w:r>
    </w:p>
    <w:p w14:paraId="627E4C45"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2.购买、赎回示例</w:t>
      </w:r>
    </w:p>
    <w:p w14:paraId="2240CD95" w14:textId="77777777" w:rsidR="00E14B1C" w:rsidRDefault="003F19C6">
      <w:pPr>
        <w:spacing w:line="276" w:lineRule="auto"/>
        <w:ind w:firstLineChars="200" w:firstLine="422"/>
        <w:jc w:val="left"/>
        <w:rPr>
          <w:rFonts w:ascii="新宋体" w:eastAsia="新宋体" w:hAnsi="新宋体" w:hint="eastAsia"/>
          <w:szCs w:val="21"/>
        </w:rPr>
      </w:pPr>
      <w:r>
        <w:rPr>
          <w:rFonts w:ascii="新宋体" w:eastAsia="新宋体" w:hAnsi="新宋体" w:hint="eastAsia"/>
          <w:b/>
          <w:szCs w:val="21"/>
        </w:rPr>
        <w:t>场景一：</w:t>
      </w:r>
      <w:r>
        <w:rPr>
          <w:rFonts w:ascii="新宋体" w:eastAsia="新宋体" w:hAnsi="新宋体" w:hint="eastAsia"/>
          <w:szCs w:val="21"/>
        </w:rPr>
        <w:t>假设：客户在开放日购买本理财1</w:t>
      </w:r>
      <w:r>
        <w:rPr>
          <w:rFonts w:ascii="新宋体" w:eastAsia="新宋体" w:hAnsi="新宋体"/>
          <w:szCs w:val="21"/>
        </w:rPr>
        <w:t>2</w:t>
      </w:r>
      <w:r>
        <w:rPr>
          <w:rFonts w:ascii="新宋体" w:eastAsia="新宋体" w:hAnsi="新宋体" w:hint="eastAsia"/>
          <w:szCs w:val="21"/>
        </w:rPr>
        <w:t>万元，上述交易在开放日的次1个交易日当天确认，且开放日产品单位净值为1.012345元。</w:t>
      </w:r>
    </w:p>
    <w:p w14:paraId="2B1B90CA" w14:textId="77777777" w:rsidR="00E14B1C" w:rsidRDefault="003F19C6">
      <w:pPr>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那么，上述开放日，客户购买确认份额=1</w:t>
      </w:r>
      <w:r>
        <w:rPr>
          <w:rFonts w:ascii="新宋体" w:eastAsia="新宋体" w:hAnsi="新宋体"/>
          <w:szCs w:val="21"/>
        </w:rPr>
        <w:t>2</w:t>
      </w:r>
      <w:r>
        <w:rPr>
          <w:rFonts w:ascii="新宋体" w:eastAsia="新宋体" w:hAnsi="新宋体" w:hint="eastAsia"/>
          <w:szCs w:val="21"/>
        </w:rPr>
        <w:t xml:space="preserve">0000÷1.012345=118536.66份。                  </w:t>
      </w:r>
    </w:p>
    <w:p w14:paraId="5B8E700B" w14:textId="77777777" w:rsidR="00E14B1C" w:rsidRDefault="003F19C6">
      <w:pPr>
        <w:spacing w:line="276" w:lineRule="auto"/>
        <w:ind w:firstLineChars="200" w:firstLine="422"/>
        <w:jc w:val="left"/>
        <w:rPr>
          <w:rFonts w:ascii="新宋体" w:eastAsia="新宋体" w:hAnsi="新宋体" w:hint="eastAsia"/>
          <w:szCs w:val="21"/>
        </w:rPr>
      </w:pPr>
      <w:r>
        <w:rPr>
          <w:rFonts w:ascii="新宋体" w:eastAsia="新宋体" w:hAnsi="新宋体" w:hint="eastAsia"/>
          <w:b/>
          <w:szCs w:val="21"/>
        </w:rPr>
        <w:t>场景二：</w:t>
      </w:r>
      <w:r>
        <w:rPr>
          <w:rFonts w:ascii="新宋体" w:eastAsia="新宋体" w:hAnsi="新宋体" w:hint="eastAsia"/>
          <w:szCs w:val="21"/>
        </w:rPr>
        <w:t>假设：客户在开放日赎回本理财</w:t>
      </w:r>
      <w:r>
        <w:rPr>
          <w:rFonts w:ascii="新宋体" w:eastAsia="新宋体" w:hAnsi="新宋体"/>
          <w:szCs w:val="21"/>
        </w:rPr>
        <w:t>5</w:t>
      </w:r>
      <w:r>
        <w:rPr>
          <w:rFonts w:ascii="新宋体" w:eastAsia="新宋体" w:hAnsi="新宋体" w:hint="eastAsia"/>
          <w:szCs w:val="21"/>
        </w:rPr>
        <w:t>万份，上述交易在开放日的次1个交易日当天确认，且开放日产品单位净值为1.012345元。</w:t>
      </w:r>
    </w:p>
    <w:p w14:paraId="026D4DF6" w14:textId="77777777" w:rsidR="00E14B1C" w:rsidRDefault="003F19C6">
      <w:pPr>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那么，上述开放日，客户赎回确认金额=50000×1.012345=50617.25元。</w:t>
      </w:r>
    </w:p>
    <w:p w14:paraId="3654826D"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（上述示例采用假设数据计算，并不代表投资者实际可获得的份额和金额，投资须谨慎）</w:t>
      </w:r>
    </w:p>
    <w:p w14:paraId="631C61F2" w14:textId="77777777" w:rsidR="00E14B1C" w:rsidRDefault="003F19C6">
      <w:pPr>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3.巨额赎回</w:t>
      </w:r>
    </w:p>
    <w:p w14:paraId="52E6634B" w14:textId="77777777" w:rsidR="00E14B1C" w:rsidRDefault="003F19C6">
      <w:pPr>
        <w:spacing w:line="276" w:lineRule="auto"/>
        <w:ind w:firstLineChars="200" w:firstLine="440"/>
        <w:jc w:val="left"/>
        <w:rPr>
          <w:rFonts w:ascii="新宋体" w:eastAsia="新宋体" w:hAnsi="新宋体" w:hint="eastAsia"/>
          <w:b/>
          <w:szCs w:val="21"/>
        </w:rPr>
      </w:pPr>
      <w:r>
        <w:rPr>
          <w:rStyle w:val="fontstyle01"/>
          <w:rFonts w:hint="default"/>
        </w:rPr>
        <w:t>本产品规模余额达到50亿元（含）后，</w:t>
      </w:r>
      <w:r>
        <w:rPr>
          <w:rFonts w:hint="eastAsia"/>
          <w:szCs w:val="21"/>
        </w:rPr>
        <w:t>单个开放日，</w:t>
      </w:r>
      <w:r>
        <w:rPr>
          <w:rFonts w:ascii="宋体" w:hint="eastAsia"/>
          <w:szCs w:val="21"/>
        </w:rPr>
        <w:t>本</w:t>
      </w:r>
      <w:r>
        <w:rPr>
          <w:rFonts w:hint="eastAsia"/>
          <w:szCs w:val="21"/>
        </w:rPr>
        <w:t>理财计划</w:t>
      </w:r>
      <w:r>
        <w:rPr>
          <w:rFonts w:ascii="宋体" w:hint="eastAsia"/>
          <w:szCs w:val="21"/>
        </w:rPr>
        <w:t>净赎回申请</w:t>
      </w:r>
      <w:r>
        <w:rPr>
          <w:rFonts w:hint="eastAsia"/>
          <w:szCs w:val="21"/>
        </w:rPr>
        <w:t>份额</w:t>
      </w:r>
      <w:r>
        <w:rPr>
          <w:rFonts w:ascii="宋体" w:hint="eastAsia"/>
          <w:szCs w:val="21"/>
        </w:rPr>
        <w:t>超过上一开放日</w:t>
      </w:r>
      <w:r>
        <w:rPr>
          <w:rFonts w:hint="eastAsia"/>
          <w:szCs w:val="21"/>
        </w:rPr>
        <w:t>该</w:t>
      </w:r>
      <w:r>
        <w:rPr>
          <w:rFonts w:ascii="宋体" w:hint="eastAsia"/>
          <w:szCs w:val="21"/>
        </w:rPr>
        <w:t>产品总份额的</w:t>
      </w:r>
      <w:r>
        <w:rPr>
          <w:rFonts w:ascii="宋体"/>
          <w:szCs w:val="21"/>
        </w:rPr>
        <w:t>1</w:t>
      </w:r>
      <w:r>
        <w:rPr>
          <w:rFonts w:ascii="宋体" w:hint="eastAsia"/>
          <w:szCs w:val="21"/>
        </w:rPr>
        <w:t>0%，</w:t>
      </w:r>
      <w:r>
        <w:rPr>
          <w:rFonts w:hint="eastAsia"/>
          <w:szCs w:val="21"/>
        </w:rPr>
        <w:t>为巨额赎回。</w:t>
      </w:r>
      <w:r>
        <w:rPr>
          <w:rFonts w:ascii="新宋体" w:eastAsia="新宋体" w:hAnsi="新宋体" w:hint="eastAsia"/>
          <w:b/>
          <w:szCs w:val="21"/>
        </w:rPr>
        <w:t>出现巨额赎回时，为避免资产变现可能引发的产品资产净值较大波动，从保护投资者利益出发，青银理财有权只接受未达到巨额赎回部分的投资者申请，超过巨额赎回部分的投资者申请将被取消，并暂停接受投资者的赎回申请，投资者可于下一开放日重新提交赎回申请，但该情形可能影响投资者的资金安排，带来流动性风险。</w:t>
      </w:r>
    </w:p>
    <w:p w14:paraId="6B7C210A"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如本理财计划连续两个开放日（含）以上发生巨额赎回，青银理财有权暂停接受投资者赎回申请，并最迟提前一个交易日进行公告。</w:t>
      </w:r>
    </w:p>
    <w:p w14:paraId="140C72F3"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4.本理财计划成立后，若投资者提交购买申请导致本理财计划总规模超过约定的规模上限，青银理财有权暂停接受超过本理财计划规模上限的购买申请。</w:t>
      </w:r>
    </w:p>
    <w:p w14:paraId="3CA2808F"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十二、产品市值及理财收益</w:t>
      </w:r>
      <w:r>
        <w:rPr>
          <w:rFonts w:ascii="新宋体" w:eastAsia="新宋体" w:hAnsi="新宋体" w:cs="新宋体" w:hint="eastAsia"/>
          <w:b/>
          <w:kern w:val="0"/>
          <w:szCs w:val="21"/>
        </w:rPr>
        <w:t>分配</w:t>
      </w:r>
      <w:r>
        <w:rPr>
          <w:rFonts w:ascii="新宋体" w:eastAsia="新宋体" w:hAnsi="新宋体"/>
          <w:b/>
          <w:szCs w:val="21"/>
        </w:rPr>
        <w:t xml:space="preserve"> </w:t>
      </w:r>
    </w:p>
    <w:p w14:paraId="412AD533" w14:textId="77777777" w:rsidR="00E14B1C" w:rsidRDefault="003F19C6">
      <w:pPr>
        <w:widowControl/>
        <w:snapToGrid w:val="0"/>
        <w:spacing w:line="276" w:lineRule="auto"/>
        <w:ind w:firstLineChars="200" w:firstLine="422"/>
        <w:jc w:val="left"/>
        <w:rPr>
          <w:rFonts w:ascii="新宋体" w:eastAsia="新宋体" w:hAnsi="新宋体" w:cs="新宋体" w:hint="eastAsia"/>
          <w:b/>
          <w:kern w:val="0"/>
          <w:szCs w:val="21"/>
        </w:rPr>
      </w:pPr>
      <w:r>
        <w:rPr>
          <w:rFonts w:ascii="新宋体" w:eastAsia="新宋体" w:hAnsi="新宋体" w:cs="新宋体"/>
          <w:b/>
          <w:kern w:val="0"/>
          <w:szCs w:val="21"/>
        </w:rPr>
        <w:t>1.产品收益的构成</w:t>
      </w:r>
    </w:p>
    <w:p w14:paraId="2341EAE8" w14:textId="77777777" w:rsidR="00E14B1C" w:rsidRDefault="003F19C6">
      <w:pPr>
        <w:pStyle w:val="ab"/>
        <w:spacing w:before="0" w:beforeAutospacing="0" w:after="0" w:afterAutospacing="0" w:line="276" w:lineRule="auto"/>
        <w:ind w:firstLineChars="200" w:firstLine="420"/>
        <w:rPr>
          <w:rFonts w:ascii="新宋体" w:eastAsia="新宋体" w:hAnsi="新宋体" w:cs="新宋体" w:hint="eastAsia"/>
          <w:sz w:val="21"/>
          <w:szCs w:val="21"/>
        </w:rPr>
      </w:pPr>
      <w:r>
        <w:rPr>
          <w:rFonts w:ascii="新宋体" w:eastAsia="新宋体" w:hAnsi="新宋体" w:cs="新宋体" w:hint="eastAsia"/>
          <w:sz w:val="21"/>
          <w:szCs w:val="21"/>
        </w:rPr>
        <w:t>理财产品收益指产品的利息收入、投资收益、公允价值变动损益和其他收入，扣除资产减值损失和相关费用后的余额。理财产品已实现收益指产品利润减去公允价值变动损益的余额。</w:t>
      </w:r>
    </w:p>
    <w:p w14:paraId="32DD96E8" w14:textId="77777777" w:rsidR="00E14B1C" w:rsidRDefault="003F19C6">
      <w:pPr>
        <w:pStyle w:val="ab"/>
        <w:spacing w:before="0" w:beforeAutospacing="0" w:after="0" w:afterAutospacing="0" w:line="276" w:lineRule="auto"/>
        <w:ind w:firstLineChars="200" w:firstLine="422"/>
        <w:rPr>
          <w:rFonts w:ascii="新宋体" w:eastAsia="新宋体" w:hAnsi="新宋体" w:hint="eastAsia"/>
          <w:b/>
          <w:sz w:val="21"/>
          <w:szCs w:val="21"/>
        </w:rPr>
      </w:pPr>
      <w:r w:rsidRPr="0004251E">
        <w:rPr>
          <w:rFonts w:ascii="新宋体" w:eastAsia="新宋体" w:hAnsi="新宋体" w:cs="新宋体" w:hint="eastAsia"/>
          <w:b/>
          <w:bCs/>
          <w:sz w:val="21"/>
          <w:szCs w:val="21"/>
        </w:rPr>
        <w:t>2.</w:t>
      </w:r>
      <w:r>
        <w:rPr>
          <w:rFonts w:ascii="新宋体" w:eastAsia="新宋体" w:hAnsi="新宋体" w:hint="eastAsia"/>
          <w:b/>
          <w:sz w:val="21"/>
          <w:szCs w:val="21"/>
        </w:rPr>
        <w:t>收益分配原则及方案</w:t>
      </w:r>
    </w:p>
    <w:p w14:paraId="79F306D6" w14:textId="77777777" w:rsidR="00E14B1C" w:rsidRPr="0004251E" w:rsidRDefault="003F19C6">
      <w:pPr>
        <w:pStyle w:val="ab"/>
        <w:spacing w:before="0" w:beforeAutospacing="0" w:after="0" w:afterAutospacing="0" w:line="276" w:lineRule="auto"/>
        <w:ind w:firstLineChars="200" w:firstLine="420"/>
        <w:rPr>
          <w:rFonts w:ascii="新宋体" w:eastAsia="新宋体" w:hAnsi="新宋体" w:hint="eastAsia"/>
          <w:bCs/>
          <w:sz w:val="21"/>
          <w:szCs w:val="21"/>
        </w:rPr>
      </w:pPr>
      <w:r w:rsidRPr="0004251E">
        <w:rPr>
          <w:rFonts w:ascii="新宋体" w:eastAsia="新宋体" w:hAnsi="新宋体" w:hint="eastAsia"/>
          <w:bCs/>
          <w:sz w:val="21"/>
          <w:szCs w:val="21"/>
        </w:rPr>
        <w:t>（1）同一类别每份产品份额享有同等分配权。</w:t>
      </w:r>
    </w:p>
    <w:p w14:paraId="7B5A47A9" w14:textId="77777777" w:rsidR="00E14B1C" w:rsidRPr="0004251E" w:rsidRDefault="003F19C6">
      <w:pPr>
        <w:pStyle w:val="ab"/>
        <w:spacing w:before="0" w:beforeAutospacing="0" w:after="0" w:afterAutospacing="0" w:line="276" w:lineRule="auto"/>
        <w:ind w:firstLineChars="200" w:firstLine="420"/>
        <w:rPr>
          <w:rFonts w:ascii="新宋体" w:eastAsia="新宋体" w:hAnsi="新宋体" w:hint="eastAsia"/>
          <w:bCs/>
          <w:sz w:val="21"/>
          <w:szCs w:val="21"/>
        </w:rPr>
      </w:pPr>
      <w:r w:rsidRPr="0004251E">
        <w:rPr>
          <w:rFonts w:ascii="新宋体" w:eastAsia="新宋体" w:hAnsi="新宋体" w:hint="eastAsia"/>
          <w:bCs/>
          <w:sz w:val="21"/>
          <w:szCs w:val="21"/>
        </w:rPr>
        <w:t>（2）产品管理人将根据产品投资收益情况决定收益分配方案，明确分配收益金额。投资者获得的最终收益以产品实际运作表现为准。</w:t>
      </w:r>
    </w:p>
    <w:p w14:paraId="517C0B6A" w14:textId="77777777" w:rsidR="00E14B1C" w:rsidRPr="0004251E" w:rsidRDefault="003F19C6">
      <w:pPr>
        <w:pStyle w:val="ab"/>
        <w:spacing w:before="0" w:beforeAutospacing="0" w:after="0" w:afterAutospacing="0" w:line="276" w:lineRule="auto"/>
        <w:ind w:firstLineChars="200" w:firstLine="420"/>
        <w:rPr>
          <w:rFonts w:ascii="新宋体" w:eastAsia="新宋体" w:hAnsi="新宋体" w:hint="eastAsia"/>
          <w:bCs/>
          <w:sz w:val="21"/>
          <w:szCs w:val="21"/>
        </w:rPr>
      </w:pPr>
      <w:r w:rsidRPr="0004251E">
        <w:rPr>
          <w:rFonts w:ascii="新宋体" w:eastAsia="新宋体" w:hAnsi="新宋体" w:hint="eastAsia"/>
          <w:bCs/>
          <w:sz w:val="21"/>
          <w:szCs w:val="21"/>
        </w:rPr>
        <w:t>（3）法律法规或监管机构另有规定的，从其规定。</w:t>
      </w:r>
    </w:p>
    <w:p w14:paraId="1ECEC670" w14:textId="72E063B5" w:rsidR="00E14B1C" w:rsidRDefault="003F19C6">
      <w:pPr>
        <w:pStyle w:val="ab"/>
        <w:spacing w:before="0" w:beforeAutospacing="0" w:after="0" w:afterAutospacing="0" w:line="276" w:lineRule="auto"/>
        <w:ind w:firstLineChars="200" w:firstLine="422"/>
        <w:rPr>
          <w:rFonts w:ascii="新宋体" w:eastAsia="新宋体" w:hAnsi="新宋体" w:hint="eastAsia"/>
          <w:b/>
          <w:sz w:val="21"/>
          <w:szCs w:val="21"/>
        </w:rPr>
      </w:pPr>
      <w:r>
        <w:rPr>
          <w:rFonts w:ascii="新宋体" w:eastAsia="新宋体" w:hAnsi="新宋体" w:hint="eastAsia"/>
          <w:b/>
          <w:sz w:val="21"/>
          <w:szCs w:val="21"/>
        </w:rPr>
        <w:t>3</w:t>
      </w:r>
      <w:r>
        <w:rPr>
          <w:rFonts w:ascii="新宋体" w:eastAsia="新宋体" w:hAnsi="新宋体"/>
          <w:b/>
          <w:sz w:val="21"/>
          <w:szCs w:val="21"/>
        </w:rPr>
        <w:t>.</w:t>
      </w:r>
      <w:r>
        <w:rPr>
          <w:rFonts w:ascii="新宋体" w:eastAsia="新宋体" w:hAnsi="新宋体" w:hint="eastAsia"/>
          <w:b/>
          <w:sz w:val="21"/>
          <w:szCs w:val="21"/>
        </w:rPr>
        <w:t>本理财计划单位净值测算依据及方法</w:t>
      </w:r>
      <w:r>
        <w:rPr>
          <w:rFonts w:ascii="新宋体" w:eastAsia="新宋体" w:hAnsi="新宋体"/>
          <w:b/>
          <w:sz w:val="21"/>
          <w:szCs w:val="21"/>
        </w:rPr>
        <w:t xml:space="preserve"> </w:t>
      </w:r>
    </w:p>
    <w:p w14:paraId="7D9F83DC" w14:textId="77777777" w:rsidR="00E14B1C" w:rsidRDefault="003F19C6">
      <w:pPr>
        <w:pStyle w:val="ab"/>
        <w:spacing w:before="0" w:beforeAutospacing="0" w:after="0" w:afterAutospacing="0" w:line="276" w:lineRule="auto"/>
        <w:ind w:firstLineChars="200" w:firstLine="420"/>
        <w:rPr>
          <w:rFonts w:ascii="新宋体" w:eastAsia="新宋体" w:hAnsi="新宋体" w:hint="eastAsia"/>
          <w:sz w:val="21"/>
          <w:szCs w:val="21"/>
        </w:rPr>
      </w:pPr>
      <w:r>
        <w:rPr>
          <w:rFonts w:ascii="新宋体" w:eastAsia="新宋体" w:hAnsi="新宋体" w:hint="eastAsia"/>
          <w:sz w:val="21"/>
          <w:szCs w:val="21"/>
        </w:rPr>
        <w:t>本理财计划以单位净值报价，单位净值=本理财计划总净值÷本理财计划总份额。其中，总净值为扣除本产品说明书约定由本理财产品承担的包括但不限于托管费、固定管理费、业绩报酬等相关费用后的本理财计划资产市值。</w:t>
      </w:r>
    </w:p>
    <w:p w14:paraId="6B929292" w14:textId="77777777" w:rsidR="00E14B1C" w:rsidRDefault="003F19C6">
      <w:pPr>
        <w:pStyle w:val="ab"/>
        <w:spacing w:before="0" w:beforeAutospacing="0" w:after="0" w:afterAutospacing="0" w:line="276" w:lineRule="auto"/>
        <w:ind w:firstLineChars="200" w:firstLine="420"/>
        <w:rPr>
          <w:rFonts w:ascii="新宋体" w:eastAsia="新宋体" w:hAnsi="新宋体" w:hint="eastAsia"/>
          <w:sz w:val="21"/>
          <w:szCs w:val="21"/>
        </w:rPr>
      </w:pPr>
      <w:r>
        <w:rPr>
          <w:rFonts w:ascii="新宋体" w:eastAsia="新宋体" w:hAnsi="新宋体" w:hint="eastAsia"/>
          <w:sz w:val="21"/>
          <w:szCs w:val="21"/>
        </w:rPr>
        <w:t>本理财计划单位净值根据青银理财实际投资运作的情况变化。</w:t>
      </w:r>
    </w:p>
    <w:p w14:paraId="710DCA6C" w14:textId="255E0BB8" w:rsidR="00E14B1C" w:rsidRDefault="003F19C6">
      <w:pPr>
        <w:pStyle w:val="ab"/>
        <w:spacing w:before="0" w:beforeAutospacing="0" w:after="0" w:afterAutospacing="0" w:line="276" w:lineRule="auto"/>
        <w:ind w:firstLineChars="200" w:firstLine="422"/>
        <w:rPr>
          <w:rFonts w:ascii="新宋体" w:eastAsia="新宋体" w:hAnsi="新宋体" w:hint="eastAsia"/>
          <w:b/>
          <w:szCs w:val="21"/>
        </w:rPr>
      </w:pPr>
      <w:r>
        <w:rPr>
          <w:rFonts w:ascii="新宋体" w:eastAsia="新宋体" w:hAnsi="新宋体" w:hint="eastAsia"/>
          <w:b/>
          <w:sz w:val="21"/>
          <w:szCs w:val="21"/>
        </w:rPr>
        <w:t xml:space="preserve"> 4.</w:t>
      </w:r>
      <w:r>
        <w:rPr>
          <w:rFonts w:ascii="新宋体" w:eastAsia="新宋体" w:hAnsi="新宋体"/>
          <w:b/>
          <w:sz w:val="21"/>
          <w:szCs w:val="21"/>
        </w:rPr>
        <w:t>投资者理财产品市值</w:t>
      </w:r>
      <w:r>
        <w:rPr>
          <w:rFonts w:ascii="新宋体" w:eastAsia="新宋体" w:hAnsi="新宋体" w:hint="eastAsia"/>
          <w:b/>
          <w:sz w:val="21"/>
          <w:szCs w:val="21"/>
        </w:rPr>
        <w:t>及收益的测算</w:t>
      </w:r>
    </w:p>
    <w:p w14:paraId="391B73EA"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本理财计划为非保本浮动收益型，投资者的投资收益是所持理财份额对应的产品市值扣除对应投资本金的余额。投资者的理财产品市值=持有理财产品总份额×单位净值，持有理财产品总份额以青银理财理财系统清算登记份额数据为准。</w:t>
      </w:r>
    </w:p>
    <w:p w14:paraId="6D3ABA63" w14:textId="77777777" w:rsidR="00E14B1C" w:rsidRDefault="003F19C6">
      <w:pPr>
        <w:pStyle w:val="Default"/>
        <w:spacing w:line="276" w:lineRule="auto"/>
        <w:ind w:firstLineChars="200" w:firstLine="422"/>
        <w:rPr>
          <w:rFonts w:ascii="新宋体" w:eastAsia="新宋体" w:hAnsi="新宋体" w:hint="eastAsia"/>
          <w:b/>
          <w:color w:val="auto"/>
          <w:sz w:val="21"/>
          <w:szCs w:val="21"/>
        </w:rPr>
      </w:pPr>
      <w:r>
        <w:rPr>
          <w:rFonts w:ascii="新宋体" w:eastAsia="新宋体" w:hAnsi="新宋体" w:hint="eastAsia"/>
          <w:b/>
          <w:color w:val="auto"/>
          <w:sz w:val="21"/>
          <w:szCs w:val="21"/>
        </w:rPr>
        <w:lastRenderedPageBreak/>
        <w:t>如投资运作出现盈利（或亏损），对应产品单位净值将上升（或下降），对应产品市值可能大于（或小于）投资本金。最不利的情况下，投资者可能损失全部本金。</w:t>
      </w:r>
    </w:p>
    <w:p w14:paraId="010D54C4" w14:textId="77777777" w:rsidR="00E14B1C" w:rsidRDefault="003F19C6">
      <w:pPr>
        <w:pStyle w:val="Default"/>
        <w:spacing w:line="276" w:lineRule="auto"/>
        <w:ind w:firstLineChars="200" w:firstLine="422"/>
        <w:rPr>
          <w:rFonts w:ascii="新宋体" w:eastAsia="新宋体" w:hAnsi="新宋体" w:hint="eastAsia"/>
          <w:b/>
          <w:color w:val="auto"/>
          <w:sz w:val="21"/>
          <w:szCs w:val="21"/>
        </w:rPr>
      </w:pPr>
      <w:r>
        <w:rPr>
          <w:rFonts w:ascii="新宋体" w:eastAsia="新宋体" w:hAnsi="新宋体" w:hint="eastAsia"/>
          <w:b/>
          <w:color w:val="auto"/>
          <w:sz w:val="21"/>
          <w:szCs w:val="21"/>
        </w:rPr>
        <w:t>投资者理财市值及收益测算示例：</w:t>
      </w:r>
    </w:p>
    <w:p w14:paraId="77798CC9"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假设</w:t>
      </w:r>
      <w:r>
        <w:rPr>
          <w:rFonts w:ascii="新宋体" w:eastAsia="新宋体" w:hAnsi="新宋体" w:hint="eastAsia"/>
          <w:szCs w:val="21"/>
        </w:rPr>
        <w:t>：</w:t>
      </w:r>
      <w:r>
        <w:rPr>
          <w:rFonts w:ascii="新宋体" w:eastAsia="新宋体" w:hAnsi="新宋体" w:hint="eastAsia"/>
          <w:color w:val="auto"/>
          <w:sz w:val="21"/>
          <w:szCs w:val="21"/>
        </w:rPr>
        <w:t>客户在开放日购买本理财</w:t>
      </w:r>
      <w:r>
        <w:rPr>
          <w:rFonts w:ascii="新宋体" w:eastAsia="新宋体" w:hAnsi="新宋体"/>
          <w:color w:val="auto"/>
          <w:sz w:val="21"/>
          <w:szCs w:val="21"/>
        </w:rPr>
        <w:t>5</w:t>
      </w:r>
      <w:r>
        <w:rPr>
          <w:rFonts w:ascii="新宋体" w:eastAsia="新宋体" w:hAnsi="新宋体" w:hint="eastAsia"/>
          <w:color w:val="auto"/>
          <w:sz w:val="21"/>
          <w:szCs w:val="21"/>
        </w:rPr>
        <w:t>万元，开放日发布的单位净值为1.0</w:t>
      </w:r>
      <w:r>
        <w:rPr>
          <w:rFonts w:ascii="新宋体" w:eastAsia="新宋体" w:hAnsi="新宋体"/>
          <w:color w:val="auto"/>
          <w:sz w:val="21"/>
          <w:szCs w:val="21"/>
        </w:rPr>
        <w:t>00000</w:t>
      </w:r>
      <w:r>
        <w:rPr>
          <w:rFonts w:ascii="新宋体" w:eastAsia="新宋体" w:hAnsi="新宋体" w:hint="eastAsia"/>
          <w:color w:val="auto"/>
          <w:sz w:val="21"/>
          <w:szCs w:val="21"/>
        </w:rPr>
        <w:t>元，客户购买确认份额为</w:t>
      </w:r>
      <w:r>
        <w:rPr>
          <w:rFonts w:ascii="新宋体" w:eastAsia="新宋体" w:hAnsi="新宋体"/>
          <w:color w:val="auto"/>
          <w:sz w:val="21"/>
          <w:szCs w:val="21"/>
        </w:rPr>
        <w:t>50000</w:t>
      </w:r>
      <w:r>
        <w:rPr>
          <w:rFonts w:ascii="新宋体" w:eastAsia="新宋体" w:hAnsi="新宋体" w:hint="eastAsia"/>
          <w:color w:val="auto"/>
          <w:sz w:val="21"/>
          <w:szCs w:val="21"/>
        </w:rPr>
        <w:t>份。</w:t>
      </w:r>
    </w:p>
    <w:p w14:paraId="0D1AF3F5"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场景一：如该投资者后续没有交易，持有份额不变，最近开放日产品单位净值为1.001122元/份，则该投资者持有理财的产品市值为50000×1.001122=50056.10元。该投资者在最近一个开放日的账面理财收益是50056.10-50000.00=56.10元（盈利）。</w:t>
      </w:r>
    </w:p>
    <w:p w14:paraId="5E0DC376"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场景二：如该投资者后续没有交易，持有份额不变，最近开放日产品单位净值为0.999000元/份，则该投资者持有理财的产品市值为50000×0.999000=49950.00元。该投资者在最近一个开放日的账面理财收益是49950.00-50000.00=-50.00元（亏损）。</w:t>
      </w:r>
    </w:p>
    <w:p w14:paraId="51106E51" w14:textId="77777777" w:rsidR="00E14B1C" w:rsidRDefault="003F19C6">
      <w:pPr>
        <w:pStyle w:val="Default"/>
        <w:spacing w:line="276" w:lineRule="auto"/>
        <w:ind w:firstLineChars="200" w:firstLine="422"/>
        <w:rPr>
          <w:rFonts w:ascii="新宋体" w:eastAsia="新宋体" w:hAnsi="新宋体" w:hint="eastAsia"/>
          <w:b/>
          <w:color w:val="auto"/>
          <w:sz w:val="21"/>
          <w:szCs w:val="21"/>
        </w:rPr>
      </w:pPr>
      <w:r>
        <w:rPr>
          <w:rFonts w:ascii="新宋体" w:eastAsia="新宋体" w:hAnsi="新宋体" w:hint="eastAsia"/>
          <w:b/>
          <w:color w:val="auto"/>
          <w:sz w:val="21"/>
          <w:szCs w:val="21"/>
        </w:rPr>
        <w:t>（上述示例采用假设数据计算，测算收益不等于实际收益，投资须谨慎</w:t>
      </w:r>
      <w:r>
        <w:rPr>
          <w:rFonts w:ascii="新宋体" w:eastAsia="新宋体" w:hAnsi="新宋体"/>
          <w:b/>
          <w:color w:val="auto"/>
          <w:sz w:val="21"/>
          <w:szCs w:val="21"/>
        </w:rPr>
        <w:t xml:space="preserve"> </w:t>
      </w:r>
      <w:r>
        <w:rPr>
          <w:rFonts w:ascii="新宋体" w:eastAsia="新宋体" w:hAnsi="新宋体" w:hint="eastAsia"/>
          <w:b/>
          <w:color w:val="auto"/>
          <w:sz w:val="21"/>
          <w:szCs w:val="21"/>
        </w:rPr>
        <w:t>）</w:t>
      </w:r>
    </w:p>
    <w:p w14:paraId="7E64FB34"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十三、产品费用</w:t>
      </w:r>
    </w:p>
    <w:p w14:paraId="0305FBAC"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本理财计划所承担的费用包括产品固定管理费（年化费率为0.</w:t>
      </w:r>
      <w:r>
        <w:rPr>
          <w:rFonts w:ascii="新宋体" w:eastAsia="新宋体" w:hAnsi="新宋体"/>
          <w:color w:val="auto"/>
          <w:sz w:val="21"/>
          <w:szCs w:val="21"/>
        </w:rPr>
        <w:t>40</w:t>
      </w:r>
      <w:r>
        <w:rPr>
          <w:rFonts w:ascii="新宋体" w:eastAsia="新宋体" w:hAnsi="新宋体" w:hint="eastAsia"/>
          <w:color w:val="auto"/>
          <w:sz w:val="21"/>
          <w:szCs w:val="21"/>
        </w:rPr>
        <w:t>%），托管费（年化费率为0.008%）、</w:t>
      </w:r>
      <w:r>
        <w:rPr>
          <w:rFonts w:ascii="新宋体" w:eastAsia="新宋体" w:hAnsi="新宋体" w:cs="新宋体" w:hint="eastAsia"/>
          <w:sz w:val="21"/>
          <w:szCs w:val="21"/>
        </w:rPr>
        <w:t>认（申）购及赎回费（如有）、销售手续费（如有）、</w:t>
      </w:r>
      <w:r>
        <w:rPr>
          <w:rFonts w:ascii="新宋体" w:eastAsia="新宋体" w:hAnsi="新宋体" w:hint="eastAsia"/>
          <w:color w:val="auto"/>
          <w:sz w:val="21"/>
          <w:szCs w:val="21"/>
        </w:rPr>
        <w:t>业绩报酬、增值税及附加税费等费用，以及其他应由理财产品资产承担的费用，包括但不限于产品开户费用、账户维护费用、银行划款费用、交易费用、验资费、审计费、律师费、诉讼费、信息披露费、清算费、执行费等相关费用，按照法律法规规定在本理财产品资产中列支。</w:t>
      </w:r>
    </w:p>
    <w:p w14:paraId="179499AD"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1.产品管理人的固定管理费</w:t>
      </w:r>
    </w:p>
    <w:p w14:paraId="3AD8516D"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固定管理费按当日本理财计划存续份额的0.</w:t>
      </w:r>
      <w:r>
        <w:rPr>
          <w:rFonts w:ascii="新宋体" w:eastAsia="新宋体" w:hAnsi="新宋体"/>
          <w:color w:val="auto"/>
          <w:sz w:val="21"/>
          <w:szCs w:val="21"/>
        </w:rPr>
        <w:t>40</w:t>
      </w:r>
      <w:r>
        <w:rPr>
          <w:rFonts w:ascii="新宋体" w:eastAsia="新宋体" w:hAnsi="新宋体" w:hint="eastAsia"/>
          <w:color w:val="auto"/>
          <w:sz w:val="21"/>
          <w:szCs w:val="21"/>
        </w:rPr>
        <w:t>%年费率计提，由理财管理人收取。计算方法如下：</w:t>
      </w:r>
    </w:p>
    <w:p w14:paraId="17B88955"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H＝E×0.</w:t>
      </w:r>
      <w:r>
        <w:rPr>
          <w:rFonts w:ascii="新宋体" w:eastAsia="新宋体" w:hAnsi="新宋体"/>
          <w:color w:val="auto"/>
          <w:sz w:val="21"/>
          <w:szCs w:val="21"/>
        </w:rPr>
        <w:t>40</w:t>
      </w:r>
      <w:r>
        <w:rPr>
          <w:rFonts w:ascii="新宋体" w:eastAsia="新宋体" w:hAnsi="新宋体" w:hint="eastAsia"/>
          <w:color w:val="auto"/>
          <w:sz w:val="21"/>
          <w:szCs w:val="21"/>
        </w:rPr>
        <w:t>%÷365</w:t>
      </w:r>
    </w:p>
    <w:p w14:paraId="1D794757"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H为每日应计提的产品固定管理费</w:t>
      </w:r>
    </w:p>
    <w:p w14:paraId="50B296B1"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E为当日本理财计划存续份额</w:t>
      </w:r>
    </w:p>
    <w:p w14:paraId="6E4BE614"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当本理财计划投资运作收益小于“业绩比较基准”时，管理人将有权放弃计提的固定管理费，最高为已计提的全部固定管理费。</w:t>
      </w:r>
    </w:p>
    <w:p w14:paraId="70C68F0A"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2.产品托管人的托管费</w:t>
      </w:r>
    </w:p>
    <w:p w14:paraId="0C6A638E"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托管费按当日本理财计划存续份额的0.008%年费率计提，由理财资产托管人收取。计算方法如下：</w:t>
      </w:r>
    </w:p>
    <w:p w14:paraId="6879E7DF"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H＝E×0.008%÷365</w:t>
      </w:r>
    </w:p>
    <w:p w14:paraId="27C13313"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H为每日应计提的产品托管费</w:t>
      </w:r>
    </w:p>
    <w:p w14:paraId="39D12A4F"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E为当日本理财计划存续份额</w:t>
      </w:r>
    </w:p>
    <w:p w14:paraId="2850DA57" w14:textId="77777777" w:rsidR="00E14B1C" w:rsidRDefault="003F19C6">
      <w:pPr>
        <w:pStyle w:val="Default"/>
        <w:spacing w:line="276" w:lineRule="auto"/>
        <w:ind w:firstLineChars="200" w:firstLine="420"/>
        <w:rPr>
          <w:rFonts w:ascii="新宋体" w:eastAsia="新宋体" w:hAnsi="新宋体" w:hint="eastAsia"/>
          <w:color w:val="auto"/>
          <w:sz w:val="21"/>
          <w:szCs w:val="21"/>
        </w:rPr>
      </w:pPr>
      <w:r>
        <w:rPr>
          <w:rFonts w:ascii="新宋体" w:eastAsia="新宋体" w:hAnsi="新宋体" w:hint="eastAsia"/>
          <w:color w:val="auto"/>
          <w:sz w:val="21"/>
          <w:szCs w:val="21"/>
        </w:rPr>
        <w:t>3.业绩报酬</w:t>
      </w:r>
    </w:p>
    <w:p w14:paraId="40D4F394" w14:textId="46680508" w:rsidR="00E14B1C" w:rsidRDefault="003F19C6">
      <w:pPr>
        <w:pStyle w:val="Default"/>
        <w:spacing w:line="276" w:lineRule="auto"/>
        <w:ind w:firstLineChars="200" w:firstLine="422"/>
        <w:rPr>
          <w:rFonts w:ascii="新宋体" w:eastAsia="新宋体" w:hAnsi="新宋体" w:hint="eastAsia"/>
          <w:color w:val="auto"/>
          <w:sz w:val="21"/>
          <w:szCs w:val="21"/>
        </w:rPr>
      </w:pPr>
      <w:r>
        <w:rPr>
          <w:rFonts w:ascii="新宋体" w:eastAsia="新宋体" w:hAnsi="新宋体" w:hint="eastAsia"/>
          <w:b/>
          <w:color w:val="auto"/>
          <w:sz w:val="21"/>
          <w:szCs w:val="21"/>
        </w:rPr>
        <w:t>在扣除固定管理费、托管费等费用后，本理财计划项下资产组合收益超出本理财计划业绩基准部分的50%归于</w:t>
      </w:r>
      <w:r w:rsidR="00C40638">
        <w:rPr>
          <w:rFonts w:ascii="新宋体" w:eastAsia="新宋体" w:hAnsi="新宋体" w:hint="eastAsia"/>
          <w:b/>
          <w:color w:val="auto"/>
          <w:sz w:val="21"/>
          <w:szCs w:val="21"/>
        </w:rPr>
        <w:t>投资者</w:t>
      </w:r>
      <w:r>
        <w:rPr>
          <w:rFonts w:ascii="新宋体" w:eastAsia="新宋体" w:hAnsi="新宋体" w:hint="eastAsia"/>
          <w:b/>
          <w:color w:val="auto"/>
          <w:sz w:val="21"/>
          <w:szCs w:val="21"/>
        </w:rPr>
        <w:t>，剩余部分作为管理人业绩报酬，业绩报酬逐日计提。</w:t>
      </w:r>
      <w:r>
        <w:rPr>
          <w:rFonts w:ascii="新宋体" w:eastAsia="新宋体" w:hAnsi="新宋体" w:hint="eastAsia"/>
          <w:b/>
          <w:sz w:val="21"/>
          <w:szCs w:val="21"/>
        </w:rPr>
        <w:t>每日计提的业绩报酬仅作为暂估数据，用于理财产品会计核算和估值日估值。仅以理财产品确认日（或产品实际到期日）当天确认计提的业绩报酬作为业绩报酬的结算依据。</w:t>
      </w:r>
      <w:r>
        <w:rPr>
          <w:rFonts w:ascii="新宋体" w:eastAsia="新宋体" w:hAnsi="新宋体" w:hint="eastAsia"/>
          <w:b/>
          <w:color w:val="auto"/>
          <w:sz w:val="21"/>
          <w:szCs w:val="21"/>
        </w:rPr>
        <w:t>业绩基准并不代表产品实际投资收益。</w:t>
      </w:r>
    </w:p>
    <w:p w14:paraId="4491428B" w14:textId="77777777" w:rsidR="00E14B1C" w:rsidRDefault="003F19C6">
      <w:pPr>
        <w:spacing w:line="276" w:lineRule="auto"/>
        <w:ind w:firstLineChars="196" w:firstLine="413"/>
        <w:jc w:val="left"/>
        <w:rPr>
          <w:rFonts w:ascii="新宋体" w:eastAsia="新宋体" w:hAnsi="新宋体" w:hint="eastAsia"/>
          <w:b/>
          <w:szCs w:val="21"/>
        </w:rPr>
      </w:pPr>
      <w:r>
        <w:rPr>
          <w:rFonts w:ascii="新宋体" w:eastAsia="新宋体" w:hAnsi="新宋体" w:hint="eastAsia"/>
          <w:b/>
          <w:szCs w:val="21"/>
        </w:rPr>
        <w:t>青银理财有权根据相关法律和国家政策的规定，对本理财计划的收费项目、条件、标准和方式进行调整。如投资者不接受调整，则应及时通过销售服务机构营业网点或网上销售平台赎回本产品（高风险类型的理财产品超出比例范围投资较低风险资产的情况除外），若本产品投资者未赎回本产品，则视为本理财产品投资者对相关调整无异议并同意继续持有本理财产品。</w:t>
      </w:r>
    </w:p>
    <w:p w14:paraId="13B296CE"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lastRenderedPageBreak/>
        <w:t>十四、产品终止</w:t>
      </w:r>
      <w:r>
        <w:rPr>
          <w:rFonts w:ascii="新宋体" w:eastAsia="新宋体" w:hAnsi="新宋体" w:hint="eastAsia"/>
          <w:b/>
        </w:rPr>
        <w:t>及清算事项</w:t>
      </w:r>
    </w:p>
    <w:p w14:paraId="45501B2D" w14:textId="77777777" w:rsidR="00E14B1C" w:rsidRDefault="003F19C6">
      <w:pPr>
        <w:spacing w:line="276" w:lineRule="auto"/>
        <w:ind w:firstLineChars="200" w:firstLine="420"/>
        <w:jc w:val="left"/>
        <w:rPr>
          <w:rFonts w:ascii="新宋体" w:eastAsia="新宋体" w:hAnsi="新宋体" w:hint="eastAsia"/>
          <w:b/>
          <w:szCs w:val="21"/>
        </w:rPr>
      </w:pPr>
      <w:r>
        <w:rPr>
          <w:rFonts w:ascii="新宋体" w:eastAsia="新宋体" w:hAnsi="新宋体" w:cs="宋体" w:hint="eastAsia"/>
          <w:kern w:val="0"/>
          <w:szCs w:val="21"/>
        </w:rPr>
        <w:t>如本理财计划到期(包括提前终止到期和延期终止到期)，青银理财</w:t>
      </w:r>
      <w:r>
        <w:rPr>
          <w:rFonts w:ascii="新宋体" w:eastAsia="新宋体" w:hAnsi="新宋体" w:hint="eastAsia"/>
          <w:szCs w:val="21"/>
        </w:rPr>
        <w:t>将在产品到期日起5个工作日内在青银理财网站</w:t>
      </w:r>
      <w:r>
        <w:rPr>
          <w:rFonts w:ascii="新宋体" w:eastAsia="新宋体" w:hAnsi="新宋体" w:cs="宋体"/>
          <w:kern w:val="0"/>
          <w:szCs w:val="21"/>
        </w:rPr>
        <w:t>或青银理财认为适当的其他方式</w:t>
      </w:r>
      <w:r>
        <w:rPr>
          <w:rFonts w:ascii="新宋体" w:eastAsia="新宋体" w:hAnsi="新宋体" w:hint="eastAsia"/>
          <w:szCs w:val="21"/>
        </w:rPr>
        <w:t>公告本理财产品的到期情况。</w:t>
      </w:r>
      <w:r>
        <w:rPr>
          <w:rFonts w:ascii="新宋体" w:eastAsia="新宋体" w:hAnsi="新宋体" w:hint="eastAsia"/>
          <w:b/>
          <w:szCs w:val="21"/>
        </w:rPr>
        <w:t>青银理财将投资者的到期兑付资金（如有，下同）于到期日（遇非工作日顺延到下一工作日）后2个工作日内划转至投资者指定账户中，该兑付资金在产品到期日至兑付资金到账日期间不计付利息。产品到期日当天暂停交易。</w:t>
      </w:r>
    </w:p>
    <w:p w14:paraId="2D2F6BFC" w14:textId="77777777" w:rsidR="00E14B1C" w:rsidRDefault="003F19C6">
      <w:pPr>
        <w:spacing w:line="276" w:lineRule="auto"/>
        <w:ind w:firstLineChars="200" w:firstLine="422"/>
        <w:jc w:val="left"/>
        <w:rPr>
          <w:rFonts w:ascii="新宋体" w:eastAsia="新宋体" w:hAnsi="新宋体" w:cs="宋体" w:hint="eastAsia"/>
          <w:kern w:val="0"/>
          <w:szCs w:val="21"/>
        </w:rPr>
      </w:pPr>
      <w:r>
        <w:rPr>
          <w:rFonts w:ascii="新宋体" w:eastAsia="新宋体" w:hAnsi="新宋体" w:cs="宋体" w:hint="eastAsia"/>
          <w:b/>
          <w:kern w:val="0"/>
          <w:szCs w:val="21"/>
        </w:rPr>
        <w:t>在理财产品投资运作期间内，投资者无权要求提前终止该理财产品；</w:t>
      </w:r>
      <w:r>
        <w:rPr>
          <w:rFonts w:ascii="新宋体" w:eastAsia="新宋体" w:hAnsi="新宋体" w:hint="eastAsia"/>
          <w:szCs w:val="21"/>
        </w:rPr>
        <w:t>管理人有权按照监管要求或实际投资情况终止本理财产品</w:t>
      </w:r>
      <w:r>
        <w:rPr>
          <w:rFonts w:ascii="新宋体" w:eastAsia="新宋体" w:hAnsi="新宋体" w:cs="宋体" w:hint="eastAsia"/>
          <w:kern w:val="0"/>
          <w:szCs w:val="21"/>
        </w:rPr>
        <w:t>。当青银理财决定提前终止本产品时，将在提前终止日前两个工作日通过青银理财官方网站（</w:t>
      </w:r>
      <w:r>
        <w:rPr>
          <w:rFonts w:ascii="新宋体" w:eastAsia="新宋体" w:hAnsi="新宋体" w:cs="宋体"/>
          <w:kern w:val="0"/>
          <w:szCs w:val="21"/>
        </w:rPr>
        <w:t>www.bqd-wm.com）或青银理财认为适当的其他方式进行公告。提前终止日后将投资者理财资金及理财收益（如有）划入投资者理财账户。提前终止日（含当日）至资金实际到账日之间，投资者资金不计息。</w:t>
      </w:r>
    </w:p>
    <w:p w14:paraId="0F4E65D6"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如出现如下情况，理财管理人有权延期终止本理财产品：</w:t>
      </w:r>
    </w:p>
    <w:p w14:paraId="4DA57A90"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szCs w:val="21"/>
        </w:rPr>
        <w:t>1.产品到期日遇非工作日顺延，投资期限将相应调整；</w:t>
      </w:r>
    </w:p>
    <w:p w14:paraId="605BCC83"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szCs w:val="21"/>
        </w:rPr>
        <w:t>2.预计在本产品到期日，本理财计划所投资的资产因市场风险、信用风险以及其他原因（包括但不限于资产限制赎回、暂停交易、缺乏交易对手）无法全部变现；</w:t>
      </w:r>
    </w:p>
    <w:p w14:paraId="3CC1B480"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szCs w:val="21"/>
        </w:rPr>
        <w:t>3.本产品涉及诉讼或仲裁，且预计诉讼或仲裁及执行程序在本产品到期日尚未终结；</w:t>
      </w:r>
    </w:p>
    <w:p w14:paraId="6E367674" w14:textId="77777777" w:rsidR="00E14B1C" w:rsidRDefault="003F19C6">
      <w:pPr>
        <w:snapToGrid w:val="0"/>
        <w:spacing w:line="276" w:lineRule="auto"/>
        <w:ind w:firstLineChars="200" w:firstLine="420"/>
        <w:jc w:val="left"/>
        <w:rPr>
          <w:rFonts w:ascii="新宋体" w:eastAsia="新宋体" w:hAnsi="新宋体" w:hint="eastAsia"/>
          <w:szCs w:val="21"/>
        </w:rPr>
      </w:pPr>
      <w:r>
        <w:rPr>
          <w:rFonts w:ascii="新宋体" w:eastAsia="新宋体" w:hAnsi="新宋体"/>
          <w:szCs w:val="21"/>
        </w:rPr>
        <w:t>4.法律法规规定的或管理人根据实际情况合理判断有必要延期的其他情形。</w:t>
      </w:r>
    </w:p>
    <w:p w14:paraId="3A6B25D2" w14:textId="77777777" w:rsidR="00E14B1C" w:rsidRDefault="003F19C6">
      <w:pPr>
        <w:spacing w:line="276" w:lineRule="auto"/>
        <w:ind w:firstLineChars="200" w:firstLine="420"/>
        <w:jc w:val="left"/>
        <w:rPr>
          <w:rFonts w:ascii="新宋体" w:eastAsia="新宋体" w:hAnsi="新宋体" w:hint="eastAsia"/>
          <w:szCs w:val="21"/>
        </w:rPr>
      </w:pPr>
      <w:r>
        <w:rPr>
          <w:rFonts w:ascii="新宋体" w:eastAsia="新宋体" w:hAnsi="新宋体" w:hint="eastAsia"/>
          <w:szCs w:val="21"/>
        </w:rPr>
        <w:t>当青银理财决定延期终止本产品时，将在延期终止日前两个工作日通过青银理财官方网站（</w:t>
      </w:r>
      <w:r>
        <w:rPr>
          <w:rFonts w:ascii="新宋体" w:eastAsia="新宋体" w:hAnsi="新宋体"/>
          <w:szCs w:val="21"/>
        </w:rPr>
        <w:t>www.bqd-wm.com）或青银理财认为适当的其他方式进行公告。延期终止日后将投资者理财资金及理财收益（如有）划入投资者理财账户。延期终止日（含当日）至资金实际到账日之间，投资者资金不计息。</w:t>
      </w:r>
    </w:p>
    <w:p w14:paraId="3B96AF7F" w14:textId="77777777" w:rsidR="00E14B1C" w:rsidRDefault="003F19C6">
      <w:pPr>
        <w:spacing w:line="276" w:lineRule="auto"/>
        <w:ind w:firstLineChars="200" w:firstLine="422"/>
        <w:rPr>
          <w:rFonts w:ascii="新宋体" w:eastAsia="新宋体" w:hAnsi="新宋体" w:hint="eastAsia"/>
          <w:b/>
          <w:szCs w:val="21"/>
        </w:rPr>
      </w:pPr>
      <w:r>
        <w:rPr>
          <w:rFonts w:ascii="新宋体" w:eastAsia="新宋体" w:hAnsi="新宋体" w:hint="eastAsia"/>
          <w:b/>
          <w:szCs w:val="21"/>
        </w:rPr>
        <w:t>本理财产品终止情形出现时，由管理人及托管人对产品进行清算及其它法规清算事项。</w:t>
      </w:r>
    </w:p>
    <w:p w14:paraId="4BD1BF6E"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十五、信息披露</w:t>
      </w:r>
    </w:p>
    <w:p w14:paraId="48A9BE1F"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b/>
          <w:szCs w:val="21"/>
        </w:rPr>
        <w:t>1.信息披露渠道</w:t>
      </w:r>
    </w:p>
    <w:p w14:paraId="32EF78F7" w14:textId="2EABFDB0"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本理财计划信息将通过中国理财网（</w:t>
      </w:r>
      <w:r>
        <w:rPr>
          <w:rFonts w:ascii="新宋体" w:eastAsia="新宋体" w:hAnsi="新宋体"/>
          <w:b/>
          <w:szCs w:val="21"/>
        </w:rPr>
        <w:t>www.chinawealth.com.cn）进行披露，同时于产品管理人官方网站（www.bqd-wm.com）或青银理财直销APP或代销机构平台等进行披露，请投资者及时关注。以上相关信息自披露之日即视为已送达投资者，也视为销售服务机构已适当披露代销理财计划相关信息。投资者同意，产品管理人或销售机构通过本协议约定的方式及频率进行信息披露，视为完全履行信息披露义务，如果投资者未及时查询，或由于通讯故障、非青银理财的系统故障以及其他不可抗力等因素的影响使得投资者无法及时了解产品信</w:t>
      </w:r>
      <w:r>
        <w:rPr>
          <w:rFonts w:ascii="新宋体" w:eastAsia="新宋体" w:hAnsi="新宋体" w:hint="eastAsia"/>
          <w:b/>
          <w:szCs w:val="21"/>
        </w:rPr>
        <w:t>息，因此而产生的（包括但不限于因未及时获知信息而错过资金使用和再投资的机会等）责任和风险，不由青银理财方承担。</w:t>
      </w:r>
    </w:p>
    <w:p w14:paraId="28005D12"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b/>
          <w:szCs w:val="21"/>
        </w:rPr>
        <w:t>2</w:t>
      </w:r>
      <w:r>
        <w:rPr>
          <w:rFonts w:ascii="新宋体" w:eastAsia="新宋体" w:hAnsi="新宋体" w:hint="eastAsia"/>
          <w:b/>
          <w:szCs w:val="21"/>
        </w:rPr>
        <w:t>.理财产品运作信息披露</w:t>
      </w:r>
    </w:p>
    <w:p w14:paraId="30FF3E00"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（1）发行公告：本产品成立后5个工作日内，披露本产品成立公告，包括理财产品成立日期和募集规模等信息。</w:t>
      </w:r>
    </w:p>
    <w:p w14:paraId="4AFA6442"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w:t>
      </w:r>
      <w:r>
        <w:rPr>
          <w:rFonts w:ascii="新宋体" w:eastAsia="新宋体" w:hAnsi="新宋体"/>
          <w:b/>
          <w:szCs w:val="21"/>
        </w:rPr>
        <w:t>2）定期公告：本产品在每个季度结束之日起15个工作日内、每年8月31日前、每年4月30日前，披露本产品季度、半年和年度报告等定期报告。产品成立不足90个自然日的，将不编制本产品当期的季度、半年和年度报告。</w:t>
      </w:r>
    </w:p>
    <w:p w14:paraId="02E52527"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（3）到期公告：本产品在终止后5个工作日内，披露本产品到期公告，包括理财产品的存续期限、终止日期、收费情况和收益分配情况等信息。</w:t>
      </w:r>
    </w:p>
    <w:p w14:paraId="2BCEEF3C" w14:textId="77777777" w:rsidR="00E14B1C" w:rsidRDefault="003F19C6">
      <w:pPr>
        <w:snapToGrid w:val="0"/>
        <w:spacing w:line="276" w:lineRule="auto"/>
        <w:ind w:left="397"/>
        <w:jc w:val="left"/>
        <w:rPr>
          <w:rFonts w:ascii="新宋体" w:eastAsia="新宋体" w:hAnsi="新宋体" w:hint="eastAsia"/>
          <w:b/>
          <w:szCs w:val="21"/>
        </w:rPr>
      </w:pPr>
      <w:r>
        <w:rPr>
          <w:rFonts w:ascii="新宋体" w:eastAsia="新宋体" w:hAnsi="新宋体" w:hint="eastAsia"/>
          <w:b/>
          <w:szCs w:val="21"/>
        </w:rPr>
        <w:t>（4）净值公告：本产品每周公布一次产品净值，遇节假日顺延。</w:t>
      </w:r>
    </w:p>
    <w:p w14:paraId="3CBC8EC4"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（5）临时公告：理财产品在运作管理过程中，发生可能对理财产品投资者权益产生影响的事项时，管理人将根据法律法规规定及时进行临时信息披露。</w:t>
      </w:r>
    </w:p>
    <w:p w14:paraId="28BDC800"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w:t>
      </w:r>
      <w:r>
        <w:rPr>
          <w:rFonts w:ascii="新宋体" w:eastAsia="新宋体" w:hAnsi="新宋体"/>
          <w:b/>
          <w:szCs w:val="21"/>
        </w:rPr>
        <w:t>6）重大事项公告。</w:t>
      </w:r>
    </w:p>
    <w:p w14:paraId="13AE76D4"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lastRenderedPageBreak/>
        <w:t>（</w:t>
      </w:r>
      <w:r>
        <w:rPr>
          <w:rFonts w:ascii="新宋体" w:eastAsia="新宋体" w:hAnsi="新宋体"/>
          <w:b/>
          <w:szCs w:val="21"/>
        </w:rPr>
        <w:t>7）国务院银行业监督管理机构规定的其他信息。</w:t>
      </w:r>
    </w:p>
    <w:p w14:paraId="271159CA" w14:textId="77777777" w:rsidR="00E14B1C" w:rsidRDefault="003F19C6">
      <w:pPr>
        <w:snapToGrid w:val="0"/>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w:t>
      </w:r>
      <w:r>
        <w:rPr>
          <w:rFonts w:ascii="新宋体" w:eastAsia="新宋体" w:hAnsi="新宋体"/>
          <w:b/>
          <w:szCs w:val="21"/>
        </w:rPr>
        <w:t>8）产品管理人认为需要披露的其他信息。</w:t>
      </w:r>
    </w:p>
    <w:p w14:paraId="11D1E15A"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b/>
          <w:szCs w:val="21"/>
        </w:rPr>
        <w:t>3</w:t>
      </w:r>
      <w:r>
        <w:rPr>
          <w:rFonts w:ascii="新宋体" w:eastAsia="新宋体" w:hAnsi="新宋体" w:hint="eastAsia"/>
          <w:b/>
          <w:szCs w:val="21"/>
        </w:rPr>
        <w:t>.存续期内，如因国家法律法规发生变化，或是出于维持本理财计划正常运作需要，在不损害投资者利益的前提下，青银理财将提前以公告的形式，对本产品说明书条款进行补充、说明和修改。投资者在此同意，修订后的理财产品说明书对投资者具有法律约束力。请投资者及时通过相关渠道获知有关本理财计划相关信息。如投资者不接受调整，则应及时通过销售服务机构营业网点或网上销售平台赎回本产品（高风险类型的理财产品超出比例范围投资较低风险资产的情况除外），若本产品投资者未赎回本产品，则视为本理财产品投资者对相关调整无异议并同意继续持有本理财产品。</w:t>
      </w:r>
    </w:p>
    <w:p w14:paraId="3BBEF75D"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b/>
          <w:szCs w:val="21"/>
        </w:rPr>
        <w:t>4</w:t>
      </w:r>
      <w:r>
        <w:rPr>
          <w:rFonts w:ascii="新宋体" w:eastAsia="新宋体" w:hAnsi="新宋体" w:hint="eastAsia"/>
          <w:b/>
          <w:szCs w:val="21"/>
        </w:rPr>
        <w:t>.青银理财认为对理财运作或者客户权益有重大影响而需要公布的重要信息，将以公告形式予以通知发布，同时可视情况辅以其它一种或多种方式发布信息，如短信、电话、网点公告等。如投资者不接受重要信息中所述的调整（如有），则应及时通过销售服务机构营业网点或网上销售平台赎回本产品（高风险类型的理财产品超出比例范围投资较低风险资产的情况除外），若本产品投资者未赎回本产品，则视为本理财产品投资者对相关调整无异议并同意继续持有本理财产品。</w:t>
      </w:r>
    </w:p>
    <w:p w14:paraId="28247112" w14:textId="77777777" w:rsidR="00E14B1C" w:rsidRDefault="003F19C6">
      <w:pPr>
        <w:spacing w:line="276" w:lineRule="auto"/>
        <w:ind w:left="397"/>
        <w:jc w:val="left"/>
        <w:rPr>
          <w:rFonts w:ascii="新宋体" w:eastAsia="新宋体" w:hAnsi="新宋体" w:hint="eastAsia"/>
          <w:b/>
          <w:szCs w:val="21"/>
        </w:rPr>
      </w:pPr>
      <w:r>
        <w:rPr>
          <w:rFonts w:ascii="新宋体" w:eastAsia="新宋体" w:hAnsi="新宋体" w:hint="eastAsia"/>
          <w:b/>
          <w:szCs w:val="21"/>
        </w:rPr>
        <w:t>十六、重要提示</w:t>
      </w:r>
    </w:p>
    <w:p w14:paraId="1912818E"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1.请投资者购买本理财计划前一定仔细阅读本理财计划销售文件，包括但不限于：本理财计划对应的理财计划协议书、投资协议书、理财计划说明书、风险揭示书、投资者权益须知等，了解理财计划具体情况，关注投资风险，自主决定是否投资。</w:t>
      </w:r>
    </w:p>
    <w:p w14:paraId="7600D908" w14:textId="77777777" w:rsidR="00E14B1C" w:rsidRDefault="003F19C6">
      <w:pPr>
        <w:spacing w:line="276" w:lineRule="auto"/>
        <w:ind w:firstLineChars="200" w:firstLine="422"/>
        <w:jc w:val="left"/>
        <w:rPr>
          <w:rFonts w:ascii="新宋体" w:eastAsia="新宋体" w:hAnsi="新宋体" w:hint="eastAsia"/>
          <w:b/>
          <w:szCs w:val="21"/>
        </w:rPr>
      </w:pPr>
      <w:r>
        <w:rPr>
          <w:rFonts w:ascii="新宋体" w:eastAsia="新宋体" w:hAnsi="新宋体" w:hint="eastAsia"/>
          <w:b/>
          <w:szCs w:val="21"/>
        </w:rPr>
        <w:t>2.管理人有权按照法律法规和监管要求获知（包括但不限于直接获知、从代销机构获知等）并根据法律法规规定和有权机关之要求提供或报送投资者身份、持有理财计划、理财计划交易等信息。投资者特此授权并同意，在合法、合理、必要原则的基础上，管理人可按照法律法规、有权机关要求和理财业务需要，收集、存储、共享或合理使用投资者身份、持有理财计划、理财计划交易等信息，并要求其他机构履行投资者信息保密义务。</w:t>
      </w:r>
    </w:p>
    <w:p w14:paraId="19930DCE" w14:textId="77777777" w:rsidR="00E14B1C" w:rsidRDefault="003F19C6">
      <w:pPr>
        <w:spacing w:line="276" w:lineRule="auto"/>
        <w:ind w:firstLineChars="200" w:firstLine="422"/>
        <w:jc w:val="left"/>
        <w:rPr>
          <w:rFonts w:ascii="新宋体" w:eastAsia="新宋体" w:hAnsi="新宋体" w:hint="eastAsia"/>
          <w:szCs w:val="21"/>
        </w:rPr>
      </w:pPr>
      <w:r>
        <w:rPr>
          <w:rFonts w:ascii="新宋体" w:eastAsia="新宋体" w:hAnsi="新宋体" w:hint="eastAsia"/>
          <w:b/>
          <w:szCs w:val="21"/>
        </w:rPr>
        <w:t>3.本理财计划说明书在法律许可的范围内由管理人负责解释。如投资者对本理财产品说明书内容有任何异议或意见，请向青银理财机构及各销售渠道进行咨询。</w:t>
      </w:r>
      <w:r>
        <w:rPr>
          <w:rFonts w:ascii="宋体" w:hAnsi="宋体" w:hint="eastAsia"/>
          <w:b/>
          <w:szCs w:val="21"/>
        </w:rPr>
        <w:t>青银理财客服热线</w:t>
      </w:r>
      <w:r>
        <w:rPr>
          <w:rFonts w:ascii="宋体" w:hAnsi="宋体"/>
          <w:b/>
          <w:szCs w:val="21"/>
        </w:rPr>
        <w:t>4000879666。</w:t>
      </w:r>
    </w:p>
    <w:sectPr w:rsidR="00E14B1C">
      <w:footerReference w:type="even" r:id="rId8"/>
      <w:footerReference w:type="default" r:id="rId9"/>
      <w:pgSz w:w="11906" w:h="16838"/>
      <w:pgMar w:top="1440" w:right="1286" w:bottom="1440" w:left="12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C947A" w14:textId="77777777" w:rsidR="00921DFF" w:rsidRDefault="00921DFF">
      <w:r>
        <w:separator/>
      </w:r>
    </w:p>
  </w:endnote>
  <w:endnote w:type="continuationSeparator" w:id="0">
    <w:p w14:paraId="6F0A9B7F" w14:textId="77777777" w:rsidR="00921DFF" w:rsidRDefault="00921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A0E5" w14:textId="77777777" w:rsidR="00E14B1C" w:rsidRDefault="003F19C6">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EF74E7B" w14:textId="77777777" w:rsidR="00E14B1C" w:rsidRDefault="00E14B1C">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26521" w14:textId="77777777" w:rsidR="00E14B1C" w:rsidRDefault="003F19C6">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2C671E">
      <w:rPr>
        <w:rStyle w:val="ae"/>
        <w:noProof/>
      </w:rPr>
      <w:t>1</w:t>
    </w:r>
    <w:r>
      <w:rPr>
        <w:rStyle w:val="ae"/>
      </w:rPr>
      <w:fldChar w:fldCharType="end"/>
    </w:r>
  </w:p>
  <w:p w14:paraId="22EE5C16" w14:textId="77777777" w:rsidR="00E14B1C" w:rsidRDefault="00E14B1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A2E05" w14:textId="77777777" w:rsidR="00921DFF" w:rsidRDefault="00921DFF">
      <w:r>
        <w:separator/>
      </w:r>
    </w:p>
  </w:footnote>
  <w:footnote w:type="continuationSeparator" w:id="0">
    <w:p w14:paraId="5A3F6C54" w14:textId="77777777" w:rsidR="00921DFF" w:rsidRDefault="00921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22766"/>
    <w:multiLevelType w:val="multilevel"/>
    <w:tmpl w:val="15922766"/>
    <w:lvl w:ilvl="0">
      <w:start w:val="2"/>
      <w:numFmt w:val="japaneseCounting"/>
      <w:lvlText w:val="%1、"/>
      <w:lvlJc w:val="left"/>
      <w:pPr>
        <w:ind w:left="847" w:hanging="450"/>
      </w:pPr>
      <w:rPr>
        <w:rFonts w:hint="default"/>
      </w:rPr>
    </w:lvl>
    <w:lvl w:ilvl="1">
      <w:start w:val="1"/>
      <w:numFmt w:val="lowerLetter"/>
      <w:lvlText w:val="%2)"/>
      <w:lvlJc w:val="left"/>
      <w:pPr>
        <w:ind w:left="1237" w:hanging="420"/>
      </w:pPr>
    </w:lvl>
    <w:lvl w:ilvl="2">
      <w:start w:val="1"/>
      <w:numFmt w:val="lowerRoman"/>
      <w:lvlText w:val="%3."/>
      <w:lvlJc w:val="right"/>
      <w:pPr>
        <w:ind w:left="1657" w:hanging="420"/>
      </w:pPr>
    </w:lvl>
    <w:lvl w:ilvl="3">
      <w:start w:val="1"/>
      <w:numFmt w:val="decimal"/>
      <w:lvlText w:val="%4."/>
      <w:lvlJc w:val="left"/>
      <w:pPr>
        <w:ind w:left="2077" w:hanging="420"/>
      </w:pPr>
    </w:lvl>
    <w:lvl w:ilvl="4">
      <w:start w:val="1"/>
      <w:numFmt w:val="lowerLetter"/>
      <w:lvlText w:val="%5)"/>
      <w:lvlJc w:val="left"/>
      <w:pPr>
        <w:ind w:left="2497" w:hanging="420"/>
      </w:pPr>
    </w:lvl>
    <w:lvl w:ilvl="5">
      <w:start w:val="1"/>
      <w:numFmt w:val="lowerRoman"/>
      <w:lvlText w:val="%6."/>
      <w:lvlJc w:val="right"/>
      <w:pPr>
        <w:ind w:left="2917" w:hanging="420"/>
      </w:pPr>
    </w:lvl>
    <w:lvl w:ilvl="6">
      <w:start w:val="1"/>
      <w:numFmt w:val="decimal"/>
      <w:lvlText w:val="%7."/>
      <w:lvlJc w:val="left"/>
      <w:pPr>
        <w:ind w:left="3337" w:hanging="420"/>
      </w:pPr>
    </w:lvl>
    <w:lvl w:ilvl="7">
      <w:start w:val="1"/>
      <w:numFmt w:val="lowerLetter"/>
      <w:lvlText w:val="%8)"/>
      <w:lvlJc w:val="left"/>
      <w:pPr>
        <w:ind w:left="3757" w:hanging="420"/>
      </w:pPr>
    </w:lvl>
    <w:lvl w:ilvl="8">
      <w:start w:val="1"/>
      <w:numFmt w:val="lowerRoman"/>
      <w:lvlText w:val="%9."/>
      <w:lvlJc w:val="right"/>
      <w:pPr>
        <w:ind w:left="4177" w:hanging="420"/>
      </w:pPr>
    </w:lvl>
  </w:abstractNum>
  <w:num w:numId="1" w16cid:durableId="1071318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trackRevisions/>
  <w:doNotTrackMoves/>
  <w:defaultTabStop w:val="420"/>
  <w:drawingGridVerticalSpacing w:val="156"/>
  <w:noPunctuationKerning/>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ViMmFlMWE5NGMyZGM2MTBhNmRmZDk1MzQ0MWRkZTAifQ=="/>
  </w:docVars>
  <w:rsids>
    <w:rsidRoot w:val="000D35EE"/>
    <w:rsid w:val="00002350"/>
    <w:rsid w:val="0000288C"/>
    <w:rsid w:val="00002C32"/>
    <w:rsid w:val="00003AB9"/>
    <w:rsid w:val="000047F9"/>
    <w:rsid w:val="00005C3E"/>
    <w:rsid w:val="00010596"/>
    <w:rsid w:val="00010625"/>
    <w:rsid w:val="00011242"/>
    <w:rsid w:val="00011F44"/>
    <w:rsid w:val="00014C0F"/>
    <w:rsid w:val="0001535B"/>
    <w:rsid w:val="00016055"/>
    <w:rsid w:val="000161AD"/>
    <w:rsid w:val="000161EC"/>
    <w:rsid w:val="0001696B"/>
    <w:rsid w:val="0001712B"/>
    <w:rsid w:val="0001733E"/>
    <w:rsid w:val="00020864"/>
    <w:rsid w:val="000234F5"/>
    <w:rsid w:val="00023AE0"/>
    <w:rsid w:val="00024552"/>
    <w:rsid w:val="00024D5F"/>
    <w:rsid w:val="000253AA"/>
    <w:rsid w:val="000307F0"/>
    <w:rsid w:val="00032118"/>
    <w:rsid w:val="00032983"/>
    <w:rsid w:val="00032A52"/>
    <w:rsid w:val="0003504B"/>
    <w:rsid w:val="00036D19"/>
    <w:rsid w:val="0003754E"/>
    <w:rsid w:val="000378AD"/>
    <w:rsid w:val="00037AA2"/>
    <w:rsid w:val="00037FCD"/>
    <w:rsid w:val="000400D8"/>
    <w:rsid w:val="00041661"/>
    <w:rsid w:val="0004251E"/>
    <w:rsid w:val="00042EB0"/>
    <w:rsid w:val="0004459C"/>
    <w:rsid w:val="0004465C"/>
    <w:rsid w:val="0004537A"/>
    <w:rsid w:val="000461B6"/>
    <w:rsid w:val="00046F6B"/>
    <w:rsid w:val="00047210"/>
    <w:rsid w:val="00047E15"/>
    <w:rsid w:val="00050679"/>
    <w:rsid w:val="00053541"/>
    <w:rsid w:val="00054DA9"/>
    <w:rsid w:val="00056E7B"/>
    <w:rsid w:val="00057830"/>
    <w:rsid w:val="00057894"/>
    <w:rsid w:val="00063BB4"/>
    <w:rsid w:val="00063FA6"/>
    <w:rsid w:val="00064685"/>
    <w:rsid w:val="000654C7"/>
    <w:rsid w:val="00065D55"/>
    <w:rsid w:val="000660AB"/>
    <w:rsid w:val="00066D12"/>
    <w:rsid w:val="00066E40"/>
    <w:rsid w:val="00070621"/>
    <w:rsid w:val="00070A68"/>
    <w:rsid w:val="00070F05"/>
    <w:rsid w:val="000730FC"/>
    <w:rsid w:val="0007377D"/>
    <w:rsid w:val="00073ED0"/>
    <w:rsid w:val="000748CD"/>
    <w:rsid w:val="00074D0B"/>
    <w:rsid w:val="00075445"/>
    <w:rsid w:val="00076270"/>
    <w:rsid w:val="0008140F"/>
    <w:rsid w:val="00083AFE"/>
    <w:rsid w:val="0009042B"/>
    <w:rsid w:val="00090707"/>
    <w:rsid w:val="000966D1"/>
    <w:rsid w:val="00097CB7"/>
    <w:rsid w:val="000A2F8B"/>
    <w:rsid w:val="000A34D6"/>
    <w:rsid w:val="000A3C5A"/>
    <w:rsid w:val="000A3F50"/>
    <w:rsid w:val="000A6B3D"/>
    <w:rsid w:val="000A6E54"/>
    <w:rsid w:val="000A795D"/>
    <w:rsid w:val="000A7ED5"/>
    <w:rsid w:val="000B2AF7"/>
    <w:rsid w:val="000B4554"/>
    <w:rsid w:val="000B5EAE"/>
    <w:rsid w:val="000C19A9"/>
    <w:rsid w:val="000C2E31"/>
    <w:rsid w:val="000C33CB"/>
    <w:rsid w:val="000C5692"/>
    <w:rsid w:val="000C66E4"/>
    <w:rsid w:val="000C6F5C"/>
    <w:rsid w:val="000C7CC2"/>
    <w:rsid w:val="000D00CD"/>
    <w:rsid w:val="000D35EE"/>
    <w:rsid w:val="000D433E"/>
    <w:rsid w:val="000E490D"/>
    <w:rsid w:val="000E5750"/>
    <w:rsid w:val="000E6449"/>
    <w:rsid w:val="000E69E6"/>
    <w:rsid w:val="000E6AC8"/>
    <w:rsid w:val="000E6F26"/>
    <w:rsid w:val="000E7983"/>
    <w:rsid w:val="000F2374"/>
    <w:rsid w:val="000F32AD"/>
    <w:rsid w:val="000F4EDA"/>
    <w:rsid w:val="000F76BD"/>
    <w:rsid w:val="00100E54"/>
    <w:rsid w:val="00101400"/>
    <w:rsid w:val="0010269A"/>
    <w:rsid w:val="00102F31"/>
    <w:rsid w:val="00103C11"/>
    <w:rsid w:val="00104203"/>
    <w:rsid w:val="00104F7A"/>
    <w:rsid w:val="00105743"/>
    <w:rsid w:val="00105CB0"/>
    <w:rsid w:val="001104EE"/>
    <w:rsid w:val="00110FDD"/>
    <w:rsid w:val="00111ABE"/>
    <w:rsid w:val="00113214"/>
    <w:rsid w:val="00114192"/>
    <w:rsid w:val="0011471A"/>
    <w:rsid w:val="001169D8"/>
    <w:rsid w:val="00116CE1"/>
    <w:rsid w:val="00117B45"/>
    <w:rsid w:val="001203CA"/>
    <w:rsid w:val="0012101B"/>
    <w:rsid w:val="001220C1"/>
    <w:rsid w:val="00123FDC"/>
    <w:rsid w:val="00124241"/>
    <w:rsid w:val="0012576F"/>
    <w:rsid w:val="00126FCA"/>
    <w:rsid w:val="00131FEE"/>
    <w:rsid w:val="00132E1C"/>
    <w:rsid w:val="0013335E"/>
    <w:rsid w:val="001333F6"/>
    <w:rsid w:val="00134549"/>
    <w:rsid w:val="00134603"/>
    <w:rsid w:val="00135B0C"/>
    <w:rsid w:val="00145B40"/>
    <w:rsid w:val="00145CCE"/>
    <w:rsid w:val="0014720B"/>
    <w:rsid w:val="00150A63"/>
    <w:rsid w:val="00151357"/>
    <w:rsid w:val="00152CA6"/>
    <w:rsid w:val="00152E6A"/>
    <w:rsid w:val="0015385C"/>
    <w:rsid w:val="0015463A"/>
    <w:rsid w:val="00155CC1"/>
    <w:rsid w:val="00156DD4"/>
    <w:rsid w:val="00160875"/>
    <w:rsid w:val="0016091D"/>
    <w:rsid w:val="001609A2"/>
    <w:rsid w:val="00162709"/>
    <w:rsid w:val="00162B27"/>
    <w:rsid w:val="00163496"/>
    <w:rsid w:val="00163C87"/>
    <w:rsid w:val="00164C27"/>
    <w:rsid w:val="00164D74"/>
    <w:rsid w:val="00165300"/>
    <w:rsid w:val="00165F3D"/>
    <w:rsid w:val="00166E60"/>
    <w:rsid w:val="0016762E"/>
    <w:rsid w:val="00167F96"/>
    <w:rsid w:val="0017131A"/>
    <w:rsid w:val="0017175D"/>
    <w:rsid w:val="00171937"/>
    <w:rsid w:val="0017201F"/>
    <w:rsid w:val="00172278"/>
    <w:rsid w:val="0017271B"/>
    <w:rsid w:val="00172F4D"/>
    <w:rsid w:val="0017308C"/>
    <w:rsid w:val="0017461F"/>
    <w:rsid w:val="001751F4"/>
    <w:rsid w:val="00175333"/>
    <w:rsid w:val="00175782"/>
    <w:rsid w:val="001773B2"/>
    <w:rsid w:val="0018058C"/>
    <w:rsid w:val="00180EF8"/>
    <w:rsid w:val="00181C4C"/>
    <w:rsid w:val="001826B8"/>
    <w:rsid w:val="0018369F"/>
    <w:rsid w:val="001837A3"/>
    <w:rsid w:val="00183AB7"/>
    <w:rsid w:val="00185C58"/>
    <w:rsid w:val="0018614B"/>
    <w:rsid w:val="0018704D"/>
    <w:rsid w:val="00187A34"/>
    <w:rsid w:val="00191E6F"/>
    <w:rsid w:val="0019204D"/>
    <w:rsid w:val="00192943"/>
    <w:rsid w:val="00192C7A"/>
    <w:rsid w:val="00192FDB"/>
    <w:rsid w:val="001931C4"/>
    <w:rsid w:val="00194E75"/>
    <w:rsid w:val="00194F12"/>
    <w:rsid w:val="001951BA"/>
    <w:rsid w:val="00195549"/>
    <w:rsid w:val="0019598D"/>
    <w:rsid w:val="001A1B5F"/>
    <w:rsid w:val="001A2399"/>
    <w:rsid w:val="001A2B6A"/>
    <w:rsid w:val="001A3D0A"/>
    <w:rsid w:val="001A506C"/>
    <w:rsid w:val="001A58B1"/>
    <w:rsid w:val="001A5AD2"/>
    <w:rsid w:val="001A6046"/>
    <w:rsid w:val="001A787B"/>
    <w:rsid w:val="001B09F5"/>
    <w:rsid w:val="001B179C"/>
    <w:rsid w:val="001B17A1"/>
    <w:rsid w:val="001B362B"/>
    <w:rsid w:val="001B372C"/>
    <w:rsid w:val="001B3BC7"/>
    <w:rsid w:val="001B3C1B"/>
    <w:rsid w:val="001B54DB"/>
    <w:rsid w:val="001B72B5"/>
    <w:rsid w:val="001B76D0"/>
    <w:rsid w:val="001C045E"/>
    <w:rsid w:val="001C278B"/>
    <w:rsid w:val="001C393C"/>
    <w:rsid w:val="001C39BD"/>
    <w:rsid w:val="001C470E"/>
    <w:rsid w:val="001C5761"/>
    <w:rsid w:val="001C689D"/>
    <w:rsid w:val="001D23B3"/>
    <w:rsid w:val="001D6DA8"/>
    <w:rsid w:val="001D7C8C"/>
    <w:rsid w:val="001E1974"/>
    <w:rsid w:val="001E2745"/>
    <w:rsid w:val="001E33D4"/>
    <w:rsid w:val="001E3DC4"/>
    <w:rsid w:val="001E57FC"/>
    <w:rsid w:val="001E5E5B"/>
    <w:rsid w:val="001E7D03"/>
    <w:rsid w:val="001F07FB"/>
    <w:rsid w:val="001F1102"/>
    <w:rsid w:val="001F3006"/>
    <w:rsid w:val="001F367B"/>
    <w:rsid w:val="001F4886"/>
    <w:rsid w:val="001F60AC"/>
    <w:rsid w:val="001F66CE"/>
    <w:rsid w:val="00201259"/>
    <w:rsid w:val="00201962"/>
    <w:rsid w:val="00204ABA"/>
    <w:rsid w:val="00205A7E"/>
    <w:rsid w:val="002061C5"/>
    <w:rsid w:val="00210AF1"/>
    <w:rsid w:val="00210C57"/>
    <w:rsid w:val="002115DE"/>
    <w:rsid w:val="0021306E"/>
    <w:rsid w:val="00213F56"/>
    <w:rsid w:val="00213FC0"/>
    <w:rsid w:val="002153BC"/>
    <w:rsid w:val="00215800"/>
    <w:rsid w:val="0021605B"/>
    <w:rsid w:val="00216AF8"/>
    <w:rsid w:val="00216C88"/>
    <w:rsid w:val="002209C6"/>
    <w:rsid w:val="00220A73"/>
    <w:rsid w:val="00220B6D"/>
    <w:rsid w:val="00222A33"/>
    <w:rsid w:val="0022369B"/>
    <w:rsid w:val="0022450E"/>
    <w:rsid w:val="002255BE"/>
    <w:rsid w:val="002255C2"/>
    <w:rsid w:val="00225703"/>
    <w:rsid w:val="00225EA0"/>
    <w:rsid w:val="00230B44"/>
    <w:rsid w:val="002321EC"/>
    <w:rsid w:val="0023233E"/>
    <w:rsid w:val="00233A4D"/>
    <w:rsid w:val="00235363"/>
    <w:rsid w:val="00236B9A"/>
    <w:rsid w:val="002372CA"/>
    <w:rsid w:val="00237401"/>
    <w:rsid w:val="00237D9D"/>
    <w:rsid w:val="00237FC3"/>
    <w:rsid w:val="0024092F"/>
    <w:rsid w:val="002409A6"/>
    <w:rsid w:val="002411CB"/>
    <w:rsid w:val="00243182"/>
    <w:rsid w:val="00244740"/>
    <w:rsid w:val="00244B90"/>
    <w:rsid w:val="0024551D"/>
    <w:rsid w:val="00246878"/>
    <w:rsid w:val="00246E1A"/>
    <w:rsid w:val="00246F16"/>
    <w:rsid w:val="00247123"/>
    <w:rsid w:val="00247CBB"/>
    <w:rsid w:val="00250F96"/>
    <w:rsid w:val="00251943"/>
    <w:rsid w:val="00252462"/>
    <w:rsid w:val="002526D6"/>
    <w:rsid w:val="00252763"/>
    <w:rsid w:val="00254E00"/>
    <w:rsid w:val="00255739"/>
    <w:rsid w:val="00255C87"/>
    <w:rsid w:val="00261776"/>
    <w:rsid w:val="0026328F"/>
    <w:rsid w:val="002634AD"/>
    <w:rsid w:val="00264EC0"/>
    <w:rsid w:val="00265E8A"/>
    <w:rsid w:val="00266ED2"/>
    <w:rsid w:val="00267284"/>
    <w:rsid w:val="0026790C"/>
    <w:rsid w:val="0027030E"/>
    <w:rsid w:val="00270439"/>
    <w:rsid w:val="00270CCF"/>
    <w:rsid w:val="00273831"/>
    <w:rsid w:val="00273B3E"/>
    <w:rsid w:val="00273F7C"/>
    <w:rsid w:val="00275E65"/>
    <w:rsid w:val="002776D8"/>
    <w:rsid w:val="002805CE"/>
    <w:rsid w:val="002807F6"/>
    <w:rsid w:val="002814F3"/>
    <w:rsid w:val="002815B7"/>
    <w:rsid w:val="002818E4"/>
    <w:rsid w:val="00281E83"/>
    <w:rsid w:val="0028321B"/>
    <w:rsid w:val="002839D6"/>
    <w:rsid w:val="002845C0"/>
    <w:rsid w:val="0028782A"/>
    <w:rsid w:val="00287942"/>
    <w:rsid w:val="00291F5D"/>
    <w:rsid w:val="002920DD"/>
    <w:rsid w:val="002963BF"/>
    <w:rsid w:val="00296621"/>
    <w:rsid w:val="00297DD2"/>
    <w:rsid w:val="002A062F"/>
    <w:rsid w:val="002A24E1"/>
    <w:rsid w:val="002A2878"/>
    <w:rsid w:val="002A2FC7"/>
    <w:rsid w:val="002A59A0"/>
    <w:rsid w:val="002A648C"/>
    <w:rsid w:val="002A6B23"/>
    <w:rsid w:val="002A75D1"/>
    <w:rsid w:val="002A7DD4"/>
    <w:rsid w:val="002B33B0"/>
    <w:rsid w:val="002B3426"/>
    <w:rsid w:val="002B4761"/>
    <w:rsid w:val="002B4B71"/>
    <w:rsid w:val="002B753E"/>
    <w:rsid w:val="002C132C"/>
    <w:rsid w:val="002C216A"/>
    <w:rsid w:val="002C30BA"/>
    <w:rsid w:val="002C3270"/>
    <w:rsid w:val="002C3D6A"/>
    <w:rsid w:val="002C48C0"/>
    <w:rsid w:val="002C4C43"/>
    <w:rsid w:val="002C5E3B"/>
    <w:rsid w:val="002C671E"/>
    <w:rsid w:val="002D15C7"/>
    <w:rsid w:val="002D223D"/>
    <w:rsid w:val="002D3366"/>
    <w:rsid w:val="002D365B"/>
    <w:rsid w:val="002D42B9"/>
    <w:rsid w:val="002D4DB0"/>
    <w:rsid w:val="002D51C6"/>
    <w:rsid w:val="002D5F67"/>
    <w:rsid w:val="002D6BE8"/>
    <w:rsid w:val="002D77B4"/>
    <w:rsid w:val="002E0D94"/>
    <w:rsid w:val="002E27D1"/>
    <w:rsid w:val="002E3F6C"/>
    <w:rsid w:val="002E4A33"/>
    <w:rsid w:val="002E4D28"/>
    <w:rsid w:val="002E55DB"/>
    <w:rsid w:val="002F0575"/>
    <w:rsid w:val="002F0C1B"/>
    <w:rsid w:val="002F0E2E"/>
    <w:rsid w:val="002F2232"/>
    <w:rsid w:val="002F22D0"/>
    <w:rsid w:val="002F2D4D"/>
    <w:rsid w:val="002F330B"/>
    <w:rsid w:val="002F334B"/>
    <w:rsid w:val="002F6DE5"/>
    <w:rsid w:val="002F7D18"/>
    <w:rsid w:val="002F7F33"/>
    <w:rsid w:val="00300052"/>
    <w:rsid w:val="00301F6F"/>
    <w:rsid w:val="00303975"/>
    <w:rsid w:val="003040C5"/>
    <w:rsid w:val="003071CA"/>
    <w:rsid w:val="00307BFE"/>
    <w:rsid w:val="00307E6C"/>
    <w:rsid w:val="00310519"/>
    <w:rsid w:val="00310660"/>
    <w:rsid w:val="00310DA1"/>
    <w:rsid w:val="0031396C"/>
    <w:rsid w:val="003166E8"/>
    <w:rsid w:val="0031786C"/>
    <w:rsid w:val="003212FE"/>
    <w:rsid w:val="00322D1C"/>
    <w:rsid w:val="0032348B"/>
    <w:rsid w:val="003234FE"/>
    <w:rsid w:val="00323DE9"/>
    <w:rsid w:val="00324AD0"/>
    <w:rsid w:val="0032699C"/>
    <w:rsid w:val="00330CDA"/>
    <w:rsid w:val="00331E3E"/>
    <w:rsid w:val="003322FC"/>
    <w:rsid w:val="00333751"/>
    <w:rsid w:val="00340FC6"/>
    <w:rsid w:val="00342079"/>
    <w:rsid w:val="0034261D"/>
    <w:rsid w:val="00344395"/>
    <w:rsid w:val="00345015"/>
    <w:rsid w:val="003455CE"/>
    <w:rsid w:val="00345F75"/>
    <w:rsid w:val="003460E4"/>
    <w:rsid w:val="00346224"/>
    <w:rsid w:val="00346F13"/>
    <w:rsid w:val="00347550"/>
    <w:rsid w:val="0035089B"/>
    <w:rsid w:val="003508E1"/>
    <w:rsid w:val="00351FB1"/>
    <w:rsid w:val="00352692"/>
    <w:rsid w:val="00352C6F"/>
    <w:rsid w:val="0035462C"/>
    <w:rsid w:val="00355A42"/>
    <w:rsid w:val="003569F0"/>
    <w:rsid w:val="0035754A"/>
    <w:rsid w:val="00360E36"/>
    <w:rsid w:val="003623C8"/>
    <w:rsid w:val="0036272D"/>
    <w:rsid w:val="003628DE"/>
    <w:rsid w:val="003642ED"/>
    <w:rsid w:val="00365951"/>
    <w:rsid w:val="00365F08"/>
    <w:rsid w:val="0037161C"/>
    <w:rsid w:val="0037305D"/>
    <w:rsid w:val="00373531"/>
    <w:rsid w:val="00373BE4"/>
    <w:rsid w:val="00374ADD"/>
    <w:rsid w:val="00375103"/>
    <w:rsid w:val="00376872"/>
    <w:rsid w:val="003776D4"/>
    <w:rsid w:val="00380782"/>
    <w:rsid w:val="00380FF7"/>
    <w:rsid w:val="0038394F"/>
    <w:rsid w:val="00383AA8"/>
    <w:rsid w:val="00383E52"/>
    <w:rsid w:val="00384EFC"/>
    <w:rsid w:val="00385360"/>
    <w:rsid w:val="00386314"/>
    <w:rsid w:val="00386BCB"/>
    <w:rsid w:val="00387019"/>
    <w:rsid w:val="00387FF4"/>
    <w:rsid w:val="00391FBA"/>
    <w:rsid w:val="00392FC3"/>
    <w:rsid w:val="00393078"/>
    <w:rsid w:val="003945E3"/>
    <w:rsid w:val="00394FD4"/>
    <w:rsid w:val="00395542"/>
    <w:rsid w:val="003A1BC1"/>
    <w:rsid w:val="003A42DB"/>
    <w:rsid w:val="003A5212"/>
    <w:rsid w:val="003A643C"/>
    <w:rsid w:val="003A6615"/>
    <w:rsid w:val="003A670E"/>
    <w:rsid w:val="003A6F72"/>
    <w:rsid w:val="003A7393"/>
    <w:rsid w:val="003A7B88"/>
    <w:rsid w:val="003B1209"/>
    <w:rsid w:val="003B1300"/>
    <w:rsid w:val="003B2077"/>
    <w:rsid w:val="003B3382"/>
    <w:rsid w:val="003B3695"/>
    <w:rsid w:val="003B3E15"/>
    <w:rsid w:val="003B3E3C"/>
    <w:rsid w:val="003B490A"/>
    <w:rsid w:val="003C0018"/>
    <w:rsid w:val="003C167D"/>
    <w:rsid w:val="003C25AE"/>
    <w:rsid w:val="003C357D"/>
    <w:rsid w:val="003C3D10"/>
    <w:rsid w:val="003C6AEE"/>
    <w:rsid w:val="003D1248"/>
    <w:rsid w:val="003D13A0"/>
    <w:rsid w:val="003D1773"/>
    <w:rsid w:val="003D1CB7"/>
    <w:rsid w:val="003D1E0B"/>
    <w:rsid w:val="003D1F18"/>
    <w:rsid w:val="003D42C7"/>
    <w:rsid w:val="003D6948"/>
    <w:rsid w:val="003D6EE5"/>
    <w:rsid w:val="003E01FE"/>
    <w:rsid w:val="003E2CC3"/>
    <w:rsid w:val="003E41EB"/>
    <w:rsid w:val="003E4667"/>
    <w:rsid w:val="003E55A9"/>
    <w:rsid w:val="003E5AD1"/>
    <w:rsid w:val="003E7804"/>
    <w:rsid w:val="003F1562"/>
    <w:rsid w:val="003F19C6"/>
    <w:rsid w:val="003F4F58"/>
    <w:rsid w:val="003F51CB"/>
    <w:rsid w:val="003F5220"/>
    <w:rsid w:val="003F5500"/>
    <w:rsid w:val="003F60EE"/>
    <w:rsid w:val="00402E7C"/>
    <w:rsid w:val="004040B8"/>
    <w:rsid w:val="00406493"/>
    <w:rsid w:val="00406B73"/>
    <w:rsid w:val="00406C8C"/>
    <w:rsid w:val="0040707A"/>
    <w:rsid w:val="004115A7"/>
    <w:rsid w:val="00413754"/>
    <w:rsid w:val="00414D25"/>
    <w:rsid w:val="00416954"/>
    <w:rsid w:val="00420398"/>
    <w:rsid w:val="00420C0B"/>
    <w:rsid w:val="00421632"/>
    <w:rsid w:val="00422B15"/>
    <w:rsid w:val="00423E16"/>
    <w:rsid w:val="004245D9"/>
    <w:rsid w:val="00424AE1"/>
    <w:rsid w:val="00424EA1"/>
    <w:rsid w:val="0042623C"/>
    <w:rsid w:val="00426FD8"/>
    <w:rsid w:val="00427D6E"/>
    <w:rsid w:val="0043261F"/>
    <w:rsid w:val="00432B6F"/>
    <w:rsid w:val="0043358F"/>
    <w:rsid w:val="00433CE5"/>
    <w:rsid w:val="00434506"/>
    <w:rsid w:val="00434652"/>
    <w:rsid w:val="00434B30"/>
    <w:rsid w:val="00435E08"/>
    <w:rsid w:val="0043770E"/>
    <w:rsid w:val="00440CB9"/>
    <w:rsid w:val="00443806"/>
    <w:rsid w:val="00443DC7"/>
    <w:rsid w:val="00444844"/>
    <w:rsid w:val="00445B1C"/>
    <w:rsid w:val="004468D2"/>
    <w:rsid w:val="00446C7F"/>
    <w:rsid w:val="00446D35"/>
    <w:rsid w:val="00447A67"/>
    <w:rsid w:val="0045058A"/>
    <w:rsid w:val="00452196"/>
    <w:rsid w:val="004522FC"/>
    <w:rsid w:val="0045292F"/>
    <w:rsid w:val="00452C35"/>
    <w:rsid w:val="00453583"/>
    <w:rsid w:val="00453ACB"/>
    <w:rsid w:val="00453CB4"/>
    <w:rsid w:val="00454631"/>
    <w:rsid w:val="0045650A"/>
    <w:rsid w:val="00457745"/>
    <w:rsid w:val="0045794C"/>
    <w:rsid w:val="00464926"/>
    <w:rsid w:val="00466F4E"/>
    <w:rsid w:val="00467F74"/>
    <w:rsid w:val="00472D6D"/>
    <w:rsid w:val="00473568"/>
    <w:rsid w:val="004735A8"/>
    <w:rsid w:val="00473DA9"/>
    <w:rsid w:val="00474B4C"/>
    <w:rsid w:val="004758E8"/>
    <w:rsid w:val="00476932"/>
    <w:rsid w:val="004769FB"/>
    <w:rsid w:val="004770C2"/>
    <w:rsid w:val="0048050B"/>
    <w:rsid w:val="00481902"/>
    <w:rsid w:val="00481DB1"/>
    <w:rsid w:val="004839B6"/>
    <w:rsid w:val="0048634D"/>
    <w:rsid w:val="00486D9D"/>
    <w:rsid w:val="00487746"/>
    <w:rsid w:val="00487CE3"/>
    <w:rsid w:val="004945C0"/>
    <w:rsid w:val="00494F9F"/>
    <w:rsid w:val="0049558D"/>
    <w:rsid w:val="00496753"/>
    <w:rsid w:val="004A0871"/>
    <w:rsid w:val="004A14A0"/>
    <w:rsid w:val="004A1876"/>
    <w:rsid w:val="004A4C7F"/>
    <w:rsid w:val="004A5D16"/>
    <w:rsid w:val="004A66D5"/>
    <w:rsid w:val="004A7DF2"/>
    <w:rsid w:val="004B1F2D"/>
    <w:rsid w:val="004B447E"/>
    <w:rsid w:val="004B5CAB"/>
    <w:rsid w:val="004B5DA8"/>
    <w:rsid w:val="004C1D0E"/>
    <w:rsid w:val="004C2F39"/>
    <w:rsid w:val="004C33B9"/>
    <w:rsid w:val="004C3DAF"/>
    <w:rsid w:val="004C445D"/>
    <w:rsid w:val="004C6727"/>
    <w:rsid w:val="004C7636"/>
    <w:rsid w:val="004D0A95"/>
    <w:rsid w:val="004D14DA"/>
    <w:rsid w:val="004D1E90"/>
    <w:rsid w:val="004D2E3A"/>
    <w:rsid w:val="004D3EED"/>
    <w:rsid w:val="004D503D"/>
    <w:rsid w:val="004D6F5B"/>
    <w:rsid w:val="004D791E"/>
    <w:rsid w:val="004D7B44"/>
    <w:rsid w:val="004E0614"/>
    <w:rsid w:val="004E08E2"/>
    <w:rsid w:val="004E0C57"/>
    <w:rsid w:val="004E2618"/>
    <w:rsid w:val="004E28B9"/>
    <w:rsid w:val="004E42ED"/>
    <w:rsid w:val="004E4AF0"/>
    <w:rsid w:val="004E4DD5"/>
    <w:rsid w:val="004E5D6D"/>
    <w:rsid w:val="004F0649"/>
    <w:rsid w:val="004F15A2"/>
    <w:rsid w:val="004F1F18"/>
    <w:rsid w:val="004F283E"/>
    <w:rsid w:val="004F3C44"/>
    <w:rsid w:val="004F485A"/>
    <w:rsid w:val="004F4FE2"/>
    <w:rsid w:val="004F5B0C"/>
    <w:rsid w:val="00500304"/>
    <w:rsid w:val="0050245D"/>
    <w:rsid w:val="00502839"/>
    <w:rsid w:val="005028A8"/>
    <w:rsid w:val="00504DE0"/>
    <w:rsid w:val="005062AD"/>
    <w:rsid w:val="00506632"/>
    <w:rsid w:val="00507284"/>
    <w:rsid w:val="005109CF"/>
    <w:rsid w:val="00511B5D"/>
    <w:rsid w:val="005124D4"/>
    <w:rsid w:val="00514143"/>
    <w:rsid w:val="00514E0B"/>
    <w:rsid w:val="005155C2"/>
    <w:rsid w:val="005159D3"/>
    <w:rsid w:val="00516329"/>
    <w:rsid w:val="00517CDF"/>
    <w:rsid w:val="0052105D"/>
    <w:rsid w:val="00521A5F"/>
    <w:rsid w:val="00522443"/>
    <w:rsid w:val="00522FD2"/>
    <w:rsid w:val="00523E38"/>
    <w:rsid w:val="0052455B"/>
    <w:rsid w:val="00524D92"/>
    <w:rsid w:val="0052537A"/>
    <w:rsid w:val="0052545C"/>
    <w:rsid w:val="0052579A"/>
    <w:rsid w:val="00525DEF"/>
    <w:rsid w:val="00526899"/>
    <w:rsid w:val="005279C9"/>
    <w:rsid w:val="00530C1B"/>
    <w:rsid w:val="005311B0"/>
    <w:rsid w:val="005317B8"/>
    <w:rsid w:val="00532B50"/>
    <w:rsid w:val="00534498"/>
    <w:rsid w:val="00535E43"/>
    <w:rsid w:val="00536431"/>
    <w:rsid w:val="00540BD4"/>
    <w:rsid w:val="0054116D"/>
    <w:rsid w:val="00542302"/>
    <w:rsid w:val="0054238C"/>
    <w:rsid w:val="005436E1"/>
    <w:rsid w:val="00543B07"/>
    <w:rsid w:val="00544937"/>
    <w:rsid w:val="00547177"/>
    <w:rsid w:val="00547FA8"/>
    <w:rsid w:val="00550DA7"/>
    <w:rsid w:val="00551BCA"/>
    <w:rsid w:val="00552675"/>
    <w:rsid w:val="005538FC"/>
    <w:rsid w:val="00554716"/>
    <w:rsid w:val="0055597C"/>
    <w:rsid w:val="00562484"/>
    <w:rsid w:val="005629B0"/>
    <w:rsid w:val="0056540B"/>
    <w:rsid w:val="00567ABA"/>
    <w:rsid w:val="0057021D"/>
    <w:rsid w:val="00571A49"/>
    <w:rsid w:val="00572775"/>
    <w:rsid w:val="0057279B"/>
    <w:rsid w:val="0057439F"/>
    <w:rsid w:val="00575341"/>
    <w:rsid w:val="0057585B"/>
    <w:rsid w:val="005759C9"/>
    <w:rsid w:val="00576118"/>
    <w:rsid w:val="0057689A"/>
    <w:rsid w:val="00580E14"/>
    <w:rsid w:val="005847A3"/>
    <w:rsid w:val="00584AFC"/>
    <w:rsid w:val="0058590D"/>
    <w:rsid w:val="00586046"/>
    <w:rsid w:val="0058793A"/>
    <w:rsid w:val="005901A3"/>
    <w:rsid w:val="00591FFC"/>
    <w:rsid w:val="00592811"/>
    <w:rsid w:val="00592D34"/>
    <w:rsid w:val="00592D7E"/>
    <w:rsid w:val="005943AC"/>
    <w:rsid w:val="00594786"/>
    <w:rsid w:val="00594B51"/>
    <w:rsid w:val="00594E45"/>
    <w:rsid w:val="005A200A"/>
    <w:rsid w:val="005A28AC"/>
    <w:rsid w:val="005A3CCB"/>
    <w:rsid w:val="005A3D13"/>
    <w:rsid w:val="005A42F2"/>
    <w:rsid w:val="005A6026"/>
    <w:rsid w:val="005B0EA4"/>
    <w:rsid w:val="005B1376"/>
    <w:rsid w:val="005B1561"/>
    <w:rsid w:val="005B2288"/>
    <w:rsid w:val="005B2F28"/>
    <w:rsid w:val="005B36B4"/>
    <w:rsid w:val="005B39C5"/>
    <w:rsid w:val="005B607F"/>
    <w:rsid w:val="005B6128"/>
    <w:rsid w:val="005B642A"/>
    <w:rsid w:val="005B7250"/>
    <w:rsid w:val="005B769A"/>
    <w:rsid w:val="005B7A45"/>
    <w:rsid w:val="005C1210"/>
    <w:rsid w:val="005C26C7"/>
    <w:rsid w:val="005C2A3A"/>
    <w:rsid w:val="005C4602"/>
    <w:rsid w:val="005C50D7"/>
    <w:rsid w:val="005C5C27"/>
    <w:rsid w:val="005C5E97"/>
    <w:rsid w:val="005D10BD"/>
    <w:rsid w:val="005D1EEC"/>
    <w:rsid w:val="005D43D4"/>
    <w:rsid w:val="005D4E10"/>
    <w:rsid w:val="005D5098"/>
    <w:rsid w:val="005D5232"/>
    <w:rsid w:val="005D59C1"/>
    <w:rsid w:val="005D6E5C"/>
    <w:rsid w:val="005D70E8"/>
    <w:rsid w:val="005E000B"/>
    <w:rsid w:val="005E0572"/>
    <w:rsid w:val="005E0A3E"/>
    <w:rsid w:val="005E1B33"/>
    <w:rsid w:val="005E1F0F"/>
    <w:rsid w:val="005E2CCA"/>
    <w:rsid w:val="005E3B56"/>
    <w:rsid w:val="005E416C"/>
    <w:rsid w:val="005E4695"/>
    <w:rsid w:val="005E5AEA"/>
    <w:rsid w:val="005E61D2"/>
    <w:rsid w:val="005E71AD"/>
    <w:rsid w:val="005E7D64"/>
    <w:rsid w:val="005F0227"/>
    <w:rsid w:val="005F08A5"/>
    <w:rsid w:val="005F098E"/>
    <w:rsid w:val="005F183D"/>
    <w:rsid w:val="005F2BCD"/>
    <w:rsid w:val="005F3048"/>
    <w:rsid w:val="005F500F"/>
    <w:rsid w:val="005F66EB"/>
    <w:rsid w:val="005F7838"/>
    <w:rsid w:val="00600EA7"/>
    <w:rsid w:val="00601991"/>
    <w:rsid w:val="00601B7E"/>
    <w:rsid w:val="00601BD9"/>
    <w:rsid w:val="00603A9E"/>
    <w:rsid w:val="00604544"/>
    <w:rsid w:val="00604B77"/>
    <w:rsid w:val="006063C0"/>
    <w:rsid w:val="00606A88"/>
    <w:rsid w:val="006074FB"/>
    <w:rsid w:val="00610A9A"/>
    <w:rsid w:val="00610D26"/>
    <w:rsid w:val="006112F3"/>
    <w:rsid w:val="00613E6B"/>
    <w:rsid w:val="00614403"/>
    <w:rsid w:val="0062049B"/>
    <w:rsid w:val="0062060B"/>
    <w:rsid w:val="00620AD3"/>
    <w:rsid w:val="0062152B"/>
    <w:rsid w:val="0062198A"/>
    <w:rsid w:val="006219AB"/>
    <w:rsid w:val="00623560"/>
    <w:rsid w:val="00625831"/>
    <w:rsid w:val="00627DD3"/>
    <w:rsid w:val="006311C0"/>
    <w:rsid w:val="00631260"/>
    <w:rsid w:val="00631311"/>
    <w:rsid w:val="00631A62"/>
    <w:rsid w:val="00631C66"/>
    <w:rsid w:val="00632A82"/>
    <w:rsid w:val="00633786"/>
    <w:rsid w:val="00633CD0"/>
    <w:rsid w:val="006401B7"/>
    <w:rsid w:val="0064041A"/>
    <w:rsid w:val="00641A15"/>
    <w:rsid w:val="00642527"/>
    <w:rsid w:val="006439D3"/>
    <w:rsid w:val="006439ED"/>
    <w:rsid w:val="00644828"/>
    <w:rsid w:val="00646ADB"/>
    <w:rsid w:val="00651638"/>
    <w:rsid w:val="006517D3"/>
    <w:rsid w:val="006525FC"/>
    <w:rsid w:val="00652B36"/>
    <w:rsid w:val="0065358B"/>
    <w:rsid w:val="00653A64"/>
    <w:rsid w:val="00655598"/>
    <w:rsid w:val="0065620E"/>
    <w:rsid w:val="00656C14"/>
    <w:rsid w:val="006600EB"/>
    <w:rsid w:val="00661632"/>
    <w:rsid w:val="006617F2"/>
    <w:rsid w:val="00661890"/>
    <w:rsid w:val="00662BE6"/>
    <w:rsid w:val="00665190"/>
    <w:rsid w:val="006670B8"/>
    <w:rsid w:val="00670003"/>
    <w:rsid w:val="00670C6B"/>
    <w:rsid w:val="00672D6F"/>
    <w:rsid w:val="00672E5C"/>
    <w:rsid w:val="00673329"/>
    <w:rsid w:val="0067419C"/>
    <w:rsid w:val="00675566"/>
    <w:rsid w:val="00677966"/>
    <w:rsid w:val="0068134E"/>
    <w:rsid w:val="006828F0"/>
    <w:rsid w:val="00683900"/>
    <w:rsid w:val="006845C8"/>
    <w:rsid w:val="00685735"/>
    <w:rsid w:val="00690000"/>
    <w:rsid w:val="00691636"/>
    <w:rsid w:val="00691D49"/>
    <w:rsid w:val="00693AE3"/>
    <w:rsid w:val="00693D97"/>
    <w:rsid w:val="00693F99"/>
    <w:rsid w:val="0069507F"/>
    <w:rsid w:val="006A0E22"/>
    <w:rsid w:val="006A103F"/>
    <w:rsid w:val="006A13A0"/>
    <w:rsid w:val="006A27C6"/>
    <w:rsid w:val="006A2E9D"/>
    <w:rsid w:val="006A6624"/>
    <w:rsid w:val="006A7AAF"/>
    <w:rsid w:val="006A7E36"/>
    <w:rsid w:val="006B010D"/>
    <w:rsid w:val="006B29F6"/>
    <w:rsid w:val="006B328C"/>
    <w:rsid w:val="006B37C3"/>
    <w:rsid w:val="006B3F97"/>
    <w:rsid w:val="006B4CDB"/>
    <w:rsid w:val="006B5174"/>
    <w:rsid w:val="006B5918"/>
    <w:rsid w:val="006B594A"/>
    <w:rsid w:val="006B74C5"/>
    <w:rsid w:val="006B7897"/>
    <w:rsid w:val="006C0E66"/>
    <w:rsid w:val="006C0E91"/>
    <w:rsid w:val="006C2221"/>
    <w:rsid w:val="006C252C"/>
    <w:rsid w:val="006C264D"/>
    <w:rsid w:val="006C2846"/>
    <w:rsid w:val="006C4045"/>
    <w:rsid w:val="006C4508"/>
    <w:rsid w:val="006C51B8"/>
    <w:rsid w:val="006C6C0A"/>
    <w:rsid w:val="006C70C9"/>
    <w:rsid w:val="006C7929"/>
    <w:rsid w:val="006D004A"/>
    <w:rsid w:val="006D0237"/>
    <w:rsid w:val="006D0F44"/>
    <w:rsid w:val="006D1344"/>
    <w:rsid w:val="006D281A"/>
    <w:rsid w:val="006D3C46"/>
    <w:rsid w:val="006D479A"/>
    <w:rsid w:val="006D48A1"/>
    <w:rsid w:val="006D6244"/>
    <w:rsid w:val="006D6488"/>
    <w:rsid w:val="006D7EAA"/>
    <w:rsid w:val="006E03D3"/>
    <w:rsid w:val="006E198B"/>
    <w:rsid w:val="006E330B"/>
    <w:rsid w:val="006E37E9"/>
    <w:rsid w:val="006E518C"/>
    <w:rsid w:val="006E5750"/>
    <w:rsid w:val="006E5F8F"/>
    <w:rsid w:val="006E614C"/>
    <w:rsid w:val="006E6864"/>
    <w:rsid w:val="006E7DF5"/>
    <w:rsid w:val="006F203A"/>
    <w:rsid w:val="006F3DFC"/>
    <w:rsid w:val="006F4069"/>
    <w:rsid w:val="006F5867"/>
    <w:rsid w:val="006F7A74"/>
    <w:rsid w:val="00700C42"/>
    <w:rsid w:val="00701908"/>
    <w:rsid w:val="0070256B"/>
    <w:rsid w:val="00702AEE"/>
    <w:rsid w:val="007034B5"/>
    <w:rsid w:val="00703DC8"/>
    <w:rsid w:val="00704DD0"/>
    <w:rsid w:val="0070589B"/>
    <w:rsid w:val="00705DE2"/>
    <w:rsid w:val="00706716"/>
    <w:rsid w:val="0070685D"/>
    <w:rsid w:val="00710FBA"/>
    <w:rsid w:val="007128C7"/>
    <w:rsid w:val="007138E5"/>
    <w:rsid w:val="0071639C"/>
    <w:rsid w:val="0071799E"/>
    <w:rsid w:val="00723361"/>
    <w:rsid w:val="007237A6"/>
    <w:rsid w:val="00723A85"/>
    <w:rsid w:val="00723EB8"/>
    <w:rsid w:val="00724C85"/>
    <w:rsid w:val="00725E99"/>
    <w:rsid w:val="00727751"/>
    <w:rsid w:val="007309D1"/>
    <w:rsid w:val="00730E21"/>
    <w:rsid w:val="00730FA5"/>
    <w:rsid w:val="0073136D"/>
    <w:rsid w:val="00732C1A"/>
    <w:rsid w:val="00733383"/>
    <w:rsid w:val="007339AE"/>
    <w:rsid w:val="007343C5"/>
    <w:rsid w:val="007363CD"/>
    <w:rsid w:val="00736DD3"/>
    <w:rsid w:val="007377D1"/>
    <w:rsid w:val="00740410"/>
    <w:rsid w:val="00741B40"/>
    <w:rsid w:val="0074299A"/>
    <w:rsid w:val="00742D24"/>
    <w:rsid w:val="007437A1"/>
    <w:rsid w:val="007464DF"/>
    <w:rsid w:val="00746DFF"/>
    <w:rsid w:val="00746E06"/>
    <w:rsid w:val="00750614"/>
    <w:rsid w:val="0075297D"/>
    <w:rsid w:val="00754F43"/>
    <w:rsid w:val="0075572F"/>
    <w:rsid w:val="00755C4A"/>
    <w:rsid w:val="007572EC"/>
    <w:rsid w:val="0076022E"/>
    <w:rsid w:val="007614C7"/>
    <w:rsid w:val="0076261D"/>
    <w:rsid w:val="00762899"/>
    <w:rsid w:val="00764929"/>
    <w:rsid w:val="00765117"/>
    <w:rsid w:val="007658B5"/>
    <w:rsid w:val="00765E57"/>
    <w:rsid w:val="0077088E"/>
    <w:rsid w:val="00771252"/>
    <w:rsid w:val="0077679D"/>
    <w:rsid w:val="007776BA"/>
    <w:rsid w:val="00777EB5"/>
    <w:rsid w:val="00780A21"/>
    <w:rsid w:val="007825D8"/>
    <w:rsid w:val="0078291B"/>
    <w:rsid w:val="00783260"/>
    <w:rsid w:val="00784156"/>
    <w:rsid w:val="00787ED5"/>
    <w:rsid w:val="00787F9C"/>
    <w:rsid w:val="00790F8A"/>
    <w:rsid w:val="00792E8A"/>
    <w:rsid w:val="00795381"/>
    <w:rsid w:val="0079611C"/>
    <w:rsid w:val="0079630F"/>
    <w:rsid w:val="0079739D"/>
    <w:rsid w:val="007A1E7B"/>
    <w:rsid w:val="007A35DA"/>
    <w:rsid w:val="007A611E"/>
    <w:rsid w:val="007A6239"/>
    <w:rsid w:val="007A68A8"/>
    <w:rsid w:val="007B197B"/>
    <w:rsid w:val="007B390A"/>
    <w:rsid w:val="007B5379"/>
    <w:rsid w:val="007B5BE8"/>
    <w:rsid w:val="007B5F88"/>
    <w:rsid w:val="007C070A"/>
    <w:rsid w:val="007C2081"/>
    <w:rsid w:val="007C31F6"/>
    <w:rsid w:val="007C447E"/>
    <w:rsid w:val="007C4529"/>
    <w:rsid w:val="007C4949"/>
    <w:rsid w:val="007C555E"/>
    <w:rsid w:val="007C5EE8"/>
    <w:rsid w:val="007C6C17"/>
    <w:rsid w:val="007C7509"/>
    <w:rsid w:val="007C7EC5"/>
    <w:rsid w:val="007D0422"/>
    <w:rsid w:val="007D2ABC"/>
    <w:rsid w:val="007D6003"/>
    <w:rsid w:val="007D7A8B"/>
    <w:rsid w:val="007E03A5"/>
    <w:rsid w:val="007E1211"/>
    <w:rsid w:val="007E3BB0"/>
    <w:rsid w:val="007E41B3"/>
    <w:rsid w:val="007E45F5"/>
    <w:rsid w:val="007E59F3"/>
    <w:rsid w:val="007E7689"/>
    <w:rsid w:val="007F1C9E"/>
    <w:rsid w:val="007F2ACD"/>
    <w:rsid w:val="007F2FE6"/>
    <w:rsid w:val="007F41A8"/>
    <w:rsid w:val="007F522B"/>
    <w:rsid w:val="007F603B"/>
    <w:rsid w:val="007F7121"/>
    <w:rsid w:val="008002D6"/>
    <w:rsid w:val="008008B3"/>
    <w:rsid w:val="008025D0"/>
    <w:rsid w:val="008037BF"/>
    <w:rsid w:val="0080396D"/>
    <w:rsid w:val="00803994"/>
    <w:rsid w:val="0080600A"/>
    <w:rsid w:val="00807406"/>
    <w:rsid w:val="00807410"/>
    <w:rsid w:val="008078C4"/>
    <w:rsid w:val="00811070"/>
    <w:rsid w:val="00813CC6"/>
    <w:rsid w:val="00813CF0"/>
    <w:rsid w:val="00814ACA"/>
    <w:rsid w:val="00815309"/>
    <w:rsid w:val="00815BE7"/>
    <w:rsid w:val="00816328"/>
    <w:rsid w:val="0081645E"/>
    <w:rsid w:val="008219D9"/>
    <w:rsid w:val="00822428"/>
    <w:rsid w:val="00822ADE"/>
    <w:rsid w:val="008233CB"/>
    <w:rsid w:val="0082375A"/>
    <w:rsid w:val="00824330"/>
    <w:rsid w:val="00824774"/>
    <w:rsid w:val="008253F5"/>
    <w:rsid w:val="00825F74"/>
    <w:rsid w:val="00825F7F"/>
    <w:rsid w:val="00826DD3"/>
    <w:rsid w:val="00827C4A"/>
    <w:rsid w:val="0083156D"/>
    <w:rsid w:val="00832FF1"/>
    <w:rsid w:val="00834403"/>
    <w:rsid w:val="00834F7C"/>
    <w:rsid w:val="0083710C"/>
    <w:rsid w:val="008405D7"/>
    <w:rsid w:val="008414A7"/>
    <w:rsid w:val="00842671"/>
    <w:rsid w:val="00842CD1"/>
    <w:rsid w:val="00843C2B"/>
    <w:rsid w:val="00845F26"/>
    <w:rsid w:val="008460D7"/>
    <w:rsid w:val="00846CC8"/>
    <w:rsid w:val="00846E34"/>
    <w:rsid w:val="00847464"/>
    <w:rsid w:val="0085000D"/>
    <w:rsid w:val="00850FD3"/>
    <w:rsid w:val="00852377"/>
    <w:rsid w:val="00852726"/>
    <w:rsid w:val="00852B60"/>
    <w:rsid w:val="00853B5B"/>
    <w:rsid w:val="00853E32"/>
    <w:rsid w:val="00854E95"/>
    <w:rsid w:val="0085615D"/>
    <w:rsid w:val="00856646"/>
    <w:rsid w:val="00856C16"/>
    <w:rsid w:val="00860924"/>
    <w:rsid w:val="00861A21"/>
    <w:rsid w:val="00861DE0"/>
    <w:rsid w:val="00862954"/>
    <w:rsid w:val="00863919"/>
    <w:rsid w:val="00864BCD"/>
    <w:rsid w:val="00865D21"/>
    <w:rsid w:val="00866366"/>
    <w:rsid w:val="0087047E"/>
    <w:rsid w:val="008705FB"/>
    <w:rsid w:val="00870AF2"/>
    <w:rsid w:val="00870BBE"/>
    <w:rsid w:val="00870BEE"/>
    <w:rsid w:val="008717E3"/>
    <w:rsid w:val="00871F2F"/>
    <w:rsid w:val="00876B72"/>
    <w:rsid w:val="00876F89"/>
    <w:rsid w:val="008805DE"/>
    <w:rsid w:val="008814E2"/>
    <w:rsid w:val="00881669"/>
    <w:rsid w:val="00881785"/>
    <w:rsid w:val="00881FFD"/>
    <w:rsid w:val="008834A9"/>
    <w:rsid w:val="008847BF"/>
    <w:rsid w:val="008853AE"/>
    <w:rsid w:val="00885BB4"/>
    <w:rsid w:val="008860FE"/>
    <w:rsid w:val="00886AC2"/>
    <w:rsid w:val="00887B9D"/>
    <w:rsid w:val="00893251"/>
    <w:rsid w:val="00893B00"/>
    <w:rsid w:val="00893FF4"/>
    <w:rsid w:val="00894157"/>
    <w:rsid w:val="00894546"/>
    <w:rsid w:val="0089457C"/>
    <w:rsid w:val="008962F8"/>
    <w:rsid w:val="008A1316"/>
    <w:rsid w:val="008A1C9B"/>
    <w:rsid w:val="008A2A2F"/>
    <w:rsid w:val="008A3692"/>
    <w:rsid w:val="008A5D14"/>
    <w:rsid w:val="008A6173"/>
    <w:rsid w:val="008A61D0"/>
    <w:rsid w:val="008B0644"/>
    <w:rsid w:val="008B1EB5"/>
    <w:rsid w:val="008B3A66"/>
    <w:rsid w:val="008B40D4"/>
    <w:rsid w:val="008B4439"/>
    <w:rsid w:val="008B4734"/>
    <w:rsid w:val="008B5B70"/>
    <w:rsid w:val="008B5EAC"/>
    <w:rsid w:val="008B66F0"/>
    <w:rsid w:val="008B72C4"/>
    <w:rsid w:val="008C081B"/>
    <w:rsid w:val="008C3E9E"/>
    <w:rsid w:val="008C48F4"/>
    <w:rsid w:val="008C4DE5"/>
    <w:rsid w:val="008C53DF"/>
    <w:rsid w:val="008C6484"/>
    <w:rsid w:val="008C6639"/>
    <w:rsid w:val="008C6A23"/>
    <w:rsid w:val="008C7F4E"/>
    <w:rsid w:val="008C7FBF"/>
    <w:rsid w:val="008D0779"/>
    <w:rsid w:val="008D1513"/>
    <w:rsid w:val="008D25F9"/>
    <w:rsid w:val="008D28EF"/>
    <w:rsid w:val="008D3937"/>
    <w:rsid w:val="008D3E58"/>
    <w:rsid w:val="008D4A68"/>
    <w:rsid w:val="008D521C"/>
    <w:rsid w:val="008D56D2"/>
    <w:rsid w:val="008D6502"/>
    <w:rsid w:val="008D6A0B"/>
    <w:rsid w:val="008D6A20"/>
    <w:rsid w:val="008D6E99"/>
    <w:rsid w:val="008D7774"/>
    <w:rsid w:val="008D7826"/>
    <w:rsid w:val="008E1921"/>
    <w:rsid w:val="008E2CF3"/>
    <w:rsid w:val="008E2D03"/>
    <w:rsid w:val="008E2DBF"/>
    <w:rsid w:val="008E3008"/>
    <w:rsid w:val="008E4387"/>
    <w:rsid w:val="008E5D64"/>
    <w:rsid w:val="008E718D"/>
    <w:rsid w:val="008E7C49"/>
    <w:rsid w:val="008F0D9A"/>
    <w:rsid w:val="008F3513"/>
    <w:rsid w:val="008F35BA"/>
    <w:rsid w:val="008F670F"/>
    <w:rsid w:val="008F6739"/>
    <w:rsid w:val="00900845"/>
    <w:rsid w:val="00900DAB"/>
    <w:rsid w:val="009028D4"/>
    <w:rsid w:val="00902F96"/>
    <w:rsid w:val="0090410E"/>
    <w:rsid w:val="0090582A"/>
    <w:rsid w:val="00906671"/>
    <w:rsid w:val="009076DE"/>
    <w:rsid w:val="00907733"/>
    <w:rsid w:val="00907885"/>
    <w:rsid w:val="00910066"/>
    <w:rsid w:val="009118A7"/>
    <w:rsid w:val="009118B7"/>
    <w:rsid w:val="00912F48"/>
    <w:rsid w:val="00914793"/>
    <w:rsid w:val="009155B1"/>
    <w:rsid w:val="00917159"/>
    <w:rsid w:val="009205F7"/>
    <w:rsid w:val="009208DA"/>
    <w:rsid w:val="00920C0C"/>
    <w:rsid w:val="009219C0"/>
    <w:rsid w:val="00921DFF"/>
    <w:rsid w:val="00922604"/>
    <w:rsid w:val="00924FD2"/>
    <w:rsid w:val="0092606C"/>
    <w:rsid w:val="00926556"/>
    <w:rsid w:val="009267D9"/>
    <w:rsid w:val="009268DB"/>
    <w:rsid w:val="00927711"/>
    <w:rsid w:val="00930F35"/>
    <w:rsid w:val="00931A97"/>
    <w:rsid w:val="00932F04"/>
    <w:rsid w:val="009367AD"/>
    <w:rsid w:val="00936E48"/>
    <w:rsid w:val="009436D7"/>
    <w:rsid w:val="0094434C"/>
    <w:rsid w:val="00944436"/>
    <w:rsid w:val="009455E2"/>
    <w:rsid w:val="009458AB"/>
    <w:rsid w:val="00945B2B"/>
    <w:rsid w:val="00946427"/>
    <w:rsid w:val="00950440"/>
    <w:rsid w:val="00952953"/>
    <w:rsid w:val="00952A19"/>
    <w:rsid w:val="00953655"/>
    <w:rsid w:val="00954957"/>
    <w:rsid w:val="00954B35"/>
    <w:rsid w:val="009551D0"/>
    <w:rsid w:val="00957018"/>
    <w:rsid w:val="009613AD"/>
    <w:rsid w:val="0096304D"/>
    <w:rsid w:val="00964878"/>
    <w:rsid w:val="00966E13"/>
    <w:rsid w:val="00970D3C"/>
    <w:rsid w:val="009715CF"/>
    <w:rsid w:val="00972DAC"/>
    <w:rsid w:val="0097306B"/>
    <w:rsid w:val="00973743"/>
    <w:rsid w:val="00973959"/>
    <w:rsid w:val="00974E44"/>
    <w:rsid w:val="009751F3"/>
    <w:rsid w:val="009753AE"/>
    <w:rsid w:val="009754F4"/>
    <w:rsid w:val="00976342"/>
    <w:rsid w:val="009765D2"/>
    <w:rsid w:val="0097760F"/>
    <w:rsid w:val="009779AB"/>
    <w:rsid w:val="00980014"/>
    <w:rsid w:val="0098009D"/>
    <w:rsid w:val="00981371"/>
    <w:rsid w:val="00981D35"/>
    <w:rsid w:val="00982C4E"/>
    <w:rsid w:val="00985F6A"/>
    <w:rsid w:val="00990E24"/>
    <w:rsid w:val="00990F2A"/>
    <w:rsid w:val="009915F1"/>
    <w:rsid w:val="009922B7"/>
    <w:rsid w:val="009938EF"/>
    <w:rsid w:val="00993BF9"/>
    <w:rsid w:val="00995957"/>
    <w:rsid w:val="00996000"/>
    <w:rsid w:val="009965FF"/>
    <w:rsid w:val="009A0801"/>
    <w:rsid w:val="009A28E0"/>
    <w:rsid w:val="009A387A"/>
    <w:rsid w:val="009A46C8"/>
    <w:rsid w:val="009A5161"/>
    <w:rsid w:val="009A686B"/>
    <w:rsid w:val="009B0335"/>
    <w:rsid w:val="009B0C12"/>
    <w:rsid w:val="009B128F"/>
    <w:rsid w:val="009B39D1"/>
    <w:rsid w:val="009B4ACA"/>
    <w:rsid w:val="009B52A0"/>
    <w:rsid w:val="009B6ACE"/>
    <w:rsid w:val="009B6BC7"/>
    <w:rsid w:val="009C1940"/>
    <w:rsid w:val="009C2027"/>
    <w:rsid w:val="009C4B82"/>
    <w:rsid w:val="009C7BE4"/>
    <w:rsid w:val="009D0C9C"/>
    <w:rsid w:val="009D12B8"/>
    <w:rsid w:val="009D2983"/>
    <w:rsid w:val="009D3C80"/>
    <w:rsid w:val="009D3FC4"/>
    <w:rsid w:val="009D590B"/>
    <w:rsid w:val="009D70DB"/>
    <w:rsid w:val="009D79F7"/>
    <w:rsid w:val="009E1F5D"/>
    <w:rsid w:val="009E2692"/>
    <w:rsid w:val="009E26F1"/>
    <w:rsid w:val="009E318F"/>
    <w:rsid w:val="009E5117"/>
    <w:rsid w:val="009E7091"/>
    <w:rsid w:val="009F2CEB"/>
    <w:rsid w:val="009F4276"/>
    <w:rsid w:val="009F4DE7"/>
    <w:rsid w:val="009F59FD"/>
    <w:rsid w:val="009F7072"/>
    <w:rsid w:val="009F7864"/>
    <w:rsid w:val="00A0139F"/>
    <w:rsid w:val="00A01C61"/>
    <w:rsid w:val="00A02E29"/>
    <w:rsid w:val="00A02F37"/>
    <w:rsid w:val="00A04254"/>
    <w:rsid w:val="00A045DB"/>
    <w:rsid w:val="00A0483A"/>
    <w:rsid w:val="00A0540D"/>
    <w:rsid w:val="00A1114F"/>
    <w:rsid w:val="00A12B1A"/>
    <w:rsid w:val="00A148FD"/>
    <w:rsid w:val="00A14C7F"/>
    <w:rsid w:val="00A159BA"/>
    <w:rsid w:val="00A16DF1"/>
    <w:rsid w:val="00A237D6"/>
    <w:rsid w:val="00A26A18"/>
    <w:rsid w:val="00A27AD4"/>
    <w:rsid w:val="00A30A65"/>
    <w:rsid w:val="00A31CF7"/>
    <w:rsid w:val="00A3537C"/>
    <w:rsid w:val="00A36A10"/>
    <w:rsid w:val="00A377A4"/>
    <w:rsid w:val="00A4055D"/>
    <w:rsid w:val="00A40B89"/>
    <w:rsid w:val="00A41A6B"/>
    <w:rsid w:val="00A42654"/>
    <w:rsid w:val="00A439B5"/>
    <w:rsid w:val="00A45E7F"/>
    <w:rsid w:val="00A46A70"/>
    <w:rsid w:val="00A47301"/>
    <w:rsid w:val="00A47C5E"/>
    <w:rsid w:val="00A506C0"/>
    <w:rsid w:val="00A50B61"/>
    <w:rsid w:val="00A51A93"/>
    <w:rsid w:val="00A53BFE"/>
    <w:rsid w:val="00A54007"/>
    <w:rsid w:val="00A54621"/>
    <w:rsid w:val="00A54B3E"/>
    <w:rsid w:val="00A5636A"/>
    <w:rsid w:val="00A600A4"/>
    <w:rsid w:val="00A60BB2"/>
    <w:rsid w:val="00A630B1"/>
    <w:rsid w:val="00A642AE"/>
    <w:rsid w:val="00A64F0C"/>
    <w:rsid w:val="00A65A85"/>
    <w:rsid w:val="00A66789"/>
    <w:rsid w:val="00A709FD"/>
    <w:rsid w:val="00A70CDC"/>
    <w:rsid w:val="00A71994"/>
    <w:rsid w:val="00A736A4"/>
    <w:rsid w:val="00A74A9A"/>
    <w:rsid w:val="00A75255"/>
    <w:rsid w:val="00A754D1"/>
    <w:rsid w:val="00A75EC1"/>
    <w:rsid w:val="00A7652F"/>
    <w:rsid w:val="00A77A17"/>
    <w:rsid w:val="00A8115D"/>
    <w:rsid w:val="00A813C1"/>
    <w:rsid w:val="00A815C2"/>
    <w:rsid w:val="00A8231F"/>
    <w:rsid w:val="00A837A3"/>
    <w:rsid w:val="00A86C1F"/>
    <w:rsid w:val="00A877EC"/>
    <w:rsid w:val="00A90A4A"/>
    <w:rsid w:val="00A91967"/>
    <w:rsid w:val="00A9268A"/>
    <w:rsid w:val="00AA1613"/>
    <w:rsid w:val="00AA16F2"/>
    <w:rsid w:val="00AA4786"/>
    <w:rsid w:val="00AA576C"/>
    <w:rsid w:val="00AA5AB6"/>
    <w:rsid w:val="00AA5BBB"/>
    <w:rsid w:val="00AA5E4C"/>
    <w:rsid w:val="00AA69DB"/>
    <w:rsid w:val="00AA7713"/>
    <w:rsid w:val="00AB0B6C"/>
    <w:rsid w:val="00AB195A"/>
    <w:rsid w:val="00AB1D92"/>
    <w:rsid w:val="00AB2070"/>
    <w:rsid w:val="00AB2110"/>
    <w:rsid w:val="00AB32E1"/>
    <w:rsid w:val="00AB3B37"/>
    <w:rsid w:val="00AB6C1D"/>
    <w:rsid w:val="00AB6F51"/>
    <w:rsid w:val="00AB7DF4"/>
    <w:rsid w:val="00AC0C86"/>
    <w:rsid w:val="00AC16DF"/>
    <w:rsid w:val="00AC1BBC"/>
    <w:rsid w:val="00AC33F1"/>
    <w:rsid w:val="00AC51A4"/>
    <w:rsid w:val="00AC627F"/>
    <w:rsid w:val="00AC650E"/>
    <w:rsid w:val="00AC65A2"/>
    <w:rsid w:val="00AC7169"/>
    <w:rsid w:val="00AD005E"/>
    <w:rsid w:val="00AD137E"/>
    <w:rsid w:val="00AD1D76"/>
    <w:rsid w:val="00AD3838"/>
    <w:rsid w:val="00AD4953"/>
    <w:rsid w:val="00AD50BF"/>
    <w:rsid w:val="00AD5451"/>
    <w:rsid w:val="00AD5F9D"/>
    <w:rsid w:val="00AD71C2"/>
    <w:rsid w:val="00AD7A5F"/>
    <w:rsid w:val="00AD7BFD"/>
    <w:rsid w:val="00AE19BE"/>
    <w:rsid w:val="00AE25C5"/>
    <w:rsid w:val="00AE293A"/>
    <w:rsid w:val="00AE2E0B"/>
    <w:rsid w:val="00AE3F6D"/>
    <w:rsid w:val="00AE76D6"/>
    <w:rsid w:val="00AF2AED"/>
    <w:rsid w:val="00AF57A4"/>
    <w:rsid w:val="00AF6C65"/>
    <w:rsid w:val="00AF753D"/>
    <w:rsid w:val="00AF7C98"/>
    <w:rsid w:val="00B03F22"/>
    <w:rsid w:val="00B054ED"/>
    <w:rsid w:val="00B05DD6"/>
    <w:rsid w:val="00B0712F"/>
    <w:rsid w:val="00B14469"/>
    <w:rsid w:val="00B146AC"/>
    <w:rsid w:val="00B14B69"/>
    <w:rsid w:val="00B15BFC"/>
    <w:rsid w:val="00B17DED"/>
    <w:rsid w:val="00B21017"/>
    <w:rsid w:val="00B21C19"/>
    <w:rsid w:val="00B22847"/>
    <w:rsid w:val="00B22E8E"/>
    <w:rsid w:val="00B2300E"/>
    <w:rsid w:val="00B25281"/>
    <w:rsid w:val="00B257C5"/>
    <w:rsid w:val="00B26570"/>
    <w:rsid w:val="00B26AA3"/>
    <w:rsid w:val="00B2786D"/>
    <w:rsid w:val="00B31E63"/>
    <w:rsid w:val="00B326EA"/>
    <w:rsid w:val="00B3327F"/>
    <w:rsid w:val="00B3581A"/>
    <w:rsid w:val="00B35940"/>
    <w:rsid w:val="00B3646A"/>
    <w:rsid w:val="00B376AC"/>
    <w:rsid w:val="00B37C86"/>
    <w:rsid w:val="00B430F8"/>
    <w:rsid w:val="00B44015"/>
    <w:rsid w:val="00B441DE"/>
    <w:rsid w:val="00B44267"/>
    <w:rsid w:val="00B44677"/>
    <w:rsid w:val="00B44985"/>
    <w:rsid w:val="00B45A44"/>
    <w:rsid w:val="00B46A4F"/>
    <w:rsid w:val="00B46AA7"/>
    <w:rsid w:val="00B46C4D"/>
    <w:rsid w:val="00B47654"/>
    <w:rsid w:val="00B47DB8"/>
    <w:rsid w:val="00B5002B"/>
    <w:rsid w:val="00B50481"/>
    <w:rsid w:val="00B51807"/>
    <w:rsid w:val="00B5184C"/>
    <w:rsid w:val="00B518C2"/>
    <w:rsid w:val="00B52EB9"/>
    <w:rsid w:val="00B536D6"/>
    <w:rsid w:val="00B55192"/>
    <w:rsid w:val="00B555F5"/>
    <w:rsid w:val="00B55C15"/>
    <w:rsid w:val="00B563CA"/>
    <w:rsid w:val="00B60EC0"/>
    <w:rsid w:val="00B650C7"/>
    <w:rsid w:val="00B66139"/>
    <w:rsid w:val="00B673C9"/>
    <w:rsid w:val="00B6784E"/>
    <w:rsid w:val="00B67C66"/>
    <w:rsid w:val="00B67D5F"/>
    <w:rsid w:val="00B700F4"/>
    <w:rsid w:val="00B70A78"/>
    <w:rsid w:val="00B72219"/>
    <w:rsid w:val="00B72B72"/>
    <w:rsid w:val="00B739D4"/>
    <w:rsid w:val="00B749BB"/>
    <w:rsid w:val="00B7639C"/>
    <w:rsid w:val="00B770B8"/>
    <w:rsid w:val="00B80DE9"/>
    <w:rsid w:val="00B81B3A"/>
    <w:rsid w:val="00B8257C"/>
    <w:rsid w:val="00B83455"/>
    <w:rsid w:val="00B84D6B"/>
    <w:rsid w:val="00B85804"/>
    <w:rsid w:val="00B900A8"/>
    <w:rsid w:val="00B91023"/>
    <w:rsid w:val="00B91079"/>
    <w:rsid w:val="00B9178D"/>
    <w:rsid w:val="00B91864"/>
    <w:rsid w:val="00B91B89"/>
    <w:rsid w:val="00B92FD8"/>
    <w:rsid w:val="00B93093"/>
    <w:rsid w:val="00B963DA"/>
    <w:rsid w:val="00B972B4"/>
    <w:rsid w:val="00B9766A"/>
    <w:rsid w:val="00B97D87"/>
    <w:rsid w:val="00B97F9B"/>
    <w:rsid w:val="00BA0D44"/>
    <w:rsid w:val="00BA283B"/>
    <w:rsid w:val="00BA3B1D"/>
    <w:rsid w:val="00BA3D0B"/>
    <w:rsid w:val="00BA41C6"/>
    <w:rsid w:val="00BA5621"/>
    <w:rsid w:val="00BA5AF8"/>
    <w:rsid w:val="00BA5D64"/>
    <w:rsid w:val="00BA768F"/>
    <w:rsid w:val="00BA7BEB"/>
    <w:rsid w:val="00BB199D"/>
    <w:rsid w:val="00BB3C2D"/>
    <w:rsid w:val="00BB3DCB"/>
    <w:rsid w:val="00BB549B"/>
    <w:rsid w:val="00BB5737"/>
    <w:rsid w:val="00BB5FDB"/>
    <w:rsid w:val="00BC14A4"/>
    <w:rsid w:val="00BC267E"/>
    <w:rsid w:val="00BC30FF"/>
    <w:rsid w:val="00BC394F"/>
    <w:rsid w:val="00BC499D"/>
    <w:rsid w:val="00BC4F2F"/>
    <w:rsid w:val="00BC5FEF"/>
    <w:rsid w:val="00BC6FDF"/>
    <w:rsid w:val="00BC721C"/>
    <w:rsid w:val="00BD45B8"/>
    <w:rsid w:val="00BD4737"/>
    <w:rsid w:val="00BE0533"/>
    <w:rsid w:val="00BE0568"/>
    <w:rsid w:val="00BE0C72"/>
    <w:rsid w:val="00BE1367"/>
    <w:rsid w:val="00BE199E"/>
    <w:rsid w:val="00BE1CFB"/>
    <w:rsid w:val="00BE3784"/>
    <w:rsid w:val="00BE434E"/>
    <w:rsid w:val="00BE52B8"/>
    <w:rsid w:val="00BE5945"/>
    <w:rsid w:val="00BE69B5"/>
    <w:rsid w:val="00BE7081"/>
    <w:rsid w:val="00BF001B"/>
    <w:rsid w:val="00BF0971"/>
    <w:rsid w:val="00BF0ABA"/>
    <w:rsid w:val="00BF11B2"/>
    <w:rsid w:val="00BF31C3"/>
    <w:rsid w:val="00BF3C55"/>
    <w:rsid w:val="00BF5A4D"/>
    <w:rsid w:val="00BF6644"/>
    <w:rsid w:val="00BF7163"/>
    <w:rsid w:val="00C00BC4"/>
    <w:rsid w:val="00C01E6B"/>
    <w:rsid w:val="00C02002"/>
    <w:rsid w:val="00C032D4"/>
    <w:rsid w:val="00C04096"/>
    <w:rsid w:val="00C040FB"/>
    <w:rsid w:val="00C04E14"/>
    <w:rsid w:val="00C06078"/>
    <w:rsid w:val="00C0628C"/>
    <w:rsid w:val="00C0661E"/>
    <w:rsid w:val="00C07694"/>
    <w:rsid w:val="00C13FC2"/>
    <w:rsid w:val="00C14AA6"/>
    <w:rsid w:val="00C164AE"/>
    <w:rsid w:val="00C17322"/>
    <w:rsid w:val="00C2336F"/>
    <w:rsid w:val="00C23EFD"/>
    <w:rsid w:val="00C245B7"/>
    <w:rsid w:val="00C26B12"/>
    <w:rsid w:val="00C2748C"/>
    <w:rsid w:val="00C27F99"/>
    <w:rsid w:val="00C309BD"/>
    <w:rsid w:val="00C30A00"/>
    <w:rsid w:val="00C32AF9"/>
    <w:rsid w:val="00C337E1"/>
    <w:rsid w:val="00C342F0"/>
    <w:rsid w:val="00C37005"/>
    <w:rsid w:val="00C370CD"/>
    <w:rsid w:val="00C402AD"/>
    <w:rsid w:val="00C40638"/>
    <w:rsid w:val="00C41C2C"/>
    <w:rsid w:val="00C457DF"/>
    <w:rsid w:val="00C45E83"/>
    <w:rsid w:val="00C45F7F"/>
    <w:rsid w:val="00C47603"/>
    <w:rsid w:val="00C515A9"/>
    <w:rsid w:val="00C53353"/>
    <w:rsid w:val="00C53622"/>
    <w:rsid w:val="00C56A2F"/>
    <w:rsid w:val="00C61643"/>
    <w:rsid w:val="00C644A2"/>
    <w:rsid w:val="00C70A32"/>
    <w:rsid w:val="00C71002"/>
    <w:rsid w:val="00C72943"/>
    <w:rsid w:val="00C74672"/>
    <w:rsid w:val="00C748B7"/>
    <w:rsid w:val="00C749EE"/>
    <w:rsid w:val="00C76329"/>
    <w:rsid w:val="00C81000"/>
    <w:rsid w:val="00C815F9"/>
    <w:rsid w:val="00C823BC"/>
    <w:rsid w:val="00C84741"/>
    <w:rsid w:val="00C85C8C"/>
    <w:rsid w:val="00C86063"/>
    <w:rsid w:val="00C877BE"/>
    <w:rsid w:val="00C91A2C"/>
    <w:rsid w:val="00C923B6"/>
    <w:rsid w:val="00C929CD"/>
    <w:rsid w:val="00C92D58"/>
    <w:rsid w:val="00C937C7"/>
    <w:rsid w:val="00C962F8"/>
    <w:rsid w:val="00C963E7"/>
    <w:rsid w:val="00C96720"/>
    <w:rsid w:val="00C9690B"/>
    <w:rsid w:val="00C96B52"/>
    <w:rsid w:val="00CA010D"/>
    <w:rsid w:val="00CA34B3"/>
    <w:rsid w:val="00CA36EF"/>
    <w:rsid w:val="00CA419E"/>
    <w:rsid w:val="00CA5449"/>
    <w:rsid w:val="00CA6A03"/>
    <w:rsid w:val="00CB1189"/>
    <w:rsid w:val="00CB13F4"/>
    <w:rsid w:val="00CB226B"/>
    <w:rsid w:val="00CB3CF2"/>
    <w:rsid w:val="00CB5E44"/>
    <w:rsid w:val="00CB651B"/>
    <w:rsid w:val="00CB6D20"/>
    <w:rsid w:val="00CB6DEE"/>
    <w:rsid w:val="00CB786A"/>
    <w:rsid w:val="00CB7A6E"/>
    <w:rsid w:val="00CC0635"/>
    <w:rsid w:val="00CC1D3E"/>
    <w:rsid w:val="00CC2CE5"/>
    <w:rsid w:val="00CC37EC"/>
    <w:rsid w:val="00CC3B51"/>
    <w:rsid w:val="00CC57F1"/>
    <w:rsid w:val="00CD2994"/>
    <w:rsid w:val="00CD2A95"/>
    <w:rsid w:val="00CD3107"/>
    <w:rsid w:val="00CD34F6"/>
    <w:rsid w:val="00CD4CD4"/>
    <w:rsid w:val="00CD4E32"/>
    <w:rsid w:val="00CD5380"/>
    <w:rsid w:val="00CD5EF9"/>
    <w:rsid w:val="00CD78C1"/>
    <w:rsid w:val="00CE15DB"/>
    <w:rsid w:val="00CE1BF2"/>
    <w:rsid w:val="00CE2ACE"/>
    <w:rsid w:val="00CE2BAD"/>
    <w:rsid w:val="00CE2F92"/>
    <w:rsid w:val="00CE62C1"/>
    <w:rsid w:val="00CE69A8"/>
    <w:rsid w:val="00CE69C7"/>
    <w:rsid w:val="00CF18A3"/>
    <w:rsid w:val="00CF211A"/>
    <w:rsid w:val="00CF26DB"/>
    <w:rsid w:val="00CF3A2B"/>
    <w:rsid w:val="00CF4819"/>
    <w:rsid w:val="00CF4C73"/>
    <w:rsid w:val="00CF6BEE"/>
    <w:rsid w:val="00CF6CB6"/>
    <w:rsid w:val="00CF741D"/>
    <w:rsid w:val="00CF7575"/>
    <w:rsid w:val="00D0005A"/>
    <w:rsid w:val="00D01212"/>
    <w:rsid w:val="00D01D2E"/>
    <w:rsid w:val="00D02FAD"/>
    <w:rsid w:val="00D04406"/>
    <w:rsid w:val="00D06004"/>
    <w:rsid w:val="00D06664"/>
    <w:rsid w:val="00D07C07"/>
    <w:rsid w:val="00D10FB4"/>
    <w:rsid w:val="00D11E90"/>
    <w:rsid w:val="00D12020"/>
    <w:rsid w:val="00D16661"/>
    <w:rsid w:val="00D17EAC"/>
    <w:rsid w:val="00D226BE"/>
    <w:rsid w:val="00D22C5A"/>
    <w:rsid w:val="00D22D40"/>
    <w:rsid w:val="00D23964"/>
    <w:rsid w:val="00D242F7"/>
    <w:rsid w:val="00D24C44"/>
    <w:rsid w:val="00D30075"/>
    <w:rsid w:val="00D31FBE"/>
    <w:rsid w:val="00D32719"/>
    <w:rsid w:val="00D369C5"/>
    <w:rsid w:val="00D37FCD"/>
    <w:rsid w:val="00D41453"/>
    <w:rsid w:val="00D4174A"/>
    <w:rsid w:val="00D41A20"/>
    <w:rsid w:val="00D44260"/>
    <w:rsid w:val="00D45EDC"/>
    <w:rsid w:val="00D46349"/>
    <w:rsid w:val="00D4781F"/>
    <w:rsid w:val="00D47ADF"/>
    <w:rsid w:val="00D47B37"/>
    <w:rsid w:val="00D5016B"/>
    <w:rsid w:val="00D5062C"/>
    <w:rsid w:val="00D51261"/>
    <w:rsid w:val="00D52235"/>
    <w:rsid w:val="00D55525"/>
    <w:rsid w:val="00D55CB5"/>
    <w:rsid w:val="00D5716B"/>
    <w:rsid w:val="00D57CCC"/>
    <w:rsid w:val="00D6084A"/>
    <w:rsid w:val="00D60E74"/>
    <w:rsid w:val="00D611B7"/>
    <w:rsid w:val="00D62064"/>
    <w:rsid w:val="00D621FD"/>
    <w:rsid w:val="00D63286"/>
    <w:rsid w:val="00D67216"/>
    <w:rsid w:val="00D703CB"/>
    <w:rsid w:val="00D727FE"/>
    <w:rsid w:val="00D72CAE"/>
    <w:rsid w:val="00D74A09"/>
    <w:rsid w:val="00D75511"/>
    <w:rsid w:val="00D778EF"/>
    <w:rsid w:val="00D77A00"/>
    <w:rsid w:val="00D77E8D"/>
    <w:rsid w:val="00D81C61"/>
    <w:rsid w:val="00D827BA"/>
    <w:rsid w:val="00D82B39"/>
    <w:rsid w:val="00D83BC9"/>
    <w:rsid w:val="00D84D40"/>
    <w:rsid w:val="00D855EA"/>
    <w:rsid w:val="00D8635C"/>
    <w:rsid w:val="00D87483"/>
    <w:rsid w:val="00D87865"/>
    <w:rsid w:val="00D90437"/>
    <w:rsid w:val="00D91B3F"/>
    <w:rsid w:val="00D927CA"/>
    <w:rsid w:val="00D92AFE"/>
    <w:rsid w:val="00D95839"/>
    <w:rsid w:val="00D967CA"/>
    <w:rsid w:val="00D96849"/>
    <w:rsid w:val="00D9684B"/>
    <w:rsid w:val="00D97FBB"/>
    <w:rsid w:val="00D97FFB"/>
    <w:rsid w:val="00DA04BA"/>
    <w:rsid w:val="00DA0C89"/>
    <w:rsid w:val="00DA0DB4"/>
    <w:rsid w:val="00DA16ED"/>
    <w:rsid w:val="00DA1EDA"/>
    <w:rsid w:val="00DA2262"/>
    <w:rsid w:val="00DA2966"/>
    <w:rsid w:val="00DA2CE4"/>
    <w:rsid w:val="00DA4C57"/>
    <w:rsid w:val="00DA6B0A"/>
    <w:rsid w:val="00DB0745"/>
    <w:rsid w:val="00DB0F61"/>
    <w:rsid w:val="00DB16AC"/>
    <w:rsid w:val="00DB20CC"/>
    <w:rsid w:val="00DB22AA"/>
    <w:rsid w:val="00DB2531"/>
    <w:rsid w:val="00DB2CBA"/>
    <w:rsid w:val="00DB3DDE"/>
    <w:rsid w:val="00DB5EA3"/>
    <w:rsid w:val="00DB5FE1"/>
    <w:rsid w:val="00DB6B98"/>
    <w:rsid w:val="00DB7CFC"/>
    <w:rsid w:val="00DC132A"/>
    <w:rsid w:val="00DC3023"/>
    <w:rsid w:val="00DC5860"/>
    <w:rsid w:val="00DC5ED2"/>
    <w:rsid w:val="00DC7836"/>
    <w:rsid w:val="00DD04CF"/>
    <w:rsid w:val="00DD25EE"/>
    <w:rsid w:val="00DD404D"/>
    <w:rsid w:val="00DD6B78"/>
    <w:rsid w:val="00DD6EFC"/>
    <w:rsid w:val="00DD73DE"/>
    <w:rsid w:val="00DD7CF1"/>
    <w:rsid w:val="00DE0305"/>
    <w:rsid w:val="00DE19EE"/>
    <w:rsid w:val="00DE2A4B"/>
    <w:rsid w:val="00DE396B"/>
    <w:rsid w:val="00DE4C4B"/>
    <w:rsid w:val="00DE56D4"/>
    <w:rsid w:val="00DE5D57"/>
    <w:rsid w:val="00DE606C"/>
    <w:rsid w:val="00DE7DA8"/>
    <w:rsid w:val="00DF018E"/>
    <w:rsid w:val="00DF2FBA"/>
    <w:rsid w:val="00DF33CF"/>
    <w:rsid w:val="00DF4967"/>
    <w:rsid w:val="00DF51B2"/>
    <w:rsid w:val="00DF60E8"/>
    <w:rsid w:val="00DF7CDA"/>
    <w:rsid w:val="00E00730"/>
    <w:rsid w:val="00E00DB2"/>
    <w:rsid w:val="00E01B9A"/>
    <w:rsid w:val="00E02786"/>
    <w:rsid w:val="00E03D35"/>
    <w:rsid w:val="00E04760"/>
    <w:rsid w:val="00E067DE"/>
    <w:rsid w:val="00E076EE"/>
    <w:rsid w:val="00E10FD1"/>
    <w:rsid w:val="00E11C6F"/>
    <w:rsid w:val="00E1229E"/>
    <w:rsid w:val="00E1263F"/>
    <w:rsid w:val="00E137F9"/>
    <w:rsid w:val="00E13956"/>
    <w:rsid w:val="00E14B1C"/>
    <w:rsid w:val="00E14FED"/>
    <w:rsid w:val="00E15782"/>
    <w:rsid w:val="00E15BBA"/>
    <w:rsid w:val="00E15E04"/>
    <w:rsid w:val="00E1619A"/>
    <w:rsid w:val="00E17D8A"/>
    <w:rsid w:val="00E22759"/>
    <w:rsid w:val="00E227A9"/>
    <w:rsid w:val="00E230DD"/>
    <w:rsid w:val="00E23770"/>
    <w:rsid w:val="00E30C1B"/>
    <w:rsid w:val="00E33242"/>
    <w:rsid w:val="00E341D7"/>
    <w:rsid w:val="00E345B0"/>
    <w:rsid w:val="00E40A85"/>
    <w:rsid w:val="00E421F5"/>
    <w:rsid w:val="00E42E99"/>
    <w:rsid w:val="00E445E6"/>
    <w:rsid w:val="00E469B3"/>
    <w:rsid w:val="00E476BA"/>
    <w:rsid w:val="00E507AF"/>
    <w:rsid w:val="00E5093D"/>
    <w:rsid w:val="00E52244"/>
    <w:rsid w:val="00E54437"/>
    <w:rsid w:val="00E547D6"/>
    <w:rsid w:val="00E55172"/>
    <w:rsid w:val="00E56620"/>
    <w:rsid w:val="00E62FDA"/>
    <w:rsid w:val="00E6420F"/>
    <w:rsid w:val="00E6579D"/>
    <w:rsid w:val="00E65C32"/>
    <w:rsid w:val="00E65EE9"/>
    <w:rsid w:val="00E67FAB"/>
    <w:rsid w:val="00E70F34"/>
    <w:rsid w:val="00E71369"/>
    <w:rsid w:val="00E7198A"/>
    <w:rsid w:val="00E72B36"/>
    <w:rsid w:val="00E72C09"/>
    <w:rsid w:val="00E72EAF"/>
    <w:rsid w:val="00E7366C"/>
    <w:rsid w:val="00E74F06"/>
    <w:rsid w:val="00E75B02"/>
    <w:rsid w:val="00E7678B"/>
    <w:rsid w:val="00E767FF"/>
    <w:rsid w:val="00E76B68"/>
    <w:rsid w:val="00E777AF"/>
    <w:rsid w:val="00E82B61"/>
    <w:rsid w:val="00E87C6D"/>
    <w:rsid w:val="00E87C91"/>
    <w:rsid w:val="00E91390"/>
    <w:rsid w:val="00E916E8"/>
    <w:rsid w:val="00E9177D"/>
    <w:rsid w:val="00E91D17"/>
    <w:rsid w:val="00E9231C"/>
    <w:rsid w:val="00E93750"/>
    <w:rsid w:val="00E94599"/>
    <w:rsid w:val="00E94907"/>
    <w:rsid w:val="00E949F4"/>
    <w:rsid w:val="00E94F9F"/>
    <w:rsid w:val="00E969B1"/>
    <w:rsid w:val="00E96D7D"/>
    <w:rsid w:val="00EA2010"/>
    <w:rsid w:val="00EA4866"/>
    <w:rsid w:val="00EA5F21"/>
    <w:rsid w:val="00EA5F7C"/>
    <w:rsid w:val="00EA6F98"/>
    <w:rsid w:val="00EA7F44"/>
    <w:rsid w:val="00EB139C"/>
    <w:rsid w:val="00EB1633"/>
    <w:rsid w:val="00EB2EFC"/>
    <w:rsid w:val="00EB3075"/>
    <w:rsid w:val="00EB51B9"/>
    <w:rsid w:val="00EB64F9"/>
    <w:rsid w:val="00EC2922"/>
    <w:rsid w:val="00EC2BB0"/>
    <w:rsid w:val="00EC34AA"/>
    <w:rsid w:val="00EC3EA6"/>
    <w:rsid w:val="00EC45BF"/>
    <w:rsid w:val="00EC480B"/>
    <w:rsid w:val="00EC4B66"/>
    <w:rsid w:val="00EC4E96"/>
    <w:rsid w:val="00EC64F9"/>
    <w:rsid w:val="00EC7950"/>
    <w:rsid w:val="00ED095D"/>
    <w:rsid w:val="00ED27CB"/>
    <w:rsid w:val="00ED35A4"/>
    <w:rsid w:val="00ED3794"/>
    <w:rsid w:val="00ED3AC3"/>
    <w:rsid w:val="00ED4714"/>
    <w:rsid w:val="00ED47A7"/>
    <w:rsid w:val="00ED6034"/>
    <w:rsid w:val="00ED6505"/>
    <w:rsid w:val="00ED6842"/>
    <w:rsid w:val="00EE3000"/>
    <w:rsid w:val="00EE306B"/>
    <w:rsid w:val="00EE34C3"/>
    <w:rsid w:val="00EE3675"/>
    <w:rsid w:val="00EE3957"/>
    <w:rsid w:val="00EE4008"/>
    <w:rsid w:val="00EE4369"/>
    <w:rsid w:val="00EE621B"/>
    <w:rsid w:val="00EE6F1A"/>
    <w:rsid w:val="00EE71E1"/>
    <w:rsid w:val="00EF02FE"/>
    <w:rsid w:val="00EF3378"/>
    <w:rsid w:val="00EF3798"/>
    <w:rsid w:val="00EF3BC0"/>
    <w:rsid w:val="00EF4736"/>
    <w:rsid w:val="00EF4E22"/>
    <w:rsid w:val="00EF5262"/>
    <w:rsid w:val="00EF5584"/>
    <w:rsid w:val="00F00FC2"/>
    <w:rsid w:val="00F019B6"/>
    <w:rsid w:val="00F02926"/>
    <w:rsid w:val="00F031F3"/>
    <w:rsid w:val="00F03D31"/>
    <w:rsid w:val="00F078FD"/>
    <w:rsid w:val="00F10F47"/>
    <w:rsid w:val="00F1105C"/>
    <w:rsid w:val="00F11D5C"/>
    <w:rsid w:val="00F121B5"/>
    <w:rsid w:val="00F138BA"/>
    <w:rsid w:val="00F13E85"/>
    <w:rsid w:val="00F1757B"/>
    <w:rsid w:val="00F17692"/>
    <w:rsid w:val="00F21431"/>
    <w:rsid w:val="00F21D38"/>
    <w:rsid w:val="00F23594"/>
    <w:rsid w:val="00F23C5A"/>
    <w:rsid w:val="00F23D81"/>
    <w:rsid w:val="00F25ADD"/>
    <w:rsid w:val="00F27843"/>
    <w:rsid w:val="00F279CB"/>
    <w:rsid w:val="00F27AA6"/>
    <w:rsid w:val="00F3064A"/>
    <w:rsid w:val="00F31401"/>
    <w:rsid w:val="00F337A9"/>
    <w:rsid w:val="00F339F3"/>
    <w:rsid w:val="00F35BC7"/>
    <w:rsid w:val="00F36037"/>
    <w:rsid w:val="00F37449"/>
    <w:rsid w:val="00F401DE"/>
    <w:rsid w:val="00F40B1F"/>
    <w:rsid w:val="00F41134"/>
    <w:rsid w:val="00F41164"/>
    <w:rsid w:val="00F41E7A"/>
    <w:rsid w:val="00F425EF"/>
    <w:rsid w:val="00F42649"/>
    <w:rsid w:val="00F4357C"/>
    <w:rsid w:val="00F44578"/>
    <w:rsid w:val="00F44DB4"/>
    <w:rsid w:val="00F4526A"/>
    <w:rsid w:val="00F458A8"/>
    <w:rsid w:val="00F46112"/>
    <w:rsid w:val="00F477E1"/>
    <w:rsid w:val="00F51957"/>
    <w:rsid w:val="00F51B53"/>
    <w:rsid w:val="00F52F76"/>
    <w:rsid w:val="00F54EC1"/>
    <w:rsid w:val="00F55B1D"/>
    <w:rsid w:val="00F56357"/>
    <w:rsid w:val="00F56EF7"/>
    <w:rsid w:val="00F57C4D"/>
    <w:rsid w:val="00F617D1"/>
    <w:rsid w:val="00F62C33"/>
    <w:rsid w:val="00F62CFB"/>
    <w:rsid w:val="00F706D1"/>
    <w:rsid w:val="00F70CBB"/>
    <w:rsid w:val="00F7116D"/>
    <w:rsid w:val="00F717A8"/>
    <w:rsid w:val="00F73159"/>
    <w:rsid w:val="00F74886"/>
    <w:rsid w:val="00F7556C"/>
    <w:rsid w:val="00F8080D"/>
    <w:rsid w:val="00F812DF"/>
    <w:rsid w:val="00F81487"/>
    <w:rsid w:val="00F81F45"/>
    <w:rsid w:val="00F8662B"/>
    <w:rsid w:val="00F92815"/>
    <w:rsid w:val="00F93665"/>
    <w:rsid w:val="00F93807"/>
    <w:rsid w:val="00F9585F"/>
    <w:rsid w:val="00F95983"/>
    <w:rsid w:val="00F95CA5"/>
    <w:rsid w:val="00F96D45"/>
    <w:rsid w:val="00F96DEA"/>
    <w:rsid w:val="00F973F3"/>
    <w:rsid w:val="00F97413"/>
    <w:rsid w:val="00F97C83"/>
    <w:rsid w:val="00F97CB5"/>
    <w:rsid w:val="00FA0B65"/>
    <w:rsid w:val="00FA1782"/>
    <w:rsid w:val="00FA37DA"/>
    <w:rsid w:val="00FA48AB"/>
    <w:rsid w:val="00FA57C8"/>
    <w:rsid w:val="00FB2A92"/>
    <w:rsid w:val="00FB45E6"/>
    <w:rsid w:val="00FB4951"/>
    <w:rsid w:val="00FB4E9C"/>
    <w:rsid w:val="00FB5A24"/>
    <w:rsid w:val="00FB5A4F"/>
    <w:rsid w:val="00FB6823"/>
    <w:rsid w:val="00FB7255"/>
    <w:rsid w:val="00FB7CF6"/>
    <w:rsid w:val="00FC0187"/>
    <w:rsid w:val="00FC0363"/>
    <w:rsid w:val="00FC0E28"/>
    <w:rsid w:val="00FC1464"/>
    <w:rsid w:val="00FC2E4C"/>
    <w:rsid w:val="00FC3DAC"/>
    <w:rsid w:val="00FC569D"/>
    <w:rsid w:val="00FC6538"/>
    <w:rsid w:val="00FC69A5"/>
    <w:rsid w:val="00FC7A6A"/>
    <w:rsid w:val="00FD26B2"/>
    <w:rsid w:val="00FD2B3D"/>
    <w:rsid w:val="00FD3FB1"/>
    <w:rsid w:val="00FD4A25"/>
    <w:rsid w:val="00FD5CD5"/>
    <w:rsid w:val="00FD5CDB"/>
    <w:rsid w:val="00FD61BF"/>
    <w:rsid w:val="00FD7917"/>
    <w:rsid w:val="00FE1C62"/>
    <w:rsid w:val="00FE495D"/>
    <w:rsid w:val="00FE64A0"/>
    <w:rsid w:val="00FE6A76"/>
    <w:rsid w:val="00FE7386"/>
    <w:rsid w:val="00FE7DCA"/>
    <w:rsid w:val="00FE7E0C"/>
    <w:rsid w:val="00FF1C10"/>
    <w:rsid w:val="00FF2981"/>
    <w:rsid w:val="00FF2FED"/>
    <w:rsid w:val="00FF58DB"/>
    <w:rsid w:val="00FF6CEC"/>
    <w:rsid w:val="00FF70E9"/>
    <w:rsid w:val="00FF7544"/>
    <w:rsid w:val="00FF7EEC"/>
    <w:rsid w:val="04006160"/>
    <w:rsid w:val="043A35D9"/>
    <w:rsid w:val="0A9203F3"/>
    <w:rsid w:val="1EDA17E8"/>
    <w:rsid w:val="22B818B7"/>
    <w:rsid w:val="23006E03"/>
    <w:rsid w:val="25B1717F"/>
    <w:rsid w:val="350927D4"/>
    <w:rsid w:val="3FD94281"/>
    <w:rsid w:val="43782F65"/>
    <w:rsid w:val="467106F4"/>
    <w:rsid w:val="516F751D"/>
    <w:rsid w:val="653B073B"/>
    <w:rsid w:val="66427359"/>
    <w:rsid w:val="67713F44"/>
    <w:rsid w:val="69AF3FBA"/>
    <w:rsid w:val="6B32606A"/>
    <w:rsid w:val="6D7E5C2F"/>
    <w:rsid w:val="782920E8"/>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ADD208E"/>
  <w15:docId w15:val="{E5B077D3-8577-4349-9E03-E7209D2D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uiPriority="99" w:qFormat="1"/>
    <w:lsdException w:name="footer" w:qFormat="1"/>
    <w:lsdException w:name="caption" w:semiHidden="1" w:unhideWhenUsed="1" w:qFormat="1"/>
    <w:lsdException w:name="annotation reference" w:semiHidden="1" w:uiPriority="99" w:qFormat="1"/>
    <w:lsdException w:name="page number" w:qFormat="1"/>
    <w:lsdException w:name="Title" w:qFormat="1"/>
    <w:lsdException w:name="Default Paragraph Font" w:semiHidden="1" w:qFormat="1"/>
    <w:lsdException w:name="Body Text Indent"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annotation subject" w:semiHidden="1"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qFormat/>
    <w:pPr>
      <w:jc w:val="left"/>
    </w:pPr>
  </w:style>
  <w:style w:type="paragraph" w:styleId="a5">
    <w:name w:val="Body Text Indent"/>
    <w:basedOn w:val="a"/>
    <w:link w:val="a6"/>
    <w:qFormat/>
    <w:pPr>
      <w:ind w:firstLineChars="200" w:firstLine="560"/>
    </w:pPr>
    <w:rPr>
      <w:rFonts w:ascii="仿宋_GB2312" w:eastAsia="仿宋_GB2312"/>
      <w:sz w:val="28"/>
    </w:rPr>
  </w:style>
  <w:style w:type="paragraph" w:styleId="a7">
    <w:name w:val="Balloon Text"/>
    <w:basedOn w:val="a"/>
    <w:semiHidden/>
    <w:qFormat/>
    <w:rPr>
      <w:sz w:val="18"/>
      <w:szCs w:val="18"/>
    </w:rPr>
  </w:style>
  <w:style w:type="paragraph" w:styleId="a8">
    <w:name w:val="footer"/>
    <w:basedOn w:val="a"/>
    <w:qFormat/>
    <w:pPr>
      <w:tabs>
        <w:tab w:val="center" w:pos="4153"/>
        <w:tab w:val="right" w:pos="8306"/>
      </w:tabs>
      <w:snapToGrid w:val="0"/>
      <w:jc w:val="left"/>
    </w:pPr>
    <w:rPr>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sz w:val="18"/>
      <w:szCs w:val="18"/>
    </w:rPr>
  </w:style>
  <w:style w:type="paragraph" w:styleId="ab">
    <w:name w:val="Normal (Web)"/>
    <w:basedOn w:val="a"/>
    <w:pPr>
      <w:widowControl/>
      <w:spacing w:before="100" w:beforeAutospacing="1" w:after="100" w:afterAutospacing="1"/>
      <w:jc w:val="left"/>
    </w:pPr>
    <w:rPr>
      <w:rFonts w:ascii="宋体" w:hAnsi="宋体" w:cs="宋体"/>
      <w:kern w:val="0"/>
      <w:sz w:val="24"/>
    </w:rPr>
  </w:style>
  <w:style w:type="paragraph" w:styleId="ac">
    <w:name w:val="annotation subject"/>
    <w:basedOn w:val="a3"/>
    <w:next w:val="a3"/>
    <w:link w:val="ad"/>
    <w:uiPriority w:val="99"/>
    <w:semiHidden/>
    <w:qFormat/>
    <w:rPr>
      <w:b/>
      <w:bCs/>
    </w:rPr>
  </w:style>
  <w:style w:type="character" w:styleId="ae">
    <w:name w:val="page number"/>
    <w:qFormat/>
  </w:style>
  <w:style w:type="character" w:styleId="af">
    <w:name w:val="Hyperlink"/>
    <w:qFormat/>
    <w:rPr>
      <w:color w:val="0000FF"/>
      <w:u w:val="single"/>
    </w:rPr>
  </w:style>
  <w:style w:type="character" w:styleId="af0">
    <w:name w:val="annotation reference"/>
    <w:uiPriority w:val="99"/>
    <w:semiHidden/>
    <w:qFormat/>
    <w:rPr>
      <w:sz w:val="21"/>
      <w:szCs w:val="21"/>
    </w:rPr>
  </w:style>
  <w:style w:type="character" w:customStyle="1" w:styleId="a4">
    <w:name w:val="批注文字 字符"/>
    <w:link w:val="a3"/>
    <w:uiPriority w:val="99"/>
    <w:semiHidden/>
    <w:qFormat/>
    <w:rPr>
      <w:kern w:val="2"/>
      <w:sz w:val="21"/>
      <w:szCs w:val="24"/>
    </w:rPr>
  </w:style>
  <w:style w:type="character" w:customStyle="1" w:styleId="a6">
    <w:name w:val="正文文本缩进 字符"/>
    <w:link w:val="a5"/>
    <w:qFormat/>
    <w:rPr>
      <w:rFonts w:ascii="仿宋_GB2312" w:eastAsia="仿宋_GB2312"/>
      <w:kern w:val="2"/>
      <w:sz w:val="28"/>
      <w:szCs w:val="24"/>
    </w:rPr>
  </w:style>
  <w:style w:type="character" w:customStyle="1" w:styleId="aa">
    <w:name w:val="页眉 字符"/>
    <w:link w:val="a9"/>
    <w:qFormat/>
    <w:rPr>
      <w:kern w:val="2"/>
      <w:sz w:val="18"/>
      <w:szCs w:val="18"/>
    </w:rPr>
  </w:style>
  <w:style w:type="character" w:customStyle="1" w:styleId="ad">
    <w:name w:val="批注主题 字符"/>
    <w:link w:val="ac"/>
    <w:uiPriority w:val="99"/>
    <w:semiHidden/>
    <w:qFormat/>
    <w:rPr>
      <w:b/>
      <w:bCs/>
      <w:kern w:val="2"/>
      <w:sz w:val="21"/>
      <w:szCs w:val="24"/>
    </w:rPr>
  </w:style>
  <w:style w:type="paragraph" w:customStyle="1" w:styleId="Char">
    <w:name w:val="Char"/>
    <w:basedOn w:val="a"/>
    <w:qFormat/>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CharCharCharChar">
    <w:name w:val="Char Char Char Char"/>
    <w:basedOn w:val="a"/>
    <w:qFormat/>
    <w:rPr>
      <w:rFonts w:ascii="Tahoma" w:hAnsi="Tahoma"/>
      <w:sz w:val="24"/>
      <w:szCs w:val="20"/>
    </w:rPr>
  </w:style>
  <w:style w:type="character" w:customStyle="1" w:styleId="fontstyle01">
    <w:name w:val="fontstyle01"/>
    <w:qFormat/>
    <w:rPr>
      <w:rFonts w:ascii="新宋体" w:eastAsia="新宋体" w:hAnsi="新宋体" w:hint="eastAsia"/>
      <w:color w:val="000000"/>
      <w:sz w:val="22"/>
      <w:szCs w:val="22"/>
    </w:rPr>
  </w:style>
  <w:style w:type="paragraph" w:customStyle="1" w:styleId="1">
    <w:name w:val="修订1"/>
    <w:hidden/>
    <w:uiPriority w:val="99"/>
    <w:unhideWhenUsed/>
    <w:qFormat/>
    <w:rPr>
      <w:kern w:val="2"/>
      <w:sz w:val="21"/>
      <w:szCs w:val="24"/>
    </w:rPr>
  </w:style>
  <w:style w:type="paragraph" w:styleId="af1">
    <w:name w:val="Revision"/>
    <w:hidden/>
    <w:uiPriority w:val="99"/>
    <w:semiHidden/>
    <w:rsid w:val="0004251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9773</Words>
  <Characters>10361</Characters>
  <Application>Microsoft Office Word</Application>
  <DocSecurity>0</DocSecurity>
  <Lines>431</Lines>
  <Paragraphs>468</Paragraphs>
  <ScaleCrop>false</ScaleCrop>
  <Company>WwW.YlmF.CoM</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青岛银行“月月赢”人民币理财产品说明书</dc:title>
  <dc:creator>滕克</dc:creator>
  <cp:lastModifiedBy>瑾 初</cp:lastModifiedBy>
  <cp:revision>14</cp:revision>
  <cp:lastPrinted>2023-11-27T03:00:00Z</cp:lastPrinted>
  <dcterms:created xsi:type="dcterms:W3CDTF">2026-08-27T07:17:00Z</dcterms:created>
  <dcterms:modified xsi:type="dcterms:W3CDTF">2026-08-28T02:25:00Z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B55EEB2195674259A30AFA01F1482268</vt:lpwstr>
  </property>
  <property fmtid="{D5CDD505-2E9C-101B-9397-08002B2CF9AE}" pid="3" name="KSOProductBuildVer">
    <vt:lpwstr>2052-12.1.0.28043</vt:lpwstr>
  </property>
  <property fmtid="{D5CDD505-2E9C-101B-9397-08002B2CF9AE}" pid="4" name="KSOTemplateDocerSaveRecord">
    <vt:lpwstr>eyJoZGlkIjoiMWEwNmMzZWJmZGNhMWU0OWJjZTlmOWFhMTMyNzU4NzYiLCJ1c2VySWQiOiIyOTQ0NDQ4NTYifQ==</vt:lpwstr>
  </property>
</Properties>
</file>