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Java 22.12.0 -->
  <w:body>
    <w:p>
      <w:pPr>
        <w:widowControl/>
        <w:shd w:val="clear" w:color="auto" w:fill="FFFFFF"/>
        <w:spacing w:after="225" w:line="360" w:lineRule="atLeast"/>
        <w:jc w:val="center"/>
        <w:rPr>
          <w:rFonts w:asciiTheme="minorEastAsia" w:hAnsiTheme="minorEastAsia" w:cstheme="minorEastAsia" w:hint="eastAsia"/>
          <w:b/>
          <w:bCs/>
          <w:color w:val="004EA2"/>
          <w:kern w:val="0"/>
          <w:sz w:val="28"/>
          <w:szCs w:val="28"/>
        </w:rPr>
      </w:pPr>
      <w:r>
        <w:rPr>
          <w:rFonts w:asciiTheme="minorEastAsia" w:hAnsiTheme="minorEastAsia" w:cstheme="minorEastAsia" w:hint="eastAsia"/>
          <w:b/>
          <w:bCs/>
          <w:color w:val="004EA2"/>
          <w:kern w:val="0"/>
          <w:sz w:val="40"/>
          <w:szCs w:val="40"/>
        </w:rPr>
        <w:t>理财产品到期公告</w:t>
      </w:r>
    </w:p>
    <w:p>
      <w:pPr>
        <w:keepNext w:val="0"/>
        <w:keepLines w:val="0"/>
        <w:pageBreakBefore w:val="0"/>
        <w:widowControl/>
        <w:shd w:val="clear" w:color="auto" w:fill="FFFFFF"/>
        <w:kinsoku/>
        <w:wordWrap/>
        <w:overflowPunct/>
        <w:topLinePunct w:val="0"/>
        <w:autoSpaceDE/>
        <w:autoSpaceDN/>
        <w:bidi w:val="0"/>
        <w:adjustRightInd/>
        <w:snapToGrid/>
        <w:spacing w:after="0" w:line="837" w:lineRule="atLeast"/>
        <w:jc w:val="center"/>
        <w:textAlignment w:val="auto"/>
        <w:outlineLvl w:val="1"/>
        <w:rPr>
          <w:rFonts w:asciiTheme="majorEastAsia" w:eastAsiaTheme="majorEastAsia" w:hAnsiTheme="majorEastAsia" w:cs="宋体" w:hint="eastAsia"/>
          <w:b/>
          <w:bCs/>
          <w:kern w:val="0"/>
          <w:sz w:val="28"/>
          <w:szCs w:val="28"/>
        </w:rPr>
      </w:pPr>
      <w:r>
        <w:rPr>
          <w:rFonts w:asciiTheme="majorEastAsia" w:eastAsiaTheme="majorEastAsia" w:hAnsiTheme="majorEastAsia" w:cs="宋体" w:hint="eastAsia"/>
          <w:b/>
          <w:bCs/>
          <w:color w:val="004EA2"/>
          <w:kern w:val="0"/>
          <w:sz w:val="28"/>
          <w:szCs w:val="28"/>
        </w:rPr>
        <w:t>幸福99丰裕固收762天24200期理财</w:t>
      </w:r>
      <w:r>
        <w:rPr>
          <w:b/>
          <w:color w:val="004EA2"/>
          <w:sz w:val="28"/>
        </w:rPr>
        <w:t>到期公告</w:t>
      </w:r>
    </w:p>
    <w:p>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尊敬的投资者：</w:t>
      </w:r>
    </w:p>
    <w:p>
      <w:pPr>
        <w:keepNext w:val="0"/>
        <w:keepLines w:val="0"/>
        <w:pageBreakBefore w:val="0"/>
        <w:widowControl w:val="0"/>
        <w:kinsoku/>
        <w:wordWrap/>
        <w:overflowPunct/>
        <w:topLinePunct w:val="0"/>
        <w:autoSpaceDE/>
        <w:autoSpaceDN/>
        <w:bidi w:val="0"/>
        <w:adjustRightInd/>
        <w:snapToGrid/>
        <w:spacing w:after="0" w:line="240" w:lineRule="auto"/>
        <w:ind w:firstLine="480"/>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本公司发行的</w:t>
      </w:r>
      <w:r>
        <w:rPr>
          <w:sz w:val="28"/>
        </w:rPr>
        <w:t>幸福99丰裕固收762天24200期理财</w:t>
      </w:r>
      <w:r>
        <w:rPr>
          <w:sz w:val="28"/>
        </w:rPr>
        <w:t>产品已到期，现将相关信息公告如下：</w:t>
      </w:r>
    </w:p>
    <w:tbl>
      <w:tblPr>
        <w:tblStyle w:val="TableNormal"/>
        <w:tblW w:w="859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1926"/>
        <w:gridCol w:w="1446"/>
        <w:gridCol w:w="1469"/>
        <w:gridCol w:w="1799"/>
        <w:gridCol w:w="1957"/>
      </w:tblGrid>
      <w:tr>
        <w:tblPrEx>
          <w:tblW w:w="8597"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288"/>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产品名称</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幸福99丰裕固收762天24200期理财</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产品代码</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FYG24200</w:t>
            </w:r>
          </w:p>
        </w:tc>
      </w:tr>
      <w:tr>
        <w:tblPrEx>
          <w:tblW w:w="8597" w:type="dxa"/>
          <w:tblInd w:w="0" w:type="dxa"/>
          <w:tblLayout w:type="fixed"/>
          <w:tblCellMar>
            <w:top w:w="0" w:type="dxa"/>
            <w:left w:w="108" w:type="dxa"/>
            <w:bottom w:w="0" w:type="dxa"/>
            <w:right w:w="108" w:type="dxa"/>
          </w:tblCellMar>
        </w:tblPrEx>
        <w:trPr>
          <w:trHeight w:val="740"/>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登记编码</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eastAsia="宋体" w:asciiTheme="minorEastAsia" w:hAnsiTheme="minorEastAsia" w:cstheme="minorEastAsia" w:hint="eastAsia"/>
                <w:sz w:val="24"/>
              </w:rPr>
            </w:pPr>
            <w:r>
              <w:rPr>
                <w:rFonts w:eastAsia="宋体" w:asciiTheme="minorEastAsia" w:hAnsiTheme="minorEastAsia" w:cstheme="minorEastAsia" w:hint="eastAsia"/>
                <w:sz w:val="24"/>
              </w:rPr>
              <w:t>Z7002224000242</w:t>
            </w:r>
          </w:p>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（可在中国理财网 www.chinawealth.com.cn 查询产品信息）</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产品成立日期</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2024年8月15日</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产品到期日期</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2026年9月16日</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存续期限</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762</w:t>
            </w:r>
          </w:p>
        </w:tc>
      </w:tr>
      <w:tr>
        <w:tblPrEx>
          <w:tblW w:w="8597" w:type="dxa"/>
          <w:tblInd w:w="0" w:type="dxa"/>
          <w:tblLayout w:type="fixed"/>
          <w:tblCellMar>
            <w:top w:w="0" w:type="dxa"/>
            <w:left w:w="108" w:type="dxa"/>
            <w:bottom w:w="0" w:type="dxa"/>
            <w:right w:w="108" w:type="dxa"/>
          </w:tblCellMar>
        </w:tblPrEx>
        <w:trPr>
          <w:trHeight w:val="303"/>
        </w:trPr>
        <w:tc>
          <w:tcPr>
            <w:tcW w:w="4843" w:type="dxa"/>
            <w:gridSpan w:val="3"/>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募集币种</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rPr>
              <w:t>人民币</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restart"/>
            <w:vAlign w:val="center"/>
          </w:tcPr>
          <w:p>
            <w:pPr>
              <w:keepNext w:val="0"/>
              <w:keepLines w:val="0"/>
              <w:pageBreakBefore w:val="0"/>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收益分配情况</w:t>
            </w: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产品到期日份额净值</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1.0662</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产品到期日份额累计净值</w:t>
            </w:r>
          </w:p>
        </w:tc>
        <w:tc>
          <w:tcPr>
            <w:tcW w:w="3754" w:type="dxa"/>
            <w:gridSpan w:val="2"/>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eastAsia="宋体" w:asciiTheme="minorEastAsia" w:hAnsiTheme="minorEastAsia" w:cstheme="minorEastAsia" w:hint="eastAsia"/>
                <w:sz w:val="24"/>
              </w:rPr>
              <w:t>1.0662</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restart"/>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主要收费情况</w:t>
            </w: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固定管理费总额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2,263,295.72</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浮动管理费总额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817,463.72</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托管费总额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eastAsia="宋体" w:asciiTheme="minorEastAsia" w:hAnsiTheme="minorEastAsia" w:cstheme="minorEastAsia" w:hint="eastAsia"/>
                <w:sz w:val="24"/>
                <w:szCs w:val="22"/>
              </w:rPr>
              <w:t>305,544.82</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销售服务费总额</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1,145,727.63</w:t>
            </w:r>
            <w:r>
              <w:rPr>
                <w:sz w:val="24"/>
              </w:rPr>
              <w:t>元</w:t>
            </w:r>
          </w:p>
        </w:tc>
      </w:tr>
      <w:tr>
        <w:tblPrEx>
          <w:tblW w:w="8597" w:type="dxa"/>
          <w:tblInd w:w="0" w:type="dxa"/>
          <w:tblLayout w:type="fixed"/>
          <w:tblCellMar>
            <w:top w:w="0" w:type="dxa"/>
            <w:left w:w="108" w:type="dxa"/>
            <w:bottom w:w="0" w:type="dxa"/>
            <w:right w:w="108" w:type="dxa"/>
          </w:tblCellMar>
        </w:tblPrEx>
        <w:trPr>
          <w:trHeight w:val="303"/>
        </w:trPr>
        <w:tc>
          <w:tcPr>
            <w:tcW w:w="1926" w:type="dxa"/>
            <w:vMerge/>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p>
        </w:tc>
        <w:tc>
          <w:tcPr>
            <w:tcW w:w="2917"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bidi="ar"/>
              </w:rPr>
              <w:t>信息技术服务费</w:t>
            </w:r>
          </w:p>
        </w:tc>
        <w:tc>
          <w:tcPr>
            <w:tcW w:w="3754" w:type="dxa"/>
            <w:gridSpan w:val="2"/>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eastAsia="宋体" w:asciiTheme="minorEastAsia" w:hAnsiTheme="minorEastAsia" w:cstheme="minorEastAsia" w:hint="eastAsia"/>
                <w:sz w:val="24"/>
                <w:szCs w:val="22"/>
              </w:rPr>
              <w:t>0.00</w:t>
            </w:r>
            <w:r>
              <w:rPr>
                <w:sz w:val="24"/>
              </w:rPr>
              <w:t>元</w:t>
            </w:r>
          </w:p>
        </w:tc>
      </w:tr>
      <w:tr>
        <w:tblPrEx>
          <w:tblW w:w="8601" w:type="dxa"/>
          <w:tblInd w:w="0" w:type="dxa"/>
          <w:tblLayout w:type="fixed"/>
          <w:tblCellMar>
            <w:top w:w="0" w:type="dxa"/>
            <w:left w:w="108" w:type="dxa"/>
            <w:bottom w:w="0" w:type="dxa"/>
            <w:right w:w="108" w:type="dxa"/>
          </w:tblCellMar>
        </w:tblPrEx>
        <w:trPr>
          <w:trHeight w:val="879"/>
        </w:trPr>
        <w:tc>
          <w:tcPr>
            <w:tcW w:w="1926"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份额代码</w:t>
            </w:r>
          </w:p>
        </w:tc>
        <w:tc>
          <w:tcPr>
            <w:tcW w:w="1447"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到期日份额净值</w:t>
            </w:r>
          </w:p>
        </w:tc>
        <w:tc>
          <w:tcPr>
            <w:tcW w:w="147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到期日份额累计净值</w:t>
            </w:r>
          </w:p>
        </w:tc>
        <w:tc>
          <w:tcPr>
            <w:tcW w:w="1800"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default"/>
                <w:color w:val="000000"/>
                <w:sz w:val="24"/>
                <w:lang w:val="en-US"/>
              </w:rPr>
            </w:pPr>
            <w:r>
              <w:rPr>
                <w:rFonts w:asciiTheme="minorEastAsia" w:hAnsiTheme="minorEastAsia" w:cstheme="minorEastAsia" w:hint="eastAsia"/>
                <w:color w:val="000000"/>
                <w:kern w:val="0"/>
                <w:sz w:val="24"/>
                <w:lang w:val="en-US" w:eastAsia="zh-CN" w:bidi="ar"/>
              </w:rPr>
              <w:t>业绩比较基准</w:t>
            </w:r>
          </w:p>
        </w:tc>
        <w:tc>
          <w:tcPr>
            <w:tcW w:w="1958" w:type="dxa"/>
            <w:vAlign w:val="center"/>
          </w:tcPr>
          <w:p>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折合年化收益率</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FYG24200A</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1.0642</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1.0642</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3.05%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3.0751</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FYG24200B</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1.0684</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1.0684</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3.25%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3.2763</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FYG24200C</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1.0662</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1.0662</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3.15%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3.1709</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FYG24200D</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1.0672</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1.0672</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3.20%</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3.2188</w:t>
            </w:r>
            <w:r>
              <w:rPr>
                <w:rFonts w:asciiTheme="minorEastAsia" w:eastAsiaTheme="minorEastAsia" w:hAnsiTheme="minorEastAsia" w:cstheme="minorEastAsia" w:hint="eastAsia"/>
                <w:color w:val="000000"/>
                <w:kern w:val="0"/>
                <w:sz w:val="24"/>
                <w:szCs w:val="24"/>
                <w:lang w:val="en-US" w:eastAsia="zh-CN" w:bidi="ar"/>
              </w:rPr>
              <w:t>%</w:t>
            </w:r>
          </w:p>
        </w:tc>
      </w:tr>
      <w:tr>
        <w:tblPrEx>
          <w:tblW w:w="8601" w:type="dxa"/>
          <w:tblInd w:w="0" w:type="dxa"/>
          <w:tblLayout w:type="fixed"/>
          <w:tblCellMar>
            <w:top w:w="0" w:type="dxa"/>
            <w:left w:w="108" w:type="dxa"/>
            <w:bottom w:w="0" w:type="dxa"/>
            <w:right w:w="108" w:type="dxa"/>
          </w:tblCellMar>
        </w:tblPrEx>
        <w:trPr>
          <w:trHeight w:val="303"/>
        </w:trPr>
        <w:tc>
          <w:tcPr>
            <w:tcW w:w="1926"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FYG24200E</w:t>
            </w:r>
          </w:p>
        </w:tc>
        <w:tc>
          <w:tcPr>
            <w:tcW w:w="1447"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1.0662</w:t>
            </w:r>
          </w:p>
        </w:tc>
        <w:tc>
          <w:tcPr>
            <w:tcW w:w="147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sz w:val="24"/>
              </w:rPr>
              <w:t>1.0662</w:t>
            </w:r>
          </w:p>
        </w:tc>
        <w:tc>
          <w:tcPr>
            <w:tcW w:w="1800"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sz w:val="24"/>
              </w:rPr>
            </w:pPr>
            <w:r>
              <w:rPr>
                <w:rFonts w:asciiTheme="minorEastAsia" w:hAnsiTheme="minorEastAsia" w:cstheme="minorEastAsia" w:hint="eastAsia"/>
                <w:color w:val="000000"/>
                <w:kern w:val="0"/>
                <w:sz w:val="24"/>
                <w:lang w:bidi="ar"/>
              </w:rPr>
              <w:t>3.15%</w:t>
            </w:r>
          </w:p>
        </w:tc>
        <w:tc>
          <w:tcPr>
            <w:tcW w:w="1958" w:type="dxa"/>
            <w:vAlign w:val="center"/>
          </w:tcPr>
          <w:p>
            <w:pPr>
              <w:keepNext w:val="0"/>
              <w:keepLines w:val="0"/>
              <w:pageBreakBefore w:val="0"/>
              <w:kinsoku/>
              <w:wordWrap/>
              <w:overflowPunct/>
              <w:topLinePunct w:val="0"/>
              <w:autoSpaceDE/>
              <w:autoSpaceDN/>
              <w:bidi w:val="0"/>
              <w:adjustRightInd/>
              <w:snapToGrid/>
              <w:spacing w:after="0" w:line="240" w:lineRule="auto"/>
              <w:jc w:val="center"/>
              <w:rPr>
                <w:rFonts w:asciiTheme="minorEastAsia" w:hAnsiTheme="minorEastAsia" w:cstheme="minorEastAsia" w:hint="eastAsia"/>
                <w:color w:val="000000"/>
                <w:kern w:val="0"/>
                <w:sz w:val="24"/>
                <w:lang w:bidi="ar"/>
              </w:rPr>
            </w:pPr>
            <w:r>
              <w:rPr>
                <w:rFonts w:asciiTheme="minorEastAsia" w:hAnsiTheme="minorEastAsia" w:cstheme="minorEastAsia" w:hint="eastAsia"/>
                <w:color w:val="000000"/>
                <w:kern w:val="0"/>
                <w:sz w:val="24"/>
                <w:lang w:val="en-US" w:eastAsia="zh-CN" w:bidi="ar"/>
              </w:rPr>
              <w:t>3.1709</w:t>
            </w:r>
            <w:r>
              <w:rPr>
                <w:rFonts w:asciiTheme="minorEastAsia" w:eastAsiaTheme="minorEastAsia" w:hAnsiTheme="minorEastAsia" w:cstheme="minorEastAsia" w:hint="eastAsia"/>
                <w:color w:val="000000"/>
                <w:kern w:val="0"/>
                <w:sz w:val="24"/>
                <w:szCs w:val="24"/>
                <w:lang w:val="en-US" w:eastAsia="zh-CN" w:bidi="ar"/>
              </w:rPr>
              <w:t>%</w:t>
            </w:r>
          </w:p>
        </w:tc>
      </w:tr>
    </w:tbl>
    <w:p>
      <w:pPr>
        <w:pStyle w:val="a"/>
        <w:keepNext w:val="0"/>
        <w:keepLines w:val="0"/>
        <w:pageBreakBefore w:val="0"/>
        <w:widowControl w:val="0"/>
        <w:numPr>
          <w:ilvl w:val="0"/>
          <w:numId w:val="0"/>
        </w:numPr>
        <w:tabs>
          <w:tab w:val="left" w:pos="-2694"/>
        </w:tabs>
        <w:kinsoku/>
        <w:wordWrap/>
        <w:overflowPunct/>
        <w:topLinePunct w:val="0"/>
        <w:autoSpaceDE/>
        <w:autoSpaceDN/>
        <w:bidi w:val="0"/>
        <w:adjustRightInd/>
        <w:snapToGrid/>
        <w:spacing w:after="0" w:line="120" w:lineRule="auto"/>
        <w:jc w:val="left"/>
        <w:textAlignment w:val="auto"/>
        <w:rPr>
          <w:rFonts w:asciiTheme="minorEastAsia" w:hAnsiTheme="minorEastAsia" w:cstheme="minorEastAsia" w:hint="eastAsia"/>
          <w:sz w:val="24"/>
        </w:rPr>
      </w:pPr>
      <w:r>
        <w:rPr>
          <w:rFonts w:asciiTheme="minorEastAsia" w:hAnsiTheme="minorEastAsia" w:cstheme="minorEastAsia" w:hint="eastAsia"/>
          <w:sz w:val="24"/>
        </w:rPr>
        <w:t>注：</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1.本到期公告披露的相关净值数据已由理财产品托管人复核。</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2.根据产品说明书，因理财产品发行对象不同，或有不同的份额及份额代码，不同份额之间可能存在销售服务费收费条件、收费标准和收费方式等的不同，以及因计算过程产生尾差等原因，均可能导致各份额单位净值、单位累计净值不完全一致。</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3.理财计划财产在管理、运用、处分过程中产生的税费（包括但不限于增值税及相应的附加税费等），由理财计划财产承担；产品管理人对该等税费无垫付义务。前述税费（包括但不限于增值税及相应附加税费）的计算、提取及缴纳，由产品管理人按照应税行为发生时有效的相关法律法规的规定执行。支付给客户的理财收益的应纳税款由客户自行申报及缴纳。</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4.本理财产品终止日起，清算过程中各项清结算金额与实际结算金额的尾差由管理人承担。</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5.托管费：原则上按日计提，逐日累计至到期日从理财计划财产中扣除。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6.固定管理费：原则上按日计提，逐日累计至到期日从理财计划财产中扣除。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eastAsiaTheme="minorEastAsia" w:hAnsiTheme="minorEastAsia" w:cstheme="minorEastAsia" w:hint="default"/>
          <w:sz w:val="24"/>
          <w:lang w:val="en-US" w:eastAsia="zh-CN"/>
        </w:rPr>
      </w:pPr>
      <w:r>
        <w:rPr>
          <w:rFonts w:asciiTheme="minorEastAsia" w:hAnsiTheme="minorEastAsia" w:cstheme="minorEastAsia" w:hint="eastAsia"/>
          <w:sz w:val="24"/>
        </w:rPr>
        <w:t>7.</w:t>
      </w:r>
      <w:r>
        <w:rPr>
          <w:rFonts w:asciiTheme="minorEastAsia" w:hAnsiTheme="minorEastAsia" w:cstheme="minorEastAsia" w:hint="eastAsia"/>
          <w:sz w:val="24"/>
          <w:lang w:val="en-US" w:eastAsia="zh-CN"/>
        </w:rPr>
        <w:t>信息技术服务费：原则上按日计提，每季度从理财计划财产中扣除。</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r>
        <w:rPr>
          <w:rFonts w:asciiTheme="minorEastAsia" w:hAnsiTheme="minorEastAsia" w:cstheme="minorEastAsia" w:hint="eastAsia"/>
          <w:sz w:val="24"/>
        </w:rPr>
        <w:t>8.各期理财产品详细信息可根据产品登记编码登录中国理财网进行查询。</w:t>
      </w: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4"/>
        </w:rPr>
      </w:pPr>
    </w:p>
    <w:p>
      <w:pPr>
        <w:pStyle w:val="a"/>
        <w:keepNext w:val="0"/>
        <w:keepLines w:val="0"/>
        <w:pageBreakBefore w:val="0"/>
        <w:widowControl w:val="0"/>
        <w:numPr>
          <w:ilvl w:val="12"/>
          <w:numId w:val="0"/>
        </w:numPr>
        <w:tabs>
          <w:tab w:val="left" w:pos="-2694"/>
        </w:tabs>
        <w:kinsoku/>
        <w:wordWrap/>
        <w:overflowPunct/>
        <w:topLinePunct w:val="0"/>
        <w:autoSpaceDE/>
        <w:autoSpaceDN/>
        <w:bidi w:val="0"/>
        <w:adjustRightInd/>
        <w:snapToGrid/>
        <w:spacing w:after="0" w:line="120" w:lineRule="auto"/>
        <w:ind w:left="420" w:leftChars="200"/>
        <w:jc w:val="left"/>
        <w:textAlignment w:val="auto"/>
        <w:rPr>
          <w:rFonts w:asciiTheme="minorEastAsia" w:hAnsiTheme="minorEastAsia" w:cstheme="minorEastAsia" w:hint="eastAsia"/>
          <w:sz w:val="28"/>
        </w:rPr>
      </w:pPr>
    </w:p>
    <w:p>
      <w:pPr>
        <w:keepNext w:val="0"/>
        <w:keepLines w:val="0"/>
        <w:pageBreakBefore w:val="0"/>
        <w:widowControl w:val="0"/>
        <w:kinsoku/>
        <w:wordWrap/>
        <w:overflowPunct/>
        <w:topLinePunct w:val="0"/>
        <w:autoSpaceDE/>
        <w:autoSpaceDN/>
        <w:bidi w:val="0"/>
        <w:adjustRightInd/>
        <w:snapToGrid/>
        <w:spacing w:after="0" w:line="240" w:lineRule="auto"/>
        <w:ind w:firstLine="560" w:firstLineChars="200"/>
        <w:textAlignment w:val="auto"/>
        <w:rPr>
          <w:rFonts w:asciiTheme="minorEastAsia" w:hAnsiTheme="minorEastAsia" w:cstheme="minorEastAsia" w:hint="eastAsia"/>
          <w:sz w:val="28"/>
        </w:rPr>
      </w:pPr>
      <w:r>
        <w:rPr>
          <w:rFonts w:asciiTheme="minorEastAsia" w:hAnsiTheme="minorEastAsia" w:cstheme="minorEastAsia" w:hint="eastAsia"/>
          <w:sz w:val="28"/>
        </w:rPr>
        <w:t>特此公告。</w:t>
      </w:r>
    </w:p>
    <w:p>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asciiTheme="minorEastAsia" w:hAnsiTheme="minorEastAsia" w:cstheme="minorEastAsia" w:hint="eastAsia"/>
          <w:sz w:val="24"/>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仿宋_GB2312" w:eastAsia="仿宋_GB2312" w:hAnsi="仿宋_GB2312" w:cs="仿宋_GB2312" w:hint="eastAsia"/>
          <w:sz w:val="24"/>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仿宋_GB2312" w:eastAsia="仿宋_GB2312" w:hAnsi="仿宋_GB2312" w:cs="仿宋_GB2312" w:hint="eastAsia"/>
          <w:sz w:val="28"/>
          <w:szCs w:val="28"/>
        </w:rPr>
      </w:pPr>
    </w:p>
    <w:p>
      <w:pPr>
        <w:keepNext w:val="0"/>
        <w:keepLines w:val="0"/>
        <w:pageBreakBefore w:val="0"/>
        <w:widowControl w:val="0"/>
        <w:kinsoku/>
        <w:wordWrap/>
        <w:overflowPunct/>
        <w:topLinePunct w:val="0"/>
        <w:autoSpaceDE/>
        <w:autoSpaceDN/>
        <w:bidi w:val="0"/>
        <w:adjustRightInd/>
        <w:snapToGrid/>
        <w:spacing w:after="0" w:line="240" w:lineRule="auto"/>
        <w:ind w:left="360"/>
        <w:jc w:val="right"/>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杭银理财有限责任公司</w:t>
      </w:r>
    </w:p>
    <w:p>
      <w:pPr>
        <w:keepNext w:val="0"/>
        <w:keepLines w:val="0"/>
        <w:pageBreakBefore w:val="0"/>
        <w:widowControl w:val="0"/>
        <w:kinsoku/>
        <w:wordWrap/>
        <w:overflowPunct/>
        <w:topLinePunct w:val="0"/>
        <w:autoSpaceDE/>
        <w:autoSpaceDN/>
        <w:bidi w:val="0"/>
        <w:adjustRightInd/>
        <w:snapToGrid/>
        <w:spacing w:after="0" w:line="240" w:lineRule="auto"/>
        <w:jc w:val="right"/>
        <w:textAlignment w:val="auto"/>
        <w:rPr>
          <w:rFonts w:asciiTheme="minorEastAsia" w:hAnsiTheme="minorEastAsia" w:cstheme="minorEastAsia" w:hint="eastAsia"/>
          <w:sz w:val="28"/>
          <w:szCs w:val="28"/>
        </w:rPr>
      </w:pPr>
      <w:r>
        <w:rPr>
          <w:rFonts w:asciiTheme="minorEastAsia" w:hAnsiTheme="minorEastAsia" w:cstheme="minorEastAsia" w:hint="eastAsia"/>
          <w:sz w:val="28"/>
          <w:szCs w:val="28"/>
        </w:rPr>
        <w:t>2026年9月17日</w:t>
      </w:r>
    </w:p>
    <w:sectPr>
      <w:headerReference w:type="default" r:id="rId5"/>
      <w:pgSz w:w="11906" w:h="16838"/>
      <w:pgMar w:top="2551" w:right="1803" w:bottom="2551" w:left="1803" w:header="851" w:footer="992" w:gutter="0"/>
      <w:cols w:num="1" w:space="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auto"/>
    <w:pitch w:val="default"/>
    <w:sig w:usb0="00000000" w:usb1="00000000" w:usb2="00000000" w:usb3="00000000" w:csb0="00040000"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pPr>
    <w:r>
      <w:drawing>
        <wp:anchor distT="0" distB="0" distL="114300" distR="114300" simplePos="0" relativeHeight="251658240" behindDoc="1" locked="0" layoutInCell="1" allowOverlap="1">
          <wp:simplePos x="0" y="0"/>
          <wp:positionH relativeFrom="margin">
            <wp:align>center</wp:align>
          </wp:positionH>
          <wp:positionV relativeFrom="margin">
            <wp:align>center</wp:align>
          </wp:positionV>
          <wp:extent cx="7543800" cy="10671810"/>
          <wp:effectExtent l="0" t="0" r="0" b="15240"/>
          <wp:wrapNone/>
          <wp:docPr id="5" name="WordPictureWatermark140627" descr="微信图片_20220817144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WordPictureWatermark140627" descr="微信图片_20220817144322"/>
                  <pic:cNvPicPr>
                    <a:picLocks noChangeAspect="1"/>
                  </pic:cNvPicPr>
                </pic:nvPicPr>
                <pic:blipFill>
                  <a:blip xmlns:r="http://schemas.openxmlformats.org/officeDocument/2006/relationships" r:embed="rId1"/>
                  <a:stretch>
                    <a:fillRect/>
                  </a:stretch>
                </pic:blipFill>
                <pic:spPr>
                  <a:xfrm>
                    <a:off x="0" y="0"/>
                    <a:ext cx="7543800" cy="10671810"/>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7DCADC43"/>
    <w:multiLevelType w:val="multilevel"/>
    <w:tmpl w:val="7DCADC43"/>
    <w:lvl w:ilvl="0">
      <w:start w:val="1"/>
      <w:numFmt w:val="chineseCounting"/>
      <w:pStyle w:val="a"/>
      <w:suff w:val="space"/>
      <w:lvlText w:val="第%1条"/>
      <w:lvlJc w:val="left"/>
      <w:pPr>
        <w:tabs>
          <w:tab w:val="left" w:pos="420"/>
        </w:tabs>
        <w:ind w:left="3114" w:hanging="420"/>
      </w:pPr>
      <w:rPr>
        <w:rFonts w:ascii="仿宋_GB2312" w:eastAsia="仿宋_GB2312" w:hAnsi="仿宋_GB2312" w:hint="eastAsia"/>
        <w:b/>
        <w:sz w:val="32"/>
        <w:szCs w:val="32"/>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hideSpellingErrors/>
  <w:hideGrammaticalErrors/>
  <w:zoom w:percent="100"/>
  <w:embedSystemFonts/>
  <w:bordersDoNotSurroundHeader/>
  <w:bordersDoNotSurroundFooter/>
  <w:defaultTabStop w:val="42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687052B"/>
    <w:rsid w:val="001E34DE"/>
    <w:rsid w:val="00200A72"/>
    <w:rsid w:val="002469CB"/>
    <w:rsid w:val="002B4BBF"/>
    <w:rsid w:val="003841A4"/>
    <w:rsid w:val="00412E97"/>
    <w:rsid w:val="005200AA"/>
    <w:rsid w:val="0053159C"/>
    <w:rsid w:val="00573563"/>
    <w:rsid w:val="00592C06"/>
    <w:rsid w:val="005E397D"/>
    <w:rsid w:val="00603D57"/>
    <w:rsid w:val="00632F14"/>
    <w:rsid w:val="006D7051"/>
    <w:rsid w:val="0073172D"/>
    <w:rsid w:val="00735747"/>
    <w:rsid w:val="00750505"/>
    <w:rsid w:val="007809D7"/>
    <w:rsid w:val="007A3E72"/>
    <w:rsid w:val="007B0559"/>
    <w:rsid w:val="00860348"/>
    <w:rsid w:val="00863721"/>
    <w:rsid w:val="008C68DB"/>
    <w:rsid w:val="008D2DFF"/>
    <w:rsid w:val="008F2835"/>
    <w:rsid w:val="009D66D1"/>
    <w:rsid w:val="00A00B94"/>
    <w:rsid w:val="00AC2AB6"/>
    <w:rsid w:val="00AC3F90"/>
    <w:rsid w:val="00B11AE6"/>
    <w:rsid w:val="00B21744"/>
    <w:rsid w:val="00BB5D37"/>
    <w:rsid w:val="00C10907"/>
    <w:rsid w:val="00C47DF8"/>
    <w:rsid w:val="00C87BF7"/>
    <w:rsid w:val="00D00D6A"/>
    <w:rsid w:val="00D259A1"/>
    <w:rsid w:val="00E846FF"/>
    <w:rsid w:val="00F965A1"/>
    <w:rsid w:val="00FA50AB"/>
    <w:rsid w:val="031040D2"/>
    <w:rsid w:val="046A679B"/>
    <w:rsid w:val="050F5184"/>
    <w:rsid w:val="0AB0656E"/>
    <w:rsid w:val="0C745E65"/>
    <w:rsid w:val="0CB459D4"/>
    <w:rsid w:val="0E6326C2"/>
    <w:rsid w:val="10435D82"/>
    <w:rsid w:val="10D07EDC"/>
    <w:rsid w:val="12297112"/>
    <w:rsid w:val="14B55489"/>
    <w:rsid w:val="151D7E14"/>
    <w:rsid w:val="178607BF"/>
    <w:rsid w:val="18462C74"/>
    <w:rsid w:val="190B63BC"/>
    <w:rsid w:val="1F0A0FE5"/>
    <w:rsid w:val="1F48553E"/>
    <w:rsid w:val="1FDC0923"/>
    <w:rsid w:val="20C27D8C"/>
    <w:rsid w:val="21F964F5"/>
    <w:rsid w:val="22984131"/>
    <w:rsid w:val="255822AB"/>
    <w:rsid w:val="28362D7D"/>
    <w:rsid w:val="288806AF"/>
    <w:rsid w:val="29116F14"/>
    <w:rsid w:val="2AB67C98"/>
    <w:rsid w:val="2D8542FF"/>
    <w:rsid w:val="3286081F"/>
    <w:rsid w:val="33D42F95"/>
    <w:rsid w:val="3529150B"/>
    <w:rsid w:val="35AE4436"/>
    <w:rsid w:val="39196DF2"/>
    <w:rsid w:val="3A5B7ED6"/>
    <w:rsid w:val="3BF50A6E"/>
    <w:rsid w:val="3C231661"/>
    <w:rsid w:val="3D001825"/>
    <w:rsid w:val="3E174A3C"/>
    <w:rsid w:val="3EAB6BEB"/>
    <w:rsid w:val="3ED86525"/>
    <w:rsid w:val="3F1275A9"/>
    <w:rsid w:val="3F221A4C"/>
    <w:rsid w:val="3FC04F0B"/>
    <w:rsid w:val="4045484E"/>
    <w:rsid w:val="42594A46"/>
    <w:rsid w:val="447B660D"/>
    <w:rsid w:val="462266D9"/>
    <w:rsid w:val="47605650"/>
    <w:rsid w:val="489D3BEC"/>
    <w:rsid w:val="4C037761"/>
    <w:rsid w:val="4C4A04BD"/>
    <w:rsid w:val="500B29EB"/>
    <w:rsid w:val="50B7489E"/>
    <w:rsid w:val="50DC0E7A"/>
    <w:rsid w:val="548E4345"/>
    <w:rsid w:val="54F6702C"/>
    <w:rsid w:val="5895744F"/>
    <w:rsid w:val="595715BE"/>
    <w:rsid w:val="5A7F5A78"/>
    <w:rsid w:val="5AB40990"/>
    <w:rsid w:val="5BE35356"/>
    <w:rsid w:val="5CE40C9B"/>
    <w:rsid w:val="5E8A1A31"/>
    <w:rsid w:val="5FBC45EF"/>
    <w:rsid w:val="600F7924"/>
    <w:rsid w:val="612B75BF"/>
    <w:rsid w:val="642664E4"/>
    <w:rsid w:val="650B0861"/>
    <w:rsid w:val="661D745C"/>
    <w:rsid w:val="6659648A"/>
    <w:rsid w:val="6687052B"/>
    <w:rsid w:val="670F12E2"/>
    <w:rsid w:val="683B78CE"/>
    <w:rsid w:val="6B6670CE"/>
    <w:rsid w:val="6C7E45F0"/>
    <w:rsid w:val="6D5B6E8B"/>
    <w:rsid w:val="6D623B7E"/>
    <w:rsid w:val="6E683E61"/>
    <w:rsid w:val="710019DD"/>
    <w:rsid w:val="71A11F5E"/>
    <w:rsid w:val="71B3167E"/>
    <w:rsid w:val="729B61A8"/>
    <w:rsid w:val="752B7242"/>
    <w:rsid w:val="78026722"/>
    <w:rsid w:val="79337090"/>
    <w:rsid w:val="7AD376CD"/>
    <w:rsid w:val="7D2C199A"/>
    <w:rsid w:val="7EA037DA"/>
    <w:rsid w:val="7EF7C949"/>
    <w:rsid w:val="7F2940C4"/>
  </w:rsids>
  <w:docVars>
    <w:docVar w:name="commondata" w:val="eyJoZGlkIjoiMDZlY2ZiYmExOWJmOTY5NWFmNzQwOWFhNmE0ZjgxMTMifQ=="/>
  </w:docVar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en-US" w:bidi="ar-SA"/>
      </w:rPr>
    </w:rPrDefault>
    <w:pPrDefault>
      <w:pPr>
        <w:spacing w:after="160" w:line="259" w:lineRule="auto"/>
      </w:pPr>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semiHidden="0"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qFormat="1"/>
    <w:lsdException w:name="header" w:semiHidden="0" w:uiPriority="0" w:unhideWhenUsed="0" w:qFormat="1"/>
    <w:lsdException w:name="footer" w:semiHidden="0" w:uiPriority="0" w:unhideWhenUsed="0" w:qFormat="1"/>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1" w:qFormat="1"/>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qFormat="1"/>
    <w:lsdException w:name="annotation subject" w:semiHidden="0" w:uiPriority="0" w:unhideWhenUsed="0"/>
    <w:lsdException w:name="Table Simple 1" w:uiPriority="0"/>
    <w:lsdException w:name="Table Simple 2" w:uiPriority="0"/>
    <w:lsdException w:name="Table Simple 3" w:uiPriority="0"/>
    <w:lsdException w:name="Table Classic 1" w:uiPriority="0"/>
    <w:lsdException w:name="Table Classic 2" w:uiPriority="0"/>
    <w:lsdException w:name="Table Classic 3" w:uiPriority="0"/>
    <w:lsdException w:name="Table Classic 4" w:uiPriority="0"/>
    <w:lsdException w:name="Table Colorful 1" w:uiPriority="0"/>
    <w:lsdException w:name="Table Colorful 2" w:uiPriority="0"/>
    <w:lsdException w:name="Table Colorful 3" w:uiPriority="0"/>
    <w:lsdException w:name="Table Columns 1" w:uiPriority="0"/>
    <w:lsdException w:name="Table Columns 2" w:uiPriority="0"/>
    <w:lsdException w:name="Table Columns 3" w:uiPriority="0"/>
    <w:lsdException w:name="Table Columns 4" w:uiPriority="0"/>
    <w:lsdException w:name="Table Columns 5" w:uiPriority="0"/>
    <w:lsdException w:name="Table Grid 1" w:uiPriority="0"/>
    <w:lsdException w:name="Table Grid 2" w:uiPriority="0"/>
    <w:lsdException w:name="Table Grid 3" w:uiPriority="0"/>
    <w:lsdException w:name="Table Grid 4" w:uiPriority="0"/>
    <w:lsdException w:name="Table Grid 5" w:uiPriority="0"/>
    <w:lsdException w:name="Table Grid 6" w:uiPriority="0"/>
    <w:lsdException w:name="Table Grid 7" w:uiPriority="0"/>
    <w:lsdException w:name="Table Grid 8" w:uiPriority="0"/>
    <w:lsdException w:name="Table List 1" w:uiPriority="0"/>
    <w:lsdException w:name="Table List 2" w:uiPriority="0"/>
    <w:lsdException w:name="Table List 3" w:uiPriority="0"/>
    <w:lsdException w:name="Table List 4" w:uiPriority="0"/>
    <w:lsdException w:name="Table List 5" w:uiPriority="0"/>
    <w:lsdException w:name="Table List 6" w:uiPriority="0"/>
    <w:lsdException w:name="Table List 7" w:uiPriority="0"/>
    <w:lsdException w:name="Table List 8" w:uiPriority="0"/>
    <w:lsdException w:name="Table 3D effects 1" w:uiPriority="0"/>
    <w:lsdException w:name="Table 3D effects 2" w:uiPriority="0"/>
    <w:lsdException w:name="Table 3D effects 3" w:uiPriority="0"/>
    <w:lsdException w:name="Table Contemporary" w:uiPriority="0"/>
    <w:lsdException w:name="Table Elegant" w:uiPriority="0"/>
    <w:lsdException w:name="Table Professional" w:uiPriority="0"/>
    <w:lsdException w:name="Table Subtle 1" w:uiPriority="0"/>
    <w:lsdException w:name="Table Subtle 2" w:uiPriority="0"/>
    <w:lsdException w:name="Table Web 1" w:uiPriority="0"/>
    <w:lsdException w:name="Table Web 2" w:uiPriority="0"/>
    <w:lsdException w:name="Table Web 3" w:uiPriority="0"/>
    <w:lsdException w:name="Balloon Text" w:semiHidden="0" w:uiPriority="0" w:unhideWhenUsed="0"/>
    <w:lsdException w:name="Table Grid" w:semiHidden="0" w:unhideWhenUsed="0" w:qFormat="1"/>
    <w:lsdException w:name="Table Theme" w:uiPriority="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spacing w:after="160" w:line="278" w:lineRule="auto"/>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line="400" w:lineRule="exact"/>
      <w:jc w:val="center"/>
      <w:outlineLvl w:val="0"/>
    </w:pPr>
    <w:rPr>
      <w:rFonts w:ascii="Times New Roman" w:eastAsia="宋体" w:hAnsi="Times New Roman"/>
      <w:b/>
      <w:kern w:val="44"/>
      <w:sz w:val="24"/>
    </w:rPr>
  </w:style>
  <w:style w:type="paragraph" w:styleId="Heading2">
    <w:name w:val="heading 2"/>
    <w:basedOn w:val="Normal"/>
    <w:next w:val="Normal"/>
    <w:unhideWhenUsed/>
    <w:qFormat/>
    <w:pPr>
      <w:keepNext/>
      <w:keepLines/>
      <w:spacing w:line="400" w:lineRule="exact"/>
      <w:jc w:val="left"/>
      <w:outlineLvl w:val="1"/>
    </w:pPr>
    <w:rPr>
      <w:rFonts w:ascii="Arial" w:eastAsia="宋体" w:hAnsi="Arial"/>
      <w:b/>
    </w:rPr>
  </w:style>
  <w:style w:type="paragraph" w:styleId="Heading3">
    <w:name w:val="heading 3"/>
    <w:basedOn w:val="Normal"/>
    <w:next w:val="Normal"/>
    <w:unhideWhenUsed/>
    <w:qFormat/>
    <w:pPr>
      <w:keepNext/>
      <w:keepLines/>
      <w:spacing w:line="400" w:lineRule="exact"/>
      <w:jc w:val="left"/>
      <w:outlineLvl w:val="2"/>
    </w:pPr>
    <w:rPr>
      <w:rFonts w:ascii="Times New Roman" w:eastAsia="宋体" w:hAnsi="Times New Roman"/>
      <w:b/>
    </w:rPr>
  </w:style>
  <w:style w:type="character" w:default="1" w:styleId="DefaultParagraphFont">
    <w:name w:val="Default Paragraph Font"/>
    <w:uiPriority w:val="1"/>
    <w:semiHidden/>
    <w:unhideWhenUsed/>
    <w:qFormat/>
  </w:style>
  <w:style w:type="table" w:default="1" w:styleId="TableNormal">
    <w:name w:val="Normal Table"/>
    <w:uiPriority w:val="99"/>
    <w:semiHidden/>
    <w:unhideWhenUsed/>
    <w:qFormat/>
    <w:tblPr>
      <w:tblCellMar>
        <w:top w:w="0" w:type="dxa"/>
        <w:left w:w="108" w:type="dxa"/>
        <w:bottom w:w="0" w:type="dxa"/>
        <w:right w:w="108" w:type="dxa"/>
      </w:tblCellMar>
    </w:tblPr>
  </w:style>
  <w:style w:type="paragraph" w:styleId="CommentText">
    <w:name w:val="annotation text"/>
    <w:basedOn w:val="Normal"/>
    <w:qFormat/>
    <w:pPr>
      <w:jc w:val="left"/>
    </w:pPr>
  </w:style>
  <w:style w:type="paragraph" w:styleId="Footer">
    <w:name w:val="footer"/>
    <w:basedOn w:val="Normal"/>
    <w:qFormat/>
    <w:pPr>
      <w:tabs>
        <w:tab w:val="center" w:pos="4153"/>
        <w:tab w:val="right" w:pos="8306"/>
      </w:tabs>
      <w:snapToGrid w:val="0"/>
      <w:jc w:val="left"/>
    </w:pPr>
    <w:rPr>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table" w:styleId="TableGrid">
    <w:name w:val="Table Grid"/>
    <w:basedOn w:val="TableNormal"/>
    <w:uiPriority w:val="9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
    <w:name w:val="条段落"/>
    <w:basedOn w:val="Normal"/>
    <w:qFormat/>
    <w:pPr>
      <w:numPr>
        <w:ilvl w:val="0"/>
        <w:numId w:val="1"/>
      </w:numPr>
      <w:ind w:left="0" w:firstLine="640"/>
    </w:pPr>
    <w:rPr>
      <w:rFonts w:ascii="宋体" w:hAnsi="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theme" Target="theme/theme1.xml" /><Relationship Id="rId7" Type="http://schemas.openxmlformats.org/officeDocument/2006/relationships/numbering" Target="numbering.xml" /><Relationship Id="rId8" Type="http://schemas.openxmlformats.org/officeDocument/2006/relationships/styles" Target="styles.xml" /></Relationships>
</file>

<file path=word/_rels/header1.xml.rels><?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3</Pages>
  <Words>190</Words>
  <Characters>1085</Characters>
  <Application>Microsoft Office Word</Application>
  <DocSecurity>0</DocSecurity>
  <Lines>9</Lines>
  <Paragraphs>2</Paragraphs>
  <ScaleCrop>false</ScaleCrop>
  <Company/>
  <LinksUpToDate>false</LinksUpToDate>
  <CharactersWithSpaces>1273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yangbingfei</cp:lastModifiedBy>
  <cp:revision>2</cp:revision>
  <dcterms:created xsi:type="dcterms:W3CDTF">2026-05-27T09:33:00Z</dcterms:created>
  <dcterms:modified xsi:type="dcterms:W3CDTF">2026-09-15T12:59:48Z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156FBEF45315492997A928A82EDAEB25</vt:lpwstr>
  </property>
  <property fmtid="{D5CDD505-2E9C-101B-9397-08002B2CF9AE}" pid="3" name="KSOProductBuildVer">
    <vt:lpwstr>2052-11.8.2.8411</vt:lpwstr>
  </property>
</Properties>
</file>